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847" w:x="5165" w:y="532"/>
        <w:widowControl w:val="0"/>
        <w:autoSpaceDE w:val="0"/>
        <w:autoSpaceDN w:val="0"/>
        <w:spacing w:line="440" w:lineRule="exact"/>
        <w:rPr>
          <w:rFonts w:ascii="SimSun" w:hAnsi="Calibri"/>
          <w:color w:val="000000"/>
          <w:sz w:val="4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44"/>
          <w:szCs w:val="22"/>
          <w:lang w:val="en-US" w:eastAsia="en-US" w:bidi="ar-SA"/>
        </w:rPr>
        <w:t>城管执法一般程序案件办理流程图</w:t>
      </w:r>
    </w:p>
    <w:p>
      <w:pPr>
        <w:framePr w:w="1522" w:x="3850" w:y="1274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案源登记</w:t>
      </w:r>
    </w:p>
    <w:p>
      <w:pPr>
        <w:framePr w:w="1522" w:x="11354" w:y="1274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初查审核</w:t>
      </w:r>
    </w:p>
    <w:p>
      <w:pPr>
        <w:framePr w:w="540" w:x="11840" w:y="2375"/>
        <w:widowControl w:val="0"/>
        <w:autoSpaceDE w:val="0"/>
        <w:autoSpaceDN w:val="0"/>
        <w:spacing w:line="300" w:lineRule="exact"/>
        <w:rPr>
          <w:rFonts w:ascii="SJMLFC+FangSong_GB2312" w:hAnsi="Calibri"/>
          <w:color w:val="000000"/>
          <w:sz w:val="3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0"/>
          <w:szCs w:val="22"/>
          <w:lang w:val="en-US" w:eastAsia="en-US" w:bidi="ar-SA"/>
        </w:rPr>
        <w:t>不</w:t>
      </w:r>
    </w:p>
    <w:p>
      <w:pPr>
        <w:framePr w:w="540" w:x="11840" w:y="2375"/>
        <w:widowControl w:val="0"/>
        <w:autoSpaceDE w:val="0"/>
        <w:autoSpaceDN w:val="0"/>
        <w:spacing w:before="90" w:line="300" w:lineRule="exact"/>
        <w:rPr>
          <w:rFonts w:ascii="SJMLFC+FangSong_GB2312" w:hAnsi="Calibri"/>
          <w:color w:val="000000"/>
          <w:sz w:val="3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0"/>
          <w:szCs w:val="22"/>
          <w:lang w:val="en-US" w:eastAsia="en-US" w:bidi="ar-SA"/>
        </w:rPr>
        <w:t>予</w:t>
      </w:r>
    </w:p>
    <w:p>
      <w:pPr>
        <w:framePr w:w="540" w:x="11840" w:y="2375"/>
        <w:widowControl w:val="0"/>
        <w:autoSpaceDE w:val="0"/>
        <w:autoSpaceDN w:val="0"/>
        <w:spacing w:before="90" w:line="300" w:lineRule="exact"/>
        <w:rPr>
          <w:rFonts w:ascii="SJMLFC+FangSong_GB2312" w:hAnsi="Calibri"/>
          <w:color w:val="000000"/>
          <w:sz w:val="3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0"/>
          <w:szCs w:val="22"/>
          <w:lang w:val="en-US" w:eastAsia="en-US" w:bidi="ar-SA"/>
        </w:rPr>
        <w:t>立</w:t>
      </w:r>
    </w:p>
    <w:p>
      <w:pPr>
        <w:framePr w:w="450" w:x="14300" w:y="2361"/>
        <w:widowControl w:val="0"/>
        <w:autoSpaceDE w:val="0"/>
        <w:autoSpaceDN w:val="0"/>
        <w:spacing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移</w:t>
      </w:r>
    </w:p>
    <w:p>
      <w:pPr>
        <w:framePr w:w="450" w:x="14300" w:y="2361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送</w:t>
      </w:r>
    </w:p>
    <w:p>
      <w:pPr>
        <w:framePr w:w="450" w:x="14300" w:y="2361"/>
        <w:widowControl w:val="0"/>
        <w:autoSpaceDE w:val="0"/>
        <w:autoSpaceDN w:val="0"/>
        <w:spacing w:before="64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相</w:t>
      </w:r>
    </w:p>
    <w:p>
      <w:pPr>
        <w:framePr w:w="450" w:x="14300" w:y="2361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关</w:t>
      </w:r>
    </w:p>
    <w:p>
      <w:pPr>
        <w:framePr w:w="450" w:x="14300" w:y="2361"/>
        <w:widowControl w:val="0"/>
        <w:autoSpaceDE w:val="0"/>
        <w:autoSpaceDN w:val="0"/>
        <w:spacing w:before="64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部</w:t>
      </w:r>
    </w:p>
    <w:p>
      <w:pPr>
        <w:framePr w:w="450" w:x="14300" w:y="2361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门</w:t>
      </w:r>
    </w:p>
    <w:p>
      <w:pPr>
        <w:framePr w:w="560" w:x="802" w:y="2459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立</w:t>
      </w:r>
    </w:p>
    <w:p>
      <w:pPr>
        <w:framePr w:w="560" w:x="802" w:y="2459"/>
        <w:widowControl w:val="0"/>
        <w:autoSpaceDE w:val="0"/>
        <w:autoSpaceDN w:val="0"/>
        <w:spacing w:before="27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</w:t>
      </w:r>
    </w:p>
    <w:p>
      <w:pPr>
        <w:framePr w:w="560" w:x="9288" w:y="2468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立</w:t>
      </w:r>
    </w:p>
    <w:p>
      <w:pPr>
        <w:framePr w:w="560" w:x="9288" w:y="2468"/>
        <w:widowControl w:val="0"/>
        <w:autoSpaceDE w:val="0"/>
        <w:autoSpaceDN w:val="0"/>
        <w:spacing w:before="275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</w:t>
      </w:r>
    </w:p>
    <w:p>
      <w:pPr>
        <w:framePr w:w="4560" w:x="2410" w:y="2694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检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部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上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举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媒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其</w:t>
      </w:r>
    </w:p>
    <w:p>
      <w:pPr>
        <w:framePr w:w="4560" w:x="2410" w:y="2694"/>
        <w:widowControl w:val="0"/>
        <w:autoSpaceDE w:val="0"/>
        <w:autoSpaceDN w:val="0"/>
        <w:spacing w:before="39"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查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门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级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报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体</w:t>
      </w:r>
    </w:p>
    <w:p>
      <w:pPr>
        <w:framePr w:w="4560" w:x="2410" w:y="2694"/>
        <w:widowControl w:val="0"/>
        <w:autoSpaceDE w:val="0"/>
        <w:autoSpaceDN w:val="0"/>
        <w:spacing w:before="84"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发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移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交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投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曝</w:t>
      </w:r>
    </w:p>
    <w:p>
      <w:pPr>
        <w:framePr w:w="560" w:x="6409" w:y="3482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他</w:t>
      </w:r>
    </w:p>
    <w:p>
      <w:pPr>
        <w:framePr w:w="540" w:x="11840" w:y="3649"/>
        <w:widowControl w:val="0"/>
        <w:autoSpaceDE w:val="0"/>
        <w:autoSpaceDN w:val="0"/>
        <w:spacing w:line="300" w:lineRule="exact"/>
        <w:rPr>
          <w:rFonts w:ascii="SJMLFC+FangSong_GB2312" w:hAnsi="Calibri"/>
          <w:color w:val="000000"/>
          <w:sz w:val="3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0"/>
          <w:szCs w:val="22"/>
          <w:lang w:val="en-US" w:eastAsia="en-US" w:bidi="ar-SA"/>
        </w:rPr>
        <w:t>案</w:t>
      </w:r>
    </w:p>
    <w:p>
      <w:pPr>
        <w:framePr w:w="3719" w:x="2410" w:y="3784"/>
        <w:widowControl w:val="0"/>
        <w:autoSpaceDE w:val="0"/>
        <w:autoSpaceDN w:val="0"/>
        <w:spacing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现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交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办</w:t>
      </w:r>
      <w:r>
        <w:rPr>
          <w:rFonts w:ascii="SJMLFC+FangSong_GB2312" w:hAnsi="Calibri"/>
          <w:color w:val="000000"/>
          <w:spacing w:val="380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诉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光</w:t>
      </w:r>
    </w:p>
    <w:p>
      <w:pPr>
        <w:framePr w:w="2483" w:x="8168" w:y="4856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指定案件主办人</w:t>
      </w:r>
    </w:p>
    <w:p>
      <w:pPr>
        <w:framePr w:w="3360" w:x="7849" w:y="5941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调查取证(告知陈述、申辩权)</w:t>
      </w:r>
    </w:p>
    <w:p>
      <w:pPr>
        <w:framePr w:w="560" w:x="802" w:y="6398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调</w:t>
      </w:r>
    </w:p>
    <w:p>
      <w:pPr>
        <w:framePr w:w="560" w:x="802" w:y="6398"/>
        <w:widowControl w:val="0"/>
        <w:autoSpaceDE w:val="0"/>
        <w:autoSpaceDN w:val="0"/>
        <w:spacing w:before="95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查</w:t>
      </w:r>
    </w:p>
    <w:p>
      <w:pPr>
        <w:framePr w:w="560" w:x="802" w:y="6398"/>
        <w:widowControl w:val="0"/>
        <w:autoSpaceDE w:val="0"/>
        <w:autoSpaceDN w:val="0"/>
        <w:spacing w:before="9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取</w:t>
      </w:r>
    </w:p>
    <w:p>
      <w:pPr>
        <w:framePr w:w="560" w:x="802" w:y="6398"/>
        <w:widowControl w:val="0"/>
        <w:autoSpaceDE w:val="0"/>
        <w:autoSpaceDN w:val="0"/>
        <w:spacing w:before="9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证</w:t>
      </w:r>
    </w:p>
    <w:p>
      <w:pPr>
        <w:framePr w:w="2920" w:x="3529" w:y="6990"/>
        <w:widowControl w:val="0"/>
        <w:autoSpaceDE w:val="0"/>
        <w:autoSpaceDN w:val="0"/>
        <w:spacing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视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证</w:t>
      </w:r>
      <w:r>
        <w:rPr>
          <w:rFonts w:ascii="SJMLFC+FangSong_GB2312" w:hAnsi="Calibri"/>
          <w:color w:val="000000"/>
          <w:spacing w:val="382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当</w:t>
      </w:r>
      <w:r>
        <w:rPr>
          <w:rFonts w:ascii="SJMLFC+FangSong_GB2312" w:hAnsi="Calibri"/>
          <w:color w:val="000000"/>
          <w:spacing w:val="439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鉴</w:t>
      </w:r>
    </w:p>
    <w:p>
      <w:pPr>
        <w:framePr w:w="450" w:x="6728" w:y="6986"/>
        <w:widowControl w:val="0"/>
        <w:autoSpaceDE w:val="0"/>
        <w:autoSpaceDN w:val="0"/>
        <w:spacing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现</w:t>
      </w:r>
    </w:p>
    <w:p>
      <w:pPr>
        <w:framePr w:w="450" w:x="6728" w:y="6986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场</w:t>
      </w:r>
    </w:p>
    <w:p>
      <w:pPr>
        <w:framePr w:w="450" w:x="6728" w:y="6986"/>
        <w:widowControl w:val="0"/>
        <w:autoSpaceDE w:val="0"/>
        <w:autoSpaceDN w:val="0"/>
        <w:spacing w:before="64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勘</w:t>
      </w:r>
    </w:p>
    <w:p>
      <w:pPr>
        <w:framePr w:w="450" w:x="6728" w:y="6986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验</w:t>
      </w:r>
    </w:p>
    <w:p>
      <w:pPr>
        <w:framePr w:w="450" w:x="6728" w:y="6986"/>
        <w:widowControl w:val="0"/>
        <w:autoSpaceDE w:val="0"/>
        <w:autoSpaceDN w:val="0"/>
        <w:spacing w:before="64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笔</w:t>
      </w:r>
    </w:p>
    <w:p>
      <w:pPr>
        <w:framePr w:w="450" w:x="6728" w:y="6986"/>
        <w:widowControl w:val="0"/>
        <w:autoSpaceDE w:val="0"/>
        <w:autoSpaceDN w:val="0"/>
        <w:spacing w:before="62"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录</w:t>
      </w:r>
    </w:p>
    <w:p>
      <w:pPr>
        <w:framePr w:w="2803" w:x="8168" w:y="7093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案件调查终结报告</w:t>
      </w:r>
    </w:p>
    <w:p>
      <w:pPr>
        <w:framePr w:w="1522" w:x="13609" w:y="7093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补充证据</w:t>
      </w:r>
    </w:p>
    <w:p>
      <w:pPr>
        <w:framePr w:w="480" w:x="5130" w:y="7302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事</w:t>
      </w:r>
    </w:p>
    <w:p>
      <w:pPr>
        <w:framePr w:w="2920" w:x="1928" w:y="7360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书</w:t>
      </w:r>
      <w:r>
        <w:rPr>
          <w:rFonts w:ascii="SJMLFC+FangSong_GB2312" w:hAnsi="Calibri"/>
          <w:color w:val="000000"/>
          <w:spacing w:val="322"/>
          <w:sz w:val="32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物</w:t>
      </w:r>
      <w:r>
        <w:rPr>
          <w:rFonts w:ascii="SJMLFC+FangSong_GB2312" w:hAnsi="Calibri"/>
          <w:color w:val="000000"/>
          <w:spacing w:val="319"/>
          <w:sz w:val="32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听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人</w:t>
      </w:r>
    </w:p>
    <w:p>
      <w:pPr>
        <w:framePr w:w="2920" w:x="1928" w:y="7360"/>
        <w:widowControl w:val="0"/>
        <w:autoSpaceDE w:val="0"/>
        <w:autoSpaceDN w:val="0"/>
        <w:spacing w:before="35" w:line="280" w:lineRule="exact"/>
        <w:ind w:left="1601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资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证</w:t>
      </w:r>
    </w:p>
    <w:p>
      <w:pPr>
        <w:framePr w:w="520" w:x="5929" w:y="7360"/>
        <w:widowControl w:val="0"/>
        <w:autoSpaceDE w:val="0"/>
        <w:autoSpaceDN w:val="0"/>
        <w:spacing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定</w:t>
      </w:r>
    </w:p>
    <w:p>
      <w:pPr>
        <w:framePr w:w="520" w:x="5929" w:y="7360"/>
        <w:widowControl w:val="0"/>
        <w:autoSpaceDE w:val="0"/>
        <w:autoSpaceDN w:val="0"/>
        <w:spacing w:before="84"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结</w:t>
      </w:r>
    </w:p>
    <w:p>
      <w:pPr>
        <w:framePr w:w="520" w:x="5929" w:y="7360"/>
        <w:widowControl w:val="0"/>
        <w:autoSpaceDE w:val="0"/>
        <w:autoSpaceDN w:val="0"/>
        <w:spacing w:before="85"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论</w:t>
      </w:r>
    </w:p>
    <w:p>
      <w:pPr>
        <w:framePr w:w="480" w:x="5130" w:y="7614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人</w:t>
      </w:r>
    </w:p>
    <w:p>
      <w:pPr>
        <w:framePr w:w="480" w:x="5130" w:y="7614"/>
        <w:widowControl w:val="0"/>
        <w:autoSpaceDE w:val="0"/>
        <w:autoSpaceDN w:val="0"/>
        <w:spacing w:before="72"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陈</w:t>
      </w:r>
    </w:p>
    <w:p>
      <w:pPr>
        <w:framePr w:w="480" w:x="5130" w:y="7614"/>
        <w:widowControl w:val="0"/>
        <w:autoSpaceDE w:val="0"/>
        <w:autoSpaceDN w:val="0"/>
        <w:spacing w:before="72"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述</w:t>
      </w:r>
    </w:p>
    <w:p>
      <w:pPr>
        <w:framePr w:w="1362" w:x="1928" w:y="7785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证</w:t>
      </w:r>
      <w:r>
        <w:rPr>
          <w:rFonts w:ascii="SJMLFC+FangSong_GB2312" w:hAnsi="Calibri"/>
          <w:color w:val="000000"/>
          <w:spacing w:val="322"/>
          <w:sz w:val="32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证</w:t>
      </w:r>
    </w:p>
    <w:p>
      <w:pPr>
        <w:framePr w:w="1319" w:x="3529" w:y="8087"/>
        <w:widowControl w:val="0"/>
        <w:autoSpaceDE w:val="0"/>
        <w:autoSpaceDN w:val="0"/>
        <w:spacing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料</w:t>
      </w:r>
      <w:r>
        <w:rPr>
          <w:rFonts w:ascii="SJMLFC+FangSong_GB2312" w:hAnsi="Calibri"/>
          <w:color w:val="000000"/>
          <w:spacing w:val="379"/>
          <w:sz w:val="28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言</w:t>
      </w:r>
    </w:p>
    <w:p>
      <w:pPr>
        <w:framePr w:w="3764" w:x="7688" w:y="8288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办案机构业务会集体讨论</w:t>
      </w:r>
    </w:p>
    <w:p>
      <w:pPr>
        <w:framePr w:w="560" w:x="802" w:y="9700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</w:t>
      </w:r>
    </w:p>
    <w:p>
      <w:pPr>
        <w:framePr w:w="560" w:x="802" w:y="9700"/>
        <w:widowControl w:val="0"/>
        <w:autoSpaceDE w:val="0"/>
        <w:autoSpaceDN w:val="0"/>
        <w:spacing w:before="9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件</w:t>
      </w:r>
    </w:p>
    <w:p>
      <w:pPr>
        <w:framePr w:w="560" w:x="802" w:y="9700"/>
        <w:widowControl w:val="0"/>
        <w:autoSpaceDE w:val="0"/>
        <w:autoSpaceDN w:val="0"/>
        <w:spacing w:before="95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审</w:t>
      </w:r>
    </w:p>
    <w:p>
      <w:pPr>
        <w:framePr w:w="560" w:x="802" w:y="9700"/>
        <w:widowControl w:val="0"/>
        <w:autoSpaceDE w:val="0"/>
        <w:autoSpaceDN w:val="0"/>
        <w:spacing w:before="9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核</w:t>
      </w:r>
    </w:p>
    <w:p>
      <w:pPr>
        <w:framePr w:w="4405" w:x="7529" w:y="10393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局执法审理（法制）机构审核</w:t>
      </w:r>
    </w:p>
    <w:p>
      <w:pPr>
        <w:framePr w:w="3761" w:x="7528" w:y="12182"/>
        <w:widowControl w:val="0"/>
        <w:autoSpaceDE w:val="0"/>
        <w:autoSpaceDN w:val="0"/>
        <w:spacing w:line="320" w:lineRule="exact"/>
        <w:ind w:left="320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局案审会集体审议决定</w:t>
      </w:r>
    </w:p>
    <w:p>
      <w:pPr>
        <w:framePr w:w="3761" w:x="7528" w:y="12182"/>
        <w:widowControl w:val="0"/>
        <w:autoSpaceDE w:val="0"/>
        <w:autoSpaceDN w:val="0"/>
        <w:spacing w:before="874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处罚决定</w:t>
      </w:r>
    </w:p>
    <w:p>
      <w:pPr>
        <w:framePr w:w="2647" w:x="802" w:y="13376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决</w:t>
      </w:r>
      <w:r>
        <w:rPr>
          <w:rFonts w:ascii="SJMLFC+FangSong_GB2312" w:hAnsi="Calibri"/>
          <w:color w:val="000000"/>
          <w:spacing w:val="647"/>
          <w:sz w:val="32"/>
          <w:szCs w:val="22"/>
          <w:lang w:val="en-US" w:eastAsia="en-US" w:bidi="ar-SA"/>
        </w:rPr>
        <w:t xml:space="preserve"> </w:t>
      </w: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受理听证</w:t>
      </w:r>
    </w:p>
    <w:p>
      <w:pPr>
        <w:framePr w:w="2647" w:x="802" w:y="13376"/>
        <w:widowControl w:val="0"/>
        <w:autoSpaceDE w:val="0"/>
        <w:autoSpaceDN w:val="0"/>
        <w:spacing w:before="275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定</w:t>
      </w:r>
    </w:p>
    <w:p>
      <w:pPr>
        <w:framePr w:w="2001" w:x="4169" w:y="13376"/>
        <w:widowControl w:val="0"/>
        <w:autoSpaceDE w:val="0"/>
        <w:autoSpaceDN w:val="0"/>
        <w:spacing w:line="320" w:lineRule="exact"/>
        <w:ind w:left="160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申请听证</w:t>
      </w:r>
    </w:p>
    <w:p>
      <w:pPr>
        <w:framePr w:w="2001" w:x="4169" w:y="13376"/>
        <w:widowControl w:val="0"/>
        <w:autoSpaceDE w:val="0"/>
        <w:autoSpaceDN w:val="0"/>
        <w:spacing w:before="872" w:line="320" w:lineRule="exact"/>
        <w:ind w:left="160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告知听证权</w:t>
      </w:r>
    </w:p>
    <w:p>
      <w:pPr>
        <w:framePr w:w="2001" w:x="4169" w:y="13376"/>
        <w:widowControl w:val="0"/>
        <w:autoSpaceDE w:val="0"/>
        <w:autoSpaceDN w:val="0"/>
        <w:spacing w:before="897"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制作听证报告</w:t>
      </w:r>
    </w:p>
    <w:p>
      <w:pPr>
        <w:framePr w:w="1842" w:x="13450" w:y="13376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告知当事人</w:t>
      </w:r>
    </w:p>
    <w:p>
      <w:pPr>
        <w:framePr w:w="1680" w:x="10088" w:y="13417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不予行政处罚</w:t>
      </w:r>
    </w:p>
    <w:p>
      <w:pPr>
        <w:framePr w:w="1522" w:x="1928" w:y="14569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举行听证</w:t>
      </w:r>
    </w:p>
    <w:p>
      <w:pPr>
        <w:framePr w:w="3390" w:x="6728" w:y="14624"/>
        <w:widowControl w:val="0"/>
        <w:autoSpaceDE w:val="0"/>
        <w:autoSpaceDN w:val="0"/>
        <w:spacing w:line="210" w:lineRule="exact"/>
        <w:rPr>
          <w:rFonts w:ascii="SJMLFC+FangSong_GB2312" w:hAnsi="Calibri"/>
          <w:color w:val="000000"/>
          <w:sz w:val="21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1"/>
          <w:szCs w:val="22"/>
          <w:lang w:val="en-US" w:eastAsia="en-US" w:bidi="ar-SA"/>
        </w:rPr>
        <w:t>预处罚告知（陈述、申辩、听证）</w:t>
      </w:r>
    </w:p>
    <w:p>
      <w:pPr>
        <w:framePr w:w="2483" w:x="7049" w:y="16957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制作处罚决定书</w:t>
      </w:r>
    </w:p>
    <w:p>
      <w:pPr>
        <w:framePr w:w="2483" w:x="7049" w:y="16957"/>
        <w:widowControl w:val="0"/>
        <w:autoSpaceDE w:val="0"/>
        <w:autoSpaceDN w:val="0"/>
        <w:spacing w:before="683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送达处罚决定书</w:t>
      </w:r>
    </w:p>
    <w:p>
      <w:pPr>
        <w:framePr w:w="1522" w:x="3368" w:y="17553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行政复议</w:t>
      </w:r>
    </w:p>
    <w:p>
      <w:pPr>
        <w:framePr w:w="1522" w:x="3368" w:y="17553"/>
        <w:widowControl w:val="0"/>
        <w:autoSpaceDE w:val="0"/>
        <w:autoSpaceDN w:val="0"/>
        <w:spacing w:before="359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行政诉讼</w:t>
      </w:r>
    </w:p>
    <w:p>
      <w:pPr>
        <w:framePr w:w="560" w:x="802" w:y="18142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执</w:t>
      </w:r>
    </w:p>
    <w:p>
      <w:pPr>
        <w:framePr w:w="560" w:x="802" w:y="18142"/>
        <w:widowControl w:val="0"/>
        <w:autoSpaceDE w:val="0"/>
        <w:autoSpaceDN w:val="0"/>
        <w:spacing w:before="276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行</w:t>
      </w:r>
    </w:p>
    <w:p>
      <w:pPr>
        <w:framePr w:w="1639" w:x="6070" w:y="19602"/>
        <w:widowControl w:val="0"/>
        <w:autoSpaceDE w:val="0"/>
        <w:autoSpaceDN w:val="0"/>
        <w:spacing w:line="280" w:lineRule="exact"/>
        <w:rPr>
          <w:rFonts w:ascii="SJMLFC+FangSong_GB2312" w:hAnsi="Calibri"/>
          <w:color w:val="000000"/>
          <w:sz w:val="28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28"/>
          <w:szCs w:val="22"/>
          <w:lang w:val="en-US" w:eastAsia="en-US" w:bidi="ar-SA"/>
        </w:rPr>
        <w:t>当事人履行</w:t>
      </w:r>
    </w:p>
    <w:p>
      <w:pPr>
        <w:framePr w:w="1680" w:x="9090" w:y="19639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当事人不履行</w:t>
      </w:r>
    </w:p>
    <w:p>
      <w:pPr>
        <w:framePr w:w="1680" w:x="11209" w:y="19639"/>
        <w:widowControl w:val="0"/>
        <w:autoSpaceDE w:val="0"/>
        <w:autoSpaceDN w:val="0"/>
        <w:spacing w:line="240" w:lineRule="exact"/>
        <w:rPr>
          <w:rFonts w:ascii="SJMLFC+FangSong_GB2312" w:hAnsi="Calibri"/>
          <w:color w:val="000000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Cs w:val="22"/>
          <w:lang w:val="en-US" w:eastAsia="en-US" w:bidi="ar-SA"/>
        </w:rPr>
        <w:t>申请法院执行</w:t>
      </w:r>
    </w:p>
    <w:p>
      <w:pPr>
        <w:framePr w:w="2162" w:x="7208" w:y="20869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案件结案报告</w:t>
      </w:r>
    </w:p>
    <w:p>
      <w:pPr>
        <w:framePr w:w="560" w:x="802" w:y="21458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结</w:t>
      </w:r>
    </w:p>
    <w:p>
      <w:pPr>
        <w:framePr w:w="560" w:x="802" w:y="21458"/>
        <w:widowControl w:val="0"/>
        <w:autoSpaceDE w:val="0"/>
        <w:autoSpaceDN w:val="0"/>
        <w:spacing w:before="277"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案</w:t>
      </w:r>
    </w:p>
    <w:p>
      <w:pPr>
        <w:framePr w:w="1842" w:x="7369" w:y="22064"/>
        <w:widowControl w:val="0"/>
        <w:autoSpaceDE w:val="0"/>
        <w:autoSpaceDN w:val="0"/>
        <w:spacing w:line="320" w:lineRule="exact"/>
        <w:rPr>
          <w:rFonts w:ascii="SJMLFC+FangSong_GB2312" w:hAnsi="Calibri"/>
          <w:color w:val="000000"/>
          <w:sz w:val="32"/>
          <w:szCs w:val="22"/>
          <w:lang w:val="en-US" w:eastAsia="en-US" w:bidi="ar-SA"/>
        </w:rPr>
      </w:pPr>
      <w:r>
        <w:rPr>
          <w:rFonts w:ascii="SJMLFC+FangSong_GB2312" w:hAnsi="SJMLFC+FangSong_GB2312" w:cs="SJMLFC+FangSong_GB2312"/>
          <w:color w:val="000000"/>
          <w:sz w:val="32"/>
          <w:szCs w:val="22"/>
          <w:lang w:val="en-US" w:eastAsia="en-US" w:bidi="ar-SA"/>
        </w:rPr>
        <w:t>结案、归档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78.8pt;height:1099.4pt;margin-top:51.4pt;margin-left:31.4pt;mso-position-horizontal-relative:page;mso-position-vertical-relative:page;position:absolute;z-index:-251658240">
            <v:imagedata r:id="rId4" o:title=""/>
          </v:shape>
        </w:pict>
      </w:r>
    </w:p>
    <w:sectPr>
      <w:pgSz w:w="16840" w:h="23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JMLFC+FangSong_GB2312">
    <w:panose1 w:val="02010609030101010101"/>
    <w:charset w:val="01"/>
    <w:family w:val="modern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