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1、行政复议：收到处罚通知书之日起60日内，向益阳市赫山区人民政府申请。</w:t>
      </w:r>
    </w:p>
    <w:p>
      <w:r>
        <w:rPr>
          <w:rFonts w:hint="eastAsia"/>
        </w:rPr>
        <w:t>2、行政诉讼：收到复议决定书之日起15日内或知道具体行政行为作出之日6个月内向益阳市桃江县人民法院提起行政诉讼。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DY2ZDI2YTA4ZTJhNDhkZGIwZTNkMzIzYzhiZWUifQ=="/>
  </w:docVars>
  <w:rsids>
    <w:rsidRoot w:val="00172A27"/>
    <w:rsid w:val="0CCE1372"/>
    <w:rsid w:val="3202053A"/>
    <w:rsid w:val="3EF83B33"/>
    <w:rsid w:val="4FA65034"/>
    <w:rsid w:val="77DE0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40" w:firstLineChars="200"/>
      <w:jc w:val="both"/>
    </w:pPr>
    <w:rPr>
      <w:rFonts w:ascii="仿宋_GB2312" w:hAnsi="仿宋_GB2312" w:eastAsia="仿宋_GB2312" w:cs="仿宋_GB2312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90</Words>
  <Characters>92</Characters>
  <Lines>0</Lines>
  <Paragraphs>0</Paragraphs>
  <TotalTime>0</TotalTime>
  <ScaleCrop>false</ScaleCrop>
  <LinksUpToDate>false</LinksUpToDate>
  <CharactersWithSpaces>92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2022-10-17T03:40:22Z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E578CA71B7964ACD9C64D9EDF40996AE</vt:lpwstr>
  </property>
</Properties>
</file>