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40" w:lineRule="exact"/>
        <w:ind w:left="3080" w:hanging="3080" w:hangingChars="7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赫山区2024年绿色种养循环农业试点项目</w:t>
      </w:r>
    </w:p>
    <w:p>
      <w:pPr>
        <w:spacing w:line="640" w:lineRule="exact"/>
        <w:ind w:left="3080" w:hanging="3080" w:hangingChars="7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考核验收办法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pStyle w:val="14"/>
        <w:spacing w:after="0" w:line="560" w:lineRule="exact"/>
        <w:ind w:left="0" w:leftChars="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为建立健全</w:t>
      </w:r>
      <w:r>
        <w:rPr>
          <w:rFonts w:hint="eastAsia" w:eastAsia="仿宋_GB2312"/>
          <w:sz w:val="32"/>
          <w:szCs w:val="32"/>
        </w:rPr>
        <w:t>赫山区</w:t>
      </w:r>
      <w:r>
        <w:rPr>
          <w:rFonts w:eastAsia="仿宋_GB2312"/>
          <w:sz w:val="32"/>
          <w:szCs w:val="32"/>
        </w:rPr>
        <w:t>绿色种养循环农业试点项目责任明确、主体积极、多方参与、监管有效的工作机制，特制定本考核验收办法。</w:t>
      </w:r>
    </w:p>
    <w:p>
      <w:pPr>
        <w:spacing w:line="56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一、验收方式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yellow"/>
        </w:rPr>
      </w:pPr>
      <w:r>
        <w:rPr>
          <w:rFonts w:eastAsia="仿宋_GB2312"/>
          <w:sz w:val="32"/>
          <w:szCs w:val="32"/>
        </w:rPr>
        <w:t>第三方服务组织在承担的粪肥还田示范区建设任务结束后，向</w:t>
      </w:r>
      <w:r>
        <w:rPr>
          <w:rFonts w:hint="eastAsia" w:eastAsia="仿宋_GB2312"/>
          <w:sz w:val="32"/>
          <w:szCs w:val="32"/>
        </w:rPr>
        <w:t>区</w:t>
      </w:r>
      <w:r>
        <w:rPr>
          <w:rFonts w:eastAsia="仿宋_GB2312"/>
          <w:sz w:val="32"/>
          <w:szCs w:val="32"/>
        </w:rPr>
        <w:t>农业农村局提出项目验收申请，并由第三方监理根据项目日常监理情况出具项目监理报告。根据项目完成情况，结合第三方监理情况，</w:t>
      </w:r>
      <w:r>
        <w:rPr>
          <w:rFonts w:hint="eastAsia" w:eastAsia="仿宋_GB2312"/>
          <w:sz w:val="32"/>
          <w:szCs w:val="32"/>
        </w:rPr>
        <w:t>由区</w:t>
      </w:r>
      <w:r>
        <w:rPr>
          <w:rFonts w:eastAsia="仿宋_GB2312"/>
          <w:sz w:val="32"/>
          <w:szCs w:val="32"/>
        </w:rPr>
        <w:t>农业农村局牵头组织相关部门的技术人员对</w:t>
      </w:r>
      <w:r>
        <w:rPr>
          <w:rFonts w:hint="eastAsia" w:eastAsia="仿宋_GB2312"/>
          <w:sz w:val="32"/>
          <w:szCs w:val="32"/>
        </w:rPr>
        <w:t>各试点服务组织</w:t>
      </w:r>
      <w:r>
        <w:rPr>
          <w:rFonts w:eastAsia="仿宋_GB2312"/>
          <w:sz w:val="32"/>
          <w:szCs w:val="32"/>
        </w:rPr>
        <w:t>项目建设成果进行考核验收。</w:t>
      </w:r>
    </w:p>
    <w:p>
      <w:pPr>
        <w:spacing w:line="56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二、验收标准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验收标准坚持实事求是、严谨科学的原则，严格执行“谁验收、谁负责”“谁签字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谁负责”制度，做到按程序操作，按标准核查验收。坚决防止虚报作业面积、降低作业质量标准、套取作业补助资金等违规现象发生。由</w:t>
      </w:r>
      <w:r>
        <w:rPr>
          <w:rFonts w:hint="eastAsia" w:eastAsia="仿宋_GB2312"/>
          <w:sz w:val="32"/>
          <w:szCs w:val="32"/>
        </w:rPr>
        <w:t>区</w:t>
      </w:r>
      <w:r>
        <w:rPr>
          <w:rFonts w:eastAsia="仿宋_GB2312"/>
          <w:sz w:val="32"/>
          <w:szCs w:val="32"/>
        </w:rPr>
        <w:t>农业农村局牵头组织相关人员对粪肥收集、处理、还田等环节的现场及工作台账等进行定期或不定期督导，督导情况纳入项目考核验收范围。</w:t>
      </w:r>
    </w:p>
    <w:p>
      <w:pPr>
        <w:spacing w:line="56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三、考核对象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承建了2024年绿色种养循环农业试点项目粪肥还田示范区建设任务的4家试点服务组织。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黑体"/>
          <w:bCs/>
          <w:sz w:val="32"/>
          <w:szCs w:val="32"/>
        </w:rPr>
        <w:t>四、考核内容、方式及标准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主要考核各试点服务组织项目建设成果，其内容包任务完成情况、市场化机制探索情况、粪肥还田模式建设情况、群众满意度情况等。严格按照《</w:t>
      </w: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赫山区</w:t>
      </w: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绿色种养循环农业试点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项目实施主体</w:t>
      </w: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考核</w:t>
      </w: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评分表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》进行考核。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五、考核结果的运用</w:t>
      </w:r>
    </w:p>
    <w:p>
      <w:pPr>
        <w:spacing w:line="560" w:lineRule="exact"/>
        <w:ind w:firstLine="640" w:firstLineChars="20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（一）作为本年度项目结算的主要依据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根据考核验收结果，对各试点服务组织按任务完成情况进行结算。其中，超任务完成的部分面积将根据总体考评情况分档次纳入奖补范围。</w:t>
      </w:r>
    </w:p>
    <w:p>
      <w:pPr>
        <w:spacing w:line="560" w:lineRule="exact"/>
        <w:ind w:firstLine="640" w:firstLineChars="20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（二）作为确定下年度项目实施主体的主要依据</w:t>
      </w:r>
    </w:p>
    <w:p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0" w:footer="992" w:gutter="0"/>
          <w:pgNumType w:fmt="numberInDash"/>
          <w:cols w:space="708" w:num="1"/>
          <w:docGrid w:linePitch="360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在本项目得到省级财政支持的前提下，总体考评分数在70分（含）以上的，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可继续承建下年度试点项目相关工作；70分以下的，则取消试点资格。</w:t>
      </w: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eastAsia="en-US" w:bidi="en-US"/>
        </w:rPr>
      </w:pPr>
      <w:bookmarkStart w:id="0" w:name="_Hlk103344245"/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-655320</wp:posOffset>
                </wp:positionH>
                <wp:positionV relativeFrom="paragraph">
                  <wp:posOffset>-13970</wp:posOffset>
                </wp:positionV>
                <wp:extent cx="434340" cy="579056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" cy="5790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宋体" w:hAnsi="宋体" w:cs="宋体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</w:rPr>
                              <w:t>- 20 -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1.6pt;margin-top:-1.1pt;height:455.95pt;width:34.2pt;z-index:251664384;mso-width-relative:page;mso-height-relative:page;" filled="f" stroked="f" coordsize="21600,21600" o:gfxdata="UEsDBAoAAAAAAIdO4kAAAAAAAAAAAAAAAAAEAAAAZHJzL1BLAwQUAAAACACHTuJA9hEXJtwAAAAL&#10;AQAADwAAAGRycy9kb3ducmV2LnhtbE2PwU7DMBBE70j8g7VI3FI7aVVIiFMVJCTEIVILhx7teEki&#10;YjvETlv69SwnOO2uZjT7ptyc7cCOOIXeOwnpQgBD13jTu1bC+9tzcg8sROWMGrxDCd8YYFNdX5Wq&#10;MP7kdnjcx5ZRiAuFktDFOBach6ZDq8LCj+hI+/CTVZHOqeVmUicKtwPPhFhzq3pHHzo14lOHzed+&#10;thJetof5a57qVX45XLa11q/1o15LeXuTigdgEc/xzwy/+IQOFTFpPzsT2CAhScUyIy9tGU1yJMsV&#10;ldEScpHfAa9K/r9D9QNQSwMEFAAAAAgAh07iQA6BYWOeAQAAHAMAAA4AAABkcnMvZTJvRG9jLnht&#10;bK1SzW4TMRC+I/EOlu/Em0IKrLKphKpyqWilAnfHO85aWnss281uXqC8QU+99N7nynN07CyhwA0h&#10;S/75ZubzfDOzPBttz7YQokHX8Pms4gycwta4TcO/fb1484GzmKRrZY8OGr6DyM9Wr18tB1/DCXbY&#10;txAYkbhYD77hXUq+FiKqDqyMM/TgyKgxWJnoGTaiDXIgdtuLk6o6FQOG1gdUECOh5wcjXxV+rUGl&#10;K60jJNY3nHJLZQ9lX+ddrJay3gTpO6OmNOQ/ZGGlcfTpkepcJslug/mLyhoVMKJOM4VWoNZGQdFA&#10;aubVH2puOumhaKHiRH8sU/x/tOrL9jow01LvOHPSUov29z/2D0/7xzs2z+UZfKzJ68aTXxo/4Zhd&#10;JzwSmFWPOth8kh5Gdir07lhcGBNTBL57S4ssikyL9x+rxeki04hf0T7E9BnQsnxpeKDmlZrK7WVM&#10;B9efLvkzhxem7wmXde9+A4jzgECZgCk6CzkknG9pXI+TijW2OxJHU0y/gvxOJ2e3PphNR0ARK3II&#10;taDkO41L7vHLN91fDvXqG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PYRFybcAAAACwEAAA8AAAAA&#10;AAAAAQAgAAAAIgAAAGRycy9kb3ducmV2LnhtbFBLAQIUABQAAAAIAIdO4kAOgWFjngEAABwDAAAO&#10;AAAAAAAAAAEAIAAAACsBAABkcnMvZTJvRG9jLnhtbFBLBQYAAAAABgAGAFkBAAA7BQAAAAA=&#10;">
                <v:fill on="f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spacing w:line="240" w:lineRule="exact"/>
                        <w:jc w:val="left"/>
                        <w:rPr>
                          <w:rFonts w:ascii="宋体" w:hAnsi="宋体" w:cs="宋体"/>
                        </w:rPr>
                      </w:pPr>
                      <w:r>
                        <w:rPr>
                          <w:rFonts w:hint="eastAsia" w:ascii="宋体" w:hAnsi="宋体" w:cs="宋体"/>
                        </w:rPr>
                        <w:t>- 20 -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en-US" w:bidi="en-US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en-US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en-US" w:bidi="en-US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en-US"/>
        </w:rPr>
        <w:t>赫山区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en-US" w:bidi="en-US"/>
        </w:rPr>
        <w:t>绿色种养循环农业试点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en-US"/>
        </w:rPr>
        <w:t>项目实施主体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en-US" w:bidi="en-US"/>
        </w:rPr>
        <w:t>年度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en-US"/>
        </w:rPr>
        <w:t>考核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en-US" w:bidi="en-US"/>
        </w:rPr>
        <w:t>评分表</w:t>
      </w:r>
    </w:p>
    <w:bookmarkEnd w:id="0"/>
    <w:tbl>
      <w:tblPr>
        <w:tblStyle w:val="15"/>
        <w:tblpPr w:leftFromText="180" w:rightFromText="180" w:vertAnchor="text" w:horzAnchor="page" w:tblpXSpec="center" w:tblpY="776"/>
        <w:tblOverlap w:val="never"/>
        <w:tblW w:w="1503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709"/>
        <w:gridCol w:w="1843"/>
        <w:gridCol w:w="709"/>
        <w:gridCol w:w="9114"/>
        <w:gridCol w:w="875"/>
        <w:gridCol w:w="6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一级指标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分值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二级指标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分值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评估内容和评分标准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得分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组织管理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1、管理制度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1.包括组织结构与人员分工、人员配备、管理制度、安全生产制度，每项0.5分（2分）；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2.主要负责人配合项目调度、工作汇报、通报整改等工作，没有参加不计分（1分）；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3.配合主管部门与乡镇调度（2分）。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2、场地设备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是否按照招标要求配备相应的场地（租用协议、照片）、设备（以沼液运输车辆数量纳入监管平台为参考，并提供行驶证、车辆照片），与投标响应文件不符的每项扣1分（5分）。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3、实施方案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根据项目要求，中标主体应根据各标段情况组织开展调研，形成可操作的实施方案（1分）；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按照工作任务合理安排工作进度（1分）。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4.报表资料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1.项目实施资料按考核内容分项整理，按一级指标分类，每少1项扣0.2分（1分）；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2.按要求及时填报工作进度报表，未按要求完成每次扣0.5分（2分）。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1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粪肥质量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5.质量控制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1.堆肥，提供自检报告或委检报告（5分）；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2.液肥按《畜禽粪便还田技术规范》沼肥的卫生学要求，并提供相应的监测记录、检验报告（3分）。按生产批次与检验批次比例计分。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6.抽检情况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抽检不合格的，每批次扣0.5分，直至本项扣完为止（7分）。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7.生产记录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1.堆肥，配备辅料与发酵菌剂（供应协议、送货单、磅单）、翻堆记录（2分）；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2.液肥，查阅每个生产批次发酵菌剂配备、发酵处理等记录情况，记录不全的每少1个批次扣0.1分（3分）。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任务执行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8．台账抽查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8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抽查粪污收集、处理、粪肥还田台账，发现1个台账与调查不符扣0.5分，直至本项扣完为止（8分）。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9．收集处理量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5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对照抽查情况，对照粪肥还田追溯监管平台，折算工作量。按完成比例计分（5分）。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10．粪肥还田量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1.对照抽查情况，对照粪肥还田追溯监管平台，折算工作量。按完成比例计分（6分）；</w:t>
            </w:r>
          </w:p>
          <w:p>
            <w:pPr>
              <w:pStyle w:val="9"/>
              <w:spacing w:line="280" w:lineRule="exac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lang w:bidi="ar"/>
              </w:rPr>
              <w:t>2.折算工作量未完成任务的扣2分。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11.追溯监管平台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1.安排专人管理粪肥还田追溯监管平台服务主体端，填报养殖单位、处理点、检测、还田主体与作物信息，信息不完整每项扣0.2分（3分）；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2.液肥运输车辆配备“GPS+车载称重”设备，接入赫山区绿色种养循环粪肥还田追溯平台，工作人员能按平台使用流程操作，司机端准确录入运输信息（3分）。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12.安全生产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1.施工人员购买意外险，信息不完整每项扣0.5分（1分）；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2.项目实施过程确保安全生产，发生安全生产事故计0分（1分）。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1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机制探索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13.运行机制与技术模式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总结运行管理经验与收集处理还田示范对比效果，探索形成至少1个运行机制和1个技术模式，各计2分（4分），增加1个机制或模式加0.5分（共1分）。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14.收费机制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1.付费处理。与养殖户签订付费处理协议，并有养殖户付费处理银行记录，探索付费处理机制，按签订协议与实际付费户数比例计分（5分）；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2.付费用肥。与种植主体签订付费用肥协议，并有种植主体付费用肥银行记录，探索付费用肥机制，按签订协议与实际付费户数比例计分（3分）以种植大户数量为参考折算。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15.设备革新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1.液肥车辆配备加压泵，车罐出口改为直径65mm以下的消防管接头、喷头（2分）；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2.在养殖场配备发酵桶（罐）、施用设施（如施肥桶或储肥罐），每项计1分（2分）；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3.配置专用机械设备（如沼液田间喷撒机械、干粪撒施机）每台计1分（4分）。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（需提供购置票据，照片）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13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示范宣传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16．还田示范片区建设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示范片区有标牌、负责人各0.5分（共1分）；对比丘、对比效果总结（需要提供现场测产数据）各1分（2分）。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17.收集处理示范场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示范场所标牌、肥料处理操作流程、安全警示标志、发酵处理记录（每项0.5分，共2分）。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18.现场观摩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在收集处理示范场，还田示范片区组织项目区养殖户、种植户开展现场观摩1次以上（2分）（现场观摩会通知，签到表，现场照片）。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19.培训宣传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1.按要求参加业务培训，组织员工开展业务培训2期以上（1分）（培训通知，签到表，照片）；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2.对项目实施情况进行媒体宣传每条计0.5分，相内容不重复计分，宣传内容数据错误出现1次扣1分（2分）。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20.农户满意度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因项目实施工作不到位，造成不良影响，被农户投诉，经查属实，计0分（2分）。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21.督导检查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项目实施工作不到位，被县级检查通报每次扣1分，被市级以上检查通报计0分（3分）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合    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100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bidi="ar"/>
              </w:rPr>
              <w:t>100</w:t>
            </w:r>
          </w:p>
        </w:tc>
        <w:tc>
          <w:tcPr>
            <w:tcW w:w="9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bCs/>
                <w:szCs w:val="21"/>
              </w:rPr>
            </w:pPr>
          </w:p>
        </w:tc>
      </w:tr>
    </w:tbl>
    <w:p>
      <w:pPr>
        <w:widowControl/>
        <w:spacing w:line="36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en-US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-636905</wp:posOffset>
                </wp:positionH>
                <wp:positionV relativeFrom="paragraph">
                  <wp:posOffset>-212090</wp:posOffset>
                </wp:positionV>
                <wp:extent cx="434340" cy="576199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" cy="576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right"/>
                              <w:rPr>
                                <w:rFonts w:ascii="宋体" w:hAnsi="宋体" w:cs="宋体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</w:rPr>
                              <w:t>- 21 -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15pt;margin-top:-16.7pt;height:453.7pt;width:34.2pt;z-index:251661312;mso-width-relative:page;mso-height-relative:page;" filled="f" stroked="f" coordsize="21600,21600" o:gfxdata="UEsDBAoAAAAAAIdO4kAAAAAAAAAAAAAAAAAEAAAAZHJzL1BLAwQUAAAACACHTuJA4Cm5i90AAAAM&#10;AQAADwAAAGRycy9kb3ducmV2LnhtbE2PwU7DMAyG70i8Q2Qkbl1SWo2tNJ0GEhLiUGmDw45JY9qK&#10;xilNuo09PeEEN1v+9Pv7y83ZDuyIk+8dSUgXAhhS40xPrYT3t+dkBcwHRUYNjlDCN3rYVNdXpSqM&#10;O9EOj/vQshhCvlASuhDGgnPfdGiVX7gRKd4+3GRViOvUcjOpUwy3A78TYsmt6il+6NSITx02n/vZ&#10;SnjZHuavearz9eVw2dZav9aPeinl7U0qHoAFPIc/GH71ozpU0Um7mYxng4QkFSKLbJyyLAcWkSRL&#10;18C0hNV9LoBXJf9fovoBUEsDBBQAAAAIAIdO4kCY/l9NngEAABwDAAAOAAAAZHJzL2Uyb0RvYy54&#10;bWytUs1OGzEQviPxDpbvxAmlpKyyQaoQXCqKBPTueMdZS2uPZZvs5gXoG/TUC3eeK8/B2AkB2ltV&#10;WfLPNz+e75uZnQ+2YysI0aCr+WQ05gycwsa4Zc3v7y6PvnAWk3SN7NBBzdcQ+fn88GDW+wqOscWu&#10;gcAoiYtV72vepuQrIaJqwco4Qg+OjBqDlYmeYSmaIHvKbjtxPB6fih5D4wMqiJHQi62Rz0t+rUGl&#10;71pHSKyrOdWWyh7Kvsi7mM9ktQzSt0btypD/UIWVxtGn+1QXMkn2EMxfqaxRASPqNFJoBWptFBQO&#10;xGYy/oPNbSs9FC4kTvR7meL/S6uuVzeBmabmU86ctNSiza+fm9/Pm6dHNs3y9D5W5HXryS8NX3Gg&#10;Nr/ikcDMetDB5pP4MLKT0Ou9uDAkpgg8+USLLIpMn6enk7Ozor54i/YhpitAy/Kl5oGaVzSVq28x&#10;USXk+uqSP3N4abquNLBzHwBy3CJQJmAXnYlsC863NCyGHbsFNmsiR1NMv4L8QSdnDz6YZUtAISty&#10;CLWgFLEbl9zj92+6vx/q+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gKbmL3QAAAAwBAAAPAAAA&#10;AAAAAAEAIAAAACIAAABkcnMvZG93bnJldi54bWxQSwECFAAUAAAACACHTuJAmP5fTZ4BAAAcAwAA&#10;DgAAAAAAAAABACAAAAAsAQAAZHJzL2Uyb0RvYy54bWxQSwUGAAAAAAYABgBZAQAAPAUAAAAA&#10;">
                <v:fill on="f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spacing w:line="240" w:lineRule="exact"/>
                        <w:jc w:val="right"/>
                        <w:rPr>
                          <w:rFonts w:ascii="宋体" w:hAnsi="宋体" w:cs="宋体"/>
                        </w:rPr>
                      </w:pPr>
                      <w:r>
                        <w:rPr>
                          <w:rFonts w:hint="eastAsia" w:ascii="宋体" w:hAnsi="宋体" w:cs="宋体"/>
                        </w:rPr>
                        <w:t>- 21 -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仿宋_GB2312"/>
          <w:kern w:val="0"/>
          <w:sz w:val="24"/>
          <w:szCs w:val="24"/>
          <w:lang w:eastAsia="en-US" w:bidi="en-US"/>
        </w:rPr>
        <w:t>填表单位：</w:t>
      </w:r>
    </w:p>
    <w:p>
      <w:pPr>
        <w:pStyle w:val="11"/>
        <w:spacing w:line="360" w:lineRule="exact"/>
        <w:ind w:left="134" w:leftChars="48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注：考核总分为100分，70分（含）为及格，80（含）-90分为良，90分（含）以上为优。对于项目实施考核不及格的主体，取消试点资格。</w:t>
      </w:r>
    </w:p>
    <w:p>
      <w:pPr>
        <w:pStyle w:val="11"/>
        <w:spacing w:line="360" w:lineRule="exac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被考评单位：                        考评人：                           考评时间：</w:t>
      </w:r>
      <w:r>
        <w:rPr>
          <w:rFonts w:hint="eastAsia" w:ascii="仿宋" w:hAnsi="仿宋" w:eastAsia="仿宋" w:cs="仿宋"/>
          <w:bCs/>
          <w:sz w:val="28"/>
          <w:szCs w:val="28"/>
        </w:rPr>
        <w:tab/>
      </w:r>
    </w:p>
    <w:p>
      <w:pPr>
        <w:spacing w:line="360" w:lineRule="exact"/>
        <w:sectPr>
          <w:footerReference r:id="rId4" w:type="default"/>
          <w:pgSz w:w="16838" w:h="11906" w:orient="landscape"/>
          <w:pgMar w:top="1587" w:right="1814" w:bottom="1587" w:left="1814" w:header="851" w:footer="992" w:gutter="0"/>
          <w:pgNumType w:fmt="numberInDash"/>
          <w:cols w:space="720" w:num="1"/>
          <w:docGrid w:type="lines" w:linePitch="396" w:charSpace="0"/>
        </w:sectPr>
      </w:pPr>
    </w:p>
    <w:p>
      <w:pPr>
        <w:spacing w:line="572" w:lineRule="exact"/>
        <w:ind w:firstLine="320" w:firstLineChars="100"/>
        <w:rPr>
          <w:rFonts w:ascii="黑体" w:hAnsi="黑体" w:cs="黑体"/>
          <w:kern w:val="44"/>
          <w:sz w:val="32"/>
          <w:szCs w:val="32"/>
        </w:rPr>
      </w:pPr>
      <w:bookmarkStart w:id="1" w:name="_GoBack"/>
      <w:bookmarkEnd w:id="1"/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9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73299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wmSwMQAgAABwQAAA4AAABkcnMvZTJvRG9jLnhtbK1TzY7TMBC+I/EO&#10;lu80aRGrbtV0VXZVhFSxKxXE2XWcJpL/ZLtNygPAG3Diwp3n6nPw2Wm6aJcT4mKPPeNvZr75PL/p&#10;lCQH4XxjdEHHo5wSobkpG70r6KePq1dTSnxgumTSaFHQo/D0ZvHyxby1MzExtZGlcAQg2s9aW9A6&#10;BDvLMs9roZgfGSs0nJVxigUc3S4rHWuBrmQ2yfOrrDWutM5w4T1u73onXST8qhI83FeVF4HIgqK2&#10;kFaX1m1cs8WczXaO2brh5zLYP1ShWKOR9AJ1xwIje9c8g1INd8abKoy4UZmpqoaL1AO6GedPutnU&#10;zIrUC8jx9kKT/3+w/MPhwZGmLOg1JZopjOj0/dvpx6/Tz6/kOtLTWj9D1MYiLnRvTYcxD/cel7Hr&#10;rnIq7uiHwA+ijxdyRRcIj4+mk+k0h4vDNxyAnz0+t86Hd8IoEo2COkwvkcoOax/60CEkZtNm1UiZ&#10;Jig1aQt69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C8JksD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??_GB2312" w:hAnsi="??_GB2312" w:cs="??_GB2312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??_GB2312" w:hAnsi="??_GB2312" w:cs="??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920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l+6YPAgAACQQAAA4AAABkcnMvZTJvRG9jLnhtbK1TzY7TMBC+I/EO&#10;lu80aRFVVTVdlV0VIVXsSgVxdh2nieQ/2W6T8gDwBpy4cOe5+hx8dpouYveEuDiTmfE3M998Xtx0&#10;SpKjcL4xuqDjUU6J0NyUjd4X9NPH9asZJT4wXTJptCjoSXh6s3z5YtHauZiY2shSOAIQ7eetLWgd&#10;gp1nmee1UMyPjBUawco4xQJ+3T4rHWuBrmQ2yfNp1hpXWme48B7euz5Ilwm/qgQP91XlRSCyoOgt&#10;pNOlcxfPbLlg871jtm74pQ32D10o1mgUvULdscDIwTVPoFTDnfGmCiNuVGaqquEizYBpxvlf02xr&#10;ZkWaBeR4e6XJ/z9Y/uH44EhTYndTSjRT2NH5+7fzj1/nn18JfCCotX6OvK1FZujemg7Jg9/DGefu&#10;KqfiFxMRxEH16Uqv6ALh8dJsMpvlCHHEhh/gZ4/XrfPhnTCKRKOgDvtLtLLjxoc+dUiJ1bRZN1Km&#10;HUpN2oJOX7/J04VrBOBSo0Ycom82WqHbdZfJdqY8YTBnem14y9cNim+YDw/MQQxoGAIP9zgqaVDE&#10;XCxKauO+POeP+dgRopS0EFdBNdRPiXyvsbuow8Fwg7EbDH1QtwZqHePhWJ5MXHBBDmbljPoM1a9i&#10;DYSY5qhU0DCYt6EXOF4NF6tVSoLaLAsbvbU8QkfyvF0dAghMvEZSeiYuXEFvaTOXtxEF/ed/ynp8&#10;wc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ANl+6YPAgAACQ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40"/>
  <w:drawingGridVerticalSpacing w:val="19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OWYwY2Q2OGRlODJhNDE5YWMyZDAxMjNjMTYwMDUifQ=="/>
  </w:docVars>
  <w:rsids>
    <w:rsidRoot w:val="4F1D1A73"/>
    <w:rsid w:val="00002887"/>
    <w:rsid w:val="000175CD"/>
    <w:rsid w:val="00037228"/>
    <w:rsid w:val="000B3316"/>
    <w:rsid w:val="000B774D"/>
    <w:rsid w:val="000C72B7"/>
    <w:rsid w:val="000D4750"/>
    <w:rsid w:val="001043A7"/>
    <w:rsid w:val="001121D4"/>
    <w:rsid w:val="00113720"/>
    <w:rsid w:val="00122634"/>
    <w:rsid w:val="0017318E"/>
    <w:rsid w:val="00173970"/>
    <w:rsid w:val="001765B3"/>
    <w:rsid w:val="00190CE3"/>
    <w:rsid w:val="001A0C53"/>
    <w:rsid w:val="001B7AD7"/>
    <w:rsid w:val="001D118D"/>
    <w:rsid w:val="001E293F"/>
    <w:rsid w:val="001E5619"/>
    <w:rsid w:val="002315D5"/>
    <w:rsid w:val="00240A7F"/>
    <w:rsid w:val="0024102A"/>
    <w:rsid w:val="00245AD1"/>
    <w:rsid w:val="00262B03"/>
    <w:rsid w:val="00264676"/>
    <w:rsid w:val="00275AEA"/>
    <w:rsid w:val="002927AA"/>
    <w:rsid w:val="002A0A77"/>
    <w:rsid w:val="002B2788"/>
    <w:rsid w:val="002C206F"/>
    <w:rsid w:val="002C4393"/>
    <w:rsid w:val="002E09E0"/>
    <w:rsid w:val="002E7AD3"/>
    <w:rsid w:val="002F6741"/>
    <w:rsid w:val="00322B4A"/>
    <w:rsid w:val="00326B5C"/>
    <w:rsid w:val="00337367"/>
    <w:rsid w:val="00366DF0"/>
    <w:rsid w:val="003A383A"/>
    <w:rsid w:val="003B50C6"/>
    <w:rsid w:val="003B577A"/>
    <w:rsid w:val="003F57D3"/>
    <w:rsid w:val="00411C2F"/>
    <w:rsid w:val="004124A5"/>
    <w:rsid w:val="00453067"/>
    <w:rsid w:val="00455B37"/>
    <w:rsid w:val="00473684"/>
    <w:rsid w:val="004B626B"/>
    <w:rsid w:val="004C5FC4"/>
    <w:rsid w:val="004C661B"/>
    <w:rsid w:val="004C766A"/>
    <w:rsid w:val="004D57C0"/>
    <w:rsid w:val="00532E50"/>
    <w:rsid w:val="00564DDE"/>
    <w:rsid w:val="00567749"/>
    <w:rsid w:val="005960AE"/>
    <w:rsid w:val="005A00DE"/>
    <w:rsid w:val="005A5C94"/>
    <w:rsid w:val="005D3D18"/>
    <w:rsid w:val="005D75BC"/>
    <w:rsid w:val="005F02D2"/>
    <w:rsid w:val="00601BE4"/>
    <w:rsid w:val="00633959"/>
    <w:rsid w:val="0063459B"/>
    <w:rsid w:val="00671DBE"/>
    <w:rsid w:val="00673CC6"/>
    <w:rsid w:val="00692424"/>
    <w:rsid w:val="006B775F"/>
    <w:rsid w:val="006E0A3B"/>
    <w:rsid w:val="00721654"/>
    <w:rsid w:val="007467BC"/>
    <w:rsid w:val="00767184"/>
    <w:rsid w:val="00773164"/>
    <w:rsid w:val="00793E37"/>
    <w:rsid w:val="007A5F5D"/>
    <w:rsid w:val="007B3769"/>
    <w:rsid w:val="007C2D43"/>
    <w:rsid w:val="007D3799"/>
    <w:rsid w:val="007E5458"/>
    <w:rsid w:val="00807499"/>
    <w:rsid w:val="00823DF6"/>
    <w:rsid w:val="00827393"/>
    <w:rsid w:val="00857E40"/>
    <w:rsid w:val="00863B5D"/>
    <w:rsid w:val="00870982"/>
    <w:rsid w:val="008723F9"/>
    <w:rsid w:val="008B08EF"/>
    <w:rsid w:val="008C169C"/>
    <w:rsid w:val="008D0C1E"/>
    <w:rsid w:val="008E254F"/>
    <w:rsid w:val="00904FA1"/>
    <w:rsid w:val="00907CE2"/>
    <w:rsid w:val="009100DE"/>
    <w:rsid w:val="009361E7"/>
    <w:rsid w:val="00957E14"/>
    <w:rsid w:val="009A09E0"/>
    <w:rsid w:val="009A510F"/>
    <w:rsid w:val="009C656C"/>
    <w:rsid w:val="009E1FF6"/>
    <w:rsid w:val="00A00A76"/>
    <w:rsid w:val="00A021DA"/>
    <w:rsid w:val="00A418BA"/>
    <w:rsid w:val="00A76DFD"/>
    <w:rsid w:val="00AA0DFD"/>
    <w:rsid w:val="00AD0E2D"/>
    <w:rsid w:val="00AF298E"/>
    <w:rsid w:val="00B3171B"/>
    <w:rsid w:val="00B36B02"/>
    <w:rsid w:val="00B40A77"/>
    <w:rsid w:val="00B4758F"/>
    <w:rsid w:val="00B529FD"/>
    <w:rsid w:val="00B721CC"/>
    <w:rsid w:val="00B81F04"/>
    <w:rsid w:val="00BC627B"/>
    <w:rsid w:val="00C07ECD"/>
    <w:rsid w:val="00C13501"/>
    <w:rsid w:val="00C22032"/>
    <w:rsid w:val="00C4018F"/>
    <w:rsid w:val="00CA4089"/>
    <w:rsid w:val="00CB4120"/>
    <w:rsid w:val="00CD0D9C"/>
    <w:rsid w:val="00CE63CC"/>
    <w:rsid w:val="00D22011"/>
    <w:rsid w:val="00D42B29"/>
    <w:rsid w:val="00D852AD"/>
    <w:rsid w:val="00DD5B81"/>
    <w:rsid w:val="00DE78B7"/>
    <w:rsid w:val="00DF18C4"/>
    <w:rsid w:val="00E2703A"/>
    <w:rsid w:val="00E42FF9"/>
    <w:rsid w:val="00E67309"/>
    <w:rsid w:val="00E96BBE"/>
    <w:rsid w:val="00EB10DE"/>
    <w:rsid w:val="00EB6480"/>
    <w:rsid w:val="00F0047D"/>
    <w:rsid w:val="00F04A21"/>
    <w:rsid w:val="00F162F1"/>
    <w:rsid w:val="00F42B9F"/>
    <w:rsid w:val="00F80190"/>
    <w:rsid w:val="00FB513C"/>
    <w:rsid w:val="00FC4E3D"/>
    <w:rsid w:val="00FD0729"/>
    <w:rsid w:val="00FE00AA"/>
    <w:rsid w:val="00FF30E6"/>
    <w:rsid w:val="014D5071"/>
    <w:rsid w:val="016245C6"/>
    <w:rsid w:val="02477318"/>
    <w:rsid w:val="02BF7AB7"/>
    <w:rsid w:val="05B4038C"/>
    <w:rsid w:val="05C95949"/>
    <w:rsid w:val="063A09EB"/>
    <w:rsid w:val="06924654"/>
    <w:rsid w:val="07EE5AD1"/>
    <w:rsid w:val="08DF2053"/>
    <w:rsid w:val="094D16B8"/>
    <w:rsid w:val="0B9535DD"/>
    <w:rsid w:val="0BB579E9"/>
    <w:rsid w:val="0D4F10FA"/>
    <w:rsid w:val="0D750A40"/>
    <w:rsid w:val="0E3270F9"/>
    <w:rsid w:val="0F6F65F5"/>
    <w:rsid w:val="0F91413C"/>
    <w:rsid w:val="10720822"/>
    <w:rsid w:val="107E549E"/>
    <w:rsid w:val="10AC3952"/>
    <w:rsid w:val="10D41E94"/>
    <w:rsid w:val="122B17EC"/>
    <w:rsid w:val="12ED7A68"/>
    <w:rsid w:val="14A00EF2"/>
    <w:rsid w:val="152B48CF"/>
    <w:rsid w:val="160A6FDE"/>
    <w:rsid w:val="16B85117"/>
    <w:rsid w:val="16D43BAA"/>
    <w:rsid w:val="18F824D8"/>
    <w:rsid w:val="192A26CA"/>
    <w:rsid w:val="19D379B8"/>
    <w:rsid w:val="1A1B1571"/>
    <w:rsid w:val="1BC3472B"/>
    <w:rsid w:val="1DF7167B"/>
    <w:rsid w:val="1E345728"/>
    <w:rsid w:val="1E9516DF"/>
    <w:rsid w:val="1E9A6CF6"/>
    <w:rsid w:val="220B3E1E"/>
    <w:rsid w:val="22BE1B9E"/>
    <w:rsid w:val="22E23150"/>
    <w:rsid w:val="24AF2558"/>
    <w:rsid w:val="254751CD"/>
    <w:rsid w:val="25526E4B"/>
    <w:rsid w:val="25E07936"/>
    <w:rsid w:val="260A27F4"/>
    <w:rsid w:val="264571EC"/>
    <w:rsid w:val="267A6F25"/>
    <w:rsid w:val="26DF7155"/>
    <w:rsid w:val="27473793"/>
    <w:rsid w:val="27C337F4"/>
    <w:rsid w:val="27E2432C"/>
    <w:rsid w:val="295D104C"/>
    <w:rsid w:val="299A2BA1"/>
    <w:rsid w:val="29D07A70"/>
    <w:rsid w:val="29E00755"/>
    <w:rsid w:val="2A277D6A"/>
    <w:rsid w:val="2A483B32"/>
    <w:rsid w:val="2C1A6909"/>
    <w:rsid w:val="2C9571A9"/>
    <w:rsid w:val="2CC969F8"/>
    <w:rsid w:val="2D9B0277"/>
    <w:rsid w:val="2DE26FB5"/>
    <w:rsid w:val="2FBE01D2"/>
    <w:rsid w:val="300466C5"/>
    <w:rsid w:val="30F028CC"/>
    <w:rsid w:val="31E70A5F"/>
    <w:rsid w:val="324D217A"/>
    <w:rsid w:val="329A0A06"/>
    <w:rsid w:val="32FD1AF6"/>
    <w:rsid w:val="35A62C55"/>
    <w:rsid w:val="35D5352F"/>
    <w:rsid w:val="36280212"/>
    <w:rsid w:val="37AF715B"/>
    <w:rsid w:val="37FC0626"/>
    <w:rsid w:val="38C64DDB"/>
    <w:rsid w:val="39220D9C"/>
    <w:rsid w:val="399A7AE1"/>
    <w:rsid w:val="39A36364"/>
    <w:rsid w:val="3D9372DA"/>
    <w:rsid w:val="3DA45043"/>
    <w:rsid w:val="3DCF5190"/>
    <w:rsid w:val="3E5F68FC"/>
    <w:rsid w:val="3E7E143E"/>
    <w:rsid w:val="3E8F1850"/>
    <w:rsid w:val="3F4C52E5"/>
    <w:rsid w:val="40F21F52"/>
    <w:rsid w:val="41AC44C7"/>
    <w:rsid w:val="41BE1E20"/>
    <w:rsid w:val="4333452E"/>
    <w:rsid w:val="43D9356D"/>
    <w:rsid w:val="43ED2280"/>
    <w:rsid w:val="450B59A8"/>
    <w:rsid w:val="4588524B"/>
    <w:rsid w:val="45E338A7"/>
    <w:rsid w:val="465A46A3"/>
    <w:rsid w:val="469D4DB5"/>
    <w:rsid w:val="474B1BC7"/>
    <w:rsid w:val="47621A1B"/>
    <w:rsid w:val="48200165"/>
    <w:rsid w:val="4BF34243"/>
    <w:rsid w:val="4BFB49C8"/>
    <w:rsid w:val="4C7679A1"/>
    <w:rsid w:val="4CFE5666"/>
    <w:rsid w:val="4D2C295F"/>
    <w:rsid w:val="4DEF1260"/>
    <w:rsid w:val="4E631DE5"/>
    <w:rsid w:val="4F1D1A73"/>
    <w:rsid w:val="4F754C20"/>
    <w:rsid w:val="4FBA1399"/>
    <w:rsid w:val="4FC65C63"/>
    <w:rsid w:val="51915487"/>
    <w:rsid w:val="52D077E4"/>
    <w:rsid w:val="53611760"/>
    <w:rsid w:val="54534C76"/>
    <w:rsid w:val="54662BFB"/>
    <w:rsid w:val="561A27D0"/>
    <w:rsid w:val="563D59ED"/>
    <w:rsid w:val="567D5ACA"/>
    <w:rsid w:val="56E018D9"/>
    <w:rsid w:val="575329E6"/>
    <w:rsid w:val="57623B4D"/>
    <w:rsid w:val="57A777B2"/>
    <w:rsid w:val="57BE7724"/>
    <w:rsid w:val="58466FCB"/>
    <w:rsid w:val="591E1CF6"/>
    <w:rsid w:val="5B230D11"/>
    <w:rsid w:val="5BB81EE2"/>
    <w:rsid w:val="5BBA7F56"/>
    <w:rsid w:val="5CA26790"/>
    <w:rsid w:val="5CBB7B03"/>
    <w:rsid w:val="5D36552F"/>
    <w:rsid w:val="609C2DE3"/>
    <w:rsid w:val="61703087"/>
    <w:rsid w:val="61B2122D"/>
    <w:rsid w:val="61BC3AF2"/>
    <w:rsid w:val="634F42AB"/>
    <w:rsid w:val="63DE6B08"/>
    <w:rsid w:val="64184334"/>
    <w:rsid w:val="652D4BD8"/>
    <w:rsid w:val="657040A8"/>
    <w:rsid w:val="688F6C3E"/>
    <w:rsid w:val="69167693"/>
    <w:rsid w:val="698C4797"/>
    <w:rsid w:val="69C01242"/>
    <w:rsid w:val="6A17586A"/>
    <w:rsid w:val="6AA03EED"/>
    <w:rsid w:val="6B1D7989"/>
    <w:rsid w:val="6B99520C"/>
    <w:rsid w:val="6C203FFE"/>
    <w:rsid w:val="6C24047E"/>
    <w:rsid w:val="6D43519A"/>
    <w:rsid w:val="6DD31D63"/>
    <w:rsid w:val="6DDA338A"/>
    <w:rsid w:val="6F6C525A"/>
    <w:rsid w:val="701D1B77"/>
    <w:rsid w:val="7186029A"/>
    <w:rsid w:val="7223198C"/>
    <w:rsid w:val="722E755A"/>
    <w:rsid w:val="72504C3E"/>
    <w:rsid w:val="764167DB"/>
    <w:rsid w:val="797225E2"/>
    <w:rsid w:val="79C84DFF"/>
    <w:rsid w:val="7A6B0269"/>
    <w:rsid w:val="7A9479AC"/>
    <w:rsid w:val="7B166AB2"/>
    <w:rsid w:val="7C0A1001"/>
    <w:rsid w:val="7E656734"/>
    <w:rsid w:val="7EAC7716"/>
    <w:rsid w:val="7F59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等线" w:hAnsi="等线" w:eastAsia="等线" w:cs="等线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等线 Light"/>
      <w:b/>
      <w:bCs/>
      <w:kern w:val="0"/>
      <w:sz w:val="32"/>
      <w:szCs w:val="32"/>
    </w:rPr>
  </w:style>
  <w:style w:type="paragraph" w:styleId="5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rFonts w:ascii="等线" w:hAnsi="等线" w:eastAsia="等线" w:cs="等线"/>
      <w:b/>
      <w:bCs/>
      <w:kern w:val="0"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99"/>
    <w:rPr>
      <w:rFonts w:ascii="黑体" w:hAnsi="黑体" w:eastAsia="黑体"/>
      <w:b/>
      <w:bCs/>
      <w:sz w:val="36"/>
      <w:szCs w:val="36"/>
    </w:rPr>
  </w:style>
  <w:style w:type="paragraph" w:styleId="6">
    <w:name w:val="Body Text"/>
    <w:basedOn w:val="1"/>
    <w:qFormat/>
    <w:uiPriority w:val="99"/>
    <w:pPr>
      <w:spacing w:after="120"/>
    </w:pPr>
    <w:rPr>
      <w:kern w:val="0"/>
    </w:rPr>
  </w:style>
  <w:style w:type="paragraph" w:styleId="7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8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9">
    <w:name w:val="Plain Text"/>
    <w:basedOn w:val="1"/>
    <w:link w:val="23"/>
    <w:qFormat/>
    <w:uiPriority w:val="0"/>
    <w:rPr>
      <w:rFonts w:ascii="宋体" w:hAnsi="Courier New" w:cs="Courier New"/>
      <w:sz w:val="21"/>
      <w:szCs w:val="21"/>
    </w:rPr>
  </w:style>
  <w:style w:type="paragraph" w:styleId="10">
    <w:name w:val="Balloon Text"/>
    <w:basedOn w:val="1"/>
    <w:link w:val="21"/>
    <w:qFormat/>
    <w:uiPriority w:val="0"/>
    <w:rPr>
      <w:sz w:val="18"/>
      <w:szCs w:val="18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等线"/>
      <w:kern w:val="0"/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Body Text First Indent 2"/>
    <w:basedOn w:val="7"/>
    <w:semiHidden/>
    <w:unhideWhenUsed/>
    <w:qFormat/>
    <w:uiPriority w:val="99"/>
    <w:pPr>
      <w:ind w:firstLine="420" w:firstLineChars="200"/>
    </w:p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8">
    <w:name w:val="表标题"/>
    <w:basedOn w:val="1"/>
    <w:qFormat/>
    <w:uiPriority w:val="99"/>
    <w:pPr>
      <w:ind w:firstLine="480" w:firstLineChars="200"/>
      <w:jc w:val="center"/>
    </w:pPr>
    <w:rPr>
      <w:rFonts w:eastAsia="黑体"/>
      <w:kern w:val="0"/>
      <w:sz w:val="24"/>
      <w:szCs w:val="24"/>
    </w:rPr>
  </w:style>
  <w:style w:type="paragraph" w:customStyle="1" w:styleId="19">
    <w:name w:val="无间隔1"/>
    <w:qFormat/>
    <w:uiPriority w:val="99"/>
    <w:pPr>
      <w:widowControl w:val="0"/>
      <w:jc w:val="both"/>
    </w:pPr>
    <w:rPr>
      <w:rFonts w:ascii="??_GB2312" w:hAnsi="Times New Roman" w:eastAsia="Times New Roman" w:cs="??_GB2312"/>
      <w:sz w:val="32"/>
      <w:szCs w:val="32"/>
      <w:lang w:val="en-US" w:eastAsia="zh-CN" w:bidi="ar-SA"/>
    </w:rPr>
  </w:style>
  <w:style w:type="table" w:customStyle="1" w:styleId="20">
    <w:name w:val="网格型1"/>
    <w:basedOn w:val="15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1">
    <w:name w:val="批注框文本 Char"/>
    <w:basedOn w:val="17"/>
    <w:link w:val="10"/>
    <w:qFormat/>
    <w:uiPriority w:val="0"/>
    <w:rPr>
      <w:kern w:val="2"/>
      <w:sz w:val="18"/>
      <w:szCs w:val="18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3">
    <w:name w:val="纯文本 Char"/>
    <w:basedOn w:val="17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4">
    <w:name w:val="页脚 Char"/>
    <w:basedOn w:val="17"/>
    <w:link w:val="11"/>
    <w:qFormat/>
    <w:uiPriority w:val="99"/>
    <w:rPr>
      <w:rFonts w:ascii="等线" w:hAnsi="等线" w:eastAsia="等线" w:cs="等线"/>
      <w:sz w:val="18"/>
      <w:szCs w:val="18"/>
    </w:rPr>
  </w:style>
  <w:style w:type="character" w:customStyle="1" w:styleId="25">
    <w:name w:val="font61"/>
    <w:basedOn w:val="17"/>
    <w:qFormat/>
    <w:uiPriority w:val="0"/>
    <w:rPr>
      <w:rFonts w:hint="default" w:ascii="Times New Roman" w:hAnsi="Times New Roman" w:cs="Times New Roman"/>
      <w:color w:val="505050"/>
      <w:sz w:val="32"/>
      <w:szCs w:val="32"/>
      <w:u w:val="none"/>
    </w:rPr>
  </w:style>
  <w:style w:type="character" w:customStyle="1" w:styleId="26">
    <w:name w:val="font112"/>
    <w:basedOn w:val="17"/>
    <w:qFormat/>
    <w:uiPriority w:val="0"/>
    <w:rPr>
      <w:rFonts w:hint="default" w:ascii="Times New Roman" w:hAnsi="Times New Roman" w:cs="Times New Roman"/>
      <w:color w:val="6B6B6B"/>
      <w:sz w:val="32"/>
      <w:szCs w:val="32"/>
      <w:u w:val="none"/>
    </w:rPr>
  </w:style>
  <w:style w:type="character" w:customStyle="1" w:styleId="27">
    <w:name w:val="font31"/>
    <w:basedOn w:val="17"/>
    <w:qFormat/>
    <w:uiPriority w:val="0"/>
    <w:rPr>
      <w:rFonts w:hint="eastAsia" w:ascii="宋体" w:hAnsi="宋体" w:eastAsia="宋体" w:cs="宋体"/>
      <w:color w:val="505050"/>
      <w:sz w:val="32"/>
      <w:szCs w:val="32"/>
      <w:u w:val="none"/>
    </w:rPr>
  </w:style>
  <w:style w:type="character" w:customStyle="1" w:styleId="28">
    <w:name w:val="font121"/>
    <w:basedOn w:val="17"/>
    <w:qFormat/>
    <w:uiPriority w:val="0"/>
    <w:rPr>
      <w:rFonts w:ascii="Arial" w:hAnsi="Arial" w:cs="Arial"/>
      <w:color w:val="505050"/>
      <w:sz w:val="32"/>
      <w:szCs w:val="32"/>
      <w:u w:val="none"/>
    </w:rPr>
  </w:style>
  <w:style w:type="character" w:customStyle="1" w:styleId="29">
    <w:name w:val="font71"/>
    <w:basedOn w:val="1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0">
    <w:name w:val="font131"/>
    <w:basedOn w:val="17"/>
    <w:qFormat/>
    <w:uiPriority w:val="0"/>
    <w:rPr>
      <w:rFonts w:hint="default" w:ascii="Arial" w:hAnsi="Arial" w:cs="Arial"/>
      <w:color w:val="000000"/>
      <w:sz w:val="32"/>
      <w:szCs w:val="32"/>
      <w:u w:val="none"/>
    </w:rPr>
  </w:style>
  <w:style w:type="character" w:customStyle="1" w:styleId="31">
    <w:name w:val="font101"/>
    <w:basedOn w:val="17"/>
    <w:qFormat/>
    <w:uiPriority w:val="0"/>
    <w:rPr>
      <w:rFonts w:hint="default" w:ascii="Times New Roman" w:hAnsi="Times New Roman" w:cs="Times New Roman"/>
      <w:color w:val="6B6B6B"/>
      <w:sz w:val="24"/>
      <w:szCs w:val="24"/>
      <w:u w:val="none"/>
    </w:rPr>
  </w:style>
  <w:style w:type="character" w:customStyle="1" w:styleId="32">
    <w:name w:val="font111"/>
    <w:basedOn w:val="17"/>
    <w:qFormat/>
    <w:uiPriority w:val="0"/>
    <w:rPr>
      <w:rFonts w:ascii="Arial" w:hAnsi="Arial" w:cs="Arial"/>
      <w:color w:val="505050"/>
      <w:sz w:val="32"/>
      <w:szCs w:val="32"/>
      <w:u w:val="none"/>
    </w:rPr>
  </w:style>
  <w:style w:type="character" w:customStyle="1" w:styleId="33">
    <w:name w:val="font122"/>
    <w:basedOn w:val="17"/>
    <w:qFormat/>
    <w:uiPriority w:val="0"/>
    <w:rPr>
      <w:rFonts w:hint="default" w:ascii="Arial" w:hAnsi="Arial" w:cs="Arial"/>
      <w:color w:val="000000"/>
      <w:sz w:val="32"/>
      <w:szCs w:val="32"/>
      <w:u w:val="none"/>
    </w:rPr>
  </w:style>
  <w:style w:type="paragraph" w:customStyle="1" w:styleId="34">
    <w:name w:val="Table Paragraph"/>
    <w:basedOn w:val="1"/>
    <w:unhideWhenUsed/>
    <w:qFormat/>
    <w:uiPriority w:val="1"/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C8F9E2-BC3C-4D92-AE58-A6FE049A8B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1587</Words>
  <Characters>9047</Characters>
  <Lines>75</Lines>
  <Paragraphs>21</Paragraphs>
  <TotalTime>29</TotalTime>
  <ScaleCrop>false</ScaleCrop>
  <LinksUpToDate>false</LinksUpToDate>
  <CharactersWithSpaces>10613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2022-05-26T07:37:00Z</dcterms:created>
  <dc:creator>赫山梁建文</dc:creator>
  <cp:lastModifiedBy>清</cp:lastModifiedBy>
  <cp:lastPrinted>2024-09-18T08:33:00Z</cp:lastPrinted>
  <dcterms:modified xsi:type="dcterms:W3CDTF">2024-10-23T07:51:03Z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B628A47AA7B841F59D1C1B4125365A1F_13</vt:lpwstr>
  </property>
</Properties>
</file>