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42D60">
      <w:pPr>
        <w:bidi w:val="0"/>
        <w:jc w:val="center"/>
        <w:outlineLvl w:val="9"/>
        <w:rPr>
          <w:rFonts w:hint="eastAsia"/>
          <w:b/>
          <w:bCs/>
          <w:sz w:val="56"/>
          <w:szCs w:val="56"/>
          <w:lang w:eastAsia="zh-CN"/>
        </w:rPr>
      </w:pPr>
      <w:bookmarkStart w:id="36" w:name="_GoBack"/>
      <w:bookmarkEnd w:id="36"/>
      <w:bookmarkStart w:id="0" w:name="_Toc24481"/>
      <w:bookmarkStart w:id="1" w:name="_Toc19932"/>
      <w:bookmarkStart w:id="2" w:name="_Toc31893"/>
      <w:bookmarkStart w:id="3" w:name="_Toc10080"/>
    </w:p>
    <w:p w14:paraId="447D4B56">
      <w:pPr>
        <w:bidi w:val="0"/>
        <w:jc w:val="both"/>
        <w:outlineLvl w:val="9"/>
        <w:rPr>
          <w:rFonts w:hint="eastAsia"/>
          <w:b/>
          <w:bCs/>
          <w:sz w:val="56"/>
          <w:szCs w:val="56"/>
          <w:lang w:eastAsia="zh-CN"/>
        </w:rPr>
      </w:pPr>
    </w:p>
    <w:p w14:paraId="08A12528">
      <w:pPr>
        <w:bidi w:val="0"/>
        <w:jc w:val="center"/>
        <w:outlineLvl w:val="9"/>
        <w:rPr>
          <w:rFonts w:hint="eastAsia"/>
          <w:b/>
          <w:bCs/>
          <w:sz w:val="56"/>
          <w:szCs w:val="56"/>
          <w:lang w:eastAsia="zh-CN"/>
        </w:rPr>
      </w:pPr>
    </w:p>
    <w:p w14:paraId="38D51572">
      <w:pPr>
        <w:bidi w:val="0"/>
        <w:jc w:val="center"/>
        <w:rPr>
          <w:rFonts w:hint="eastAsia"/>
          <w:b/>
          <w:bCs/>
          <w:sz w:val="56"/>
          <w:szCs w:val="48"/>
          <w:lang w:val="en-US" w:eastAsia="zh-CN"/>
        </w:rPr>
      </w:pPr>
      <w:bookmarkStart w:id="4" w:name="_Toc31753"/>
      <w:bookmarkStart w:id="5" w:name="_Toc7517"/>
      <w:bookmarkStart w:id="6" w:name="_Toc46"/>
      <w:bookmarkStart w:id="7" w:name="_Toc19451"/>
      <w:bookmarkStart w:id="8" w:name="_Toc10481"/>
      <w:r>
        <w:rPr>
          <w:rFonts w:hint="eastAsia"/>
          <w:b/>
          <w:bCs/>
          <w:sz w:val="56"/>
          <w:szCs w:val="48"/>
          <w:lang w:val="en-US" w:eastAsia="zh-CN"/>
        </w:rPr>
        <w:t>湖南山水检测有限公司</w:t>
      </w:r>
      <w:bookmarkEnd w:id="0"/>
      <w:bookmarkEnd w:id="1"/>
      <w:bookmarkEnd w:id="4"/>
      <w:bookmarkEnd w:id="5"/>
      <w:bookmarkEnd w:id="6"/>
      <w:bookmarkEnd w:id="7"/>
      <w:bookmarkEnd w:id="8"/>
    </w:p>
    <w:p w14:paraId="1FD2D9D7">
      <w:pPr>
        <w:bidi w:val="0"/>
        <w:jc w:val="center"/>
        <w:rPr>
          <w:b/>
          <w:bCs/>
          <w:sz w:val="56"/>
          <w:szCs w:val="48"/>
        </w:rPr>
      </w:pPr>
      <w:r>
        <w:rPr>
          <w:b/>
          <w:bCs/>
          <w:sz w:val="56"/>
          <w:szCs w:val="48"/>
        </w:rPr>
        <w:t>202</w:t>
      </w:r>
      <w:r>
        <w:rPr>
          <w:rFonts w:hint="eastAsia"/>
          <w:b/>
          <w:bCs/>
          <w:sz w:val="56"/>
          <w:szCs w:val="48"/>
          <w:lang w:val="en-US" w:eastAsia="zh-CN"/>
        </w:rPr>
        <w:t>4</w:t>
      </w:r>
      <w:r>
        <w:rPr>
          <w:b/>
          <w:bCs/>
          <w:sz w:val="56"/>
          <w:szCs w:val="48"/>
        </w:rPr>
        <w:t>年</w:t>
      </w:r>
      <w:bookmarkStart w:id="9" w:name="_Toc30028"/>
      <w:r>
        <w:rPr>
          <w:rFonts w:hint="eastAsia"/>
          <w:b/>
          <w:bCs/>
          <w:sz w:val="56"/>
          <w:szCs w:val="48"/>
          <w:lang w:val="en-US" w:eastAsia="zh-CN"/>
        </w:rPr>
        <w:t>高新区</w:t>
      </w:r>
      <w:r>
        <w:rPr>
          <w:b/>
          <w:bCs/>
          <w:sz w:val="56"/>
          <w:szCs w:val="48"/>
        </w:rPr>
        <w:t>食品安全抽检监测</w:t>
      </w:r>
      <w:bookmarkEnd w:id="2"/>
      <w:bookmarkEnd w:id="3"/>
      <w:bookmarkEnd w:id="9"/>
    </w:p>
    <w:p w14:paraId="49E6916F">
      <w:pPr>
        <w:bidi w:val="0"/>
        <w:jc w:val="center"/>
        <w:rPr>
          <w:b/>
          <w:bCs/>
          <w:sz w:val="56"/>
          <w:szCs w:val="48"/>
        </w:rPr>
      </w:pPr>
    </w:p>
    <w:p w14:paraId="1E01BA12">
      <w:pPr>
        <w:bidi w:val="0"/>
        <w:jc w:val="center"/>
        <w:rPr>
          <w:b/>
          <w:bCs/>
          <w:sz w:val="56"/>
          <w:szCs w:val="48"/>
        </w:rPr>
      </w:pPr>
    </w:p>
    <w:p w14:paraId="2198588D">
      <w:pPr>
        <w:bidi w:val="0"/>
        <w:jc w:val="center"/>
        <w:rPr>
          <w:b/>
          <w:bCs/>
          <w:sz w:val="56"/>
          <w:szCs w:val="48"/>
          <w:lang w:val="zh-CN" w:eastAsia="zh-CN"/>
        </w:rPr>
      </w:pPr>
      <w:bookmarkStart w:id="10" w:name="_Toc14213"/>
      <w:r>
        <w:rPr>
          <w:b/>
          <w:bCs/>
          <w:sz w:val="56"/>
          <w:szCs w:val="48"/>
          <w:lang w:val="zh-CN" w:eastAsia="zh-CN"/>
        </w:rPr>
        <w:t>结果分析报告</w:t>
      </w:r>
      <w:bookmarkEnd w:id="10"/>
    </w:p>
    <w:p w14:paraId="14FC0431">
      <w:pPr>
        <w:pStyle w:val="5"/>
        <w:rPr>
          <w:b/>
          <w:sz w:val="72"/>
        </w:rPr>
      </w:pPr>
    </w:p>
    <w:p w14:paraId="177D4D52">
      <w:pPr>
        <w:bidi w:val="0"/>
      </w:pPr>
    </w:p>
    <w:p w14:paraId="43DFBF78">
      <w:pPr>
        <w:bidi w:val="0"/>
      </w:pPr>
    </w:p>
    <w:p w14:paraId="51F4C543">
      <w:pPr>
        <w:bidi w:val="0"/>
      </w:pPr>
    </w:p>
    <w:p w14:paraId="1F9FD4F0">
      <w:pPr>
        <w:bidi w:val="0"/>
        <w:jc w:val="center"/>
        <w:rPr>
          <w:b/>
          <w:bCs/>
          <w:sz w:val="56"/>
          <w:szCs w:val="48"/>
          <w:lang w:val="zh-CN" w:eastAsia="zh-CN"/>
        </w:rPr>
      </w:pPr>
    </w:p>
    <w:p w14:paraId="6B7CED6F">
      <w:pPr>
        <w:tabs>
          <w:tab w:val="center" w:pos="5040"/>
        </w:tabs>
        <w:bidi w:val="0"/>
        <w:jc w:val="center"/>
        <w:rPr>
          <w:rFonts w:ascii="Times New Roman" w:eastAsia="Times New Roman"/>
          <w:sz w:val="24"/>
        </w:rPr>
      </w:pPr>
    </w:p>
    <w:p w14:paraId="01D49B36">
      <w:pPr>
        <w:tabs>
          <w:tab w:val="center" w:pos="5040"/>
        </w:tabs>
        <w:bidi w:val="0"/>
        <w:jc w:val="center"/>
        <w:rPr>
          <w:rFonts w:ascii="Times New Roman" w:eastAsia="Times New Roman"/>
          <w:sz w:val="24"/>
        </w:rPr>
      </w:pPr>
    </w:p>
    <w:p w14:paraId="2D1A5D34">
      <w:pPr>
        <w:tabs>
          <w:tab w:val="center" w:pos="5040"/>
        </w:tabs>
        <w:bidi w:val="0"/>
        <w:jc w:val="both"/>
        <w:rPr>
          <w:rFonts w:ascii="Times New Roman" w:eastAsia="Times New Roman"/>
          <w:sz w:val="24"/>
        </w:rPr>
      </w:pPr>
    </w:p>
    <w:p w14:paraId="34916B20">
      <w:pPr>
        <w:tabs>
          <w:tab w:val="center" w:pos="5040"/>
        </w:tabs>
        <w:bidi w:val="0"/>
        <w:jc w:val="center"/>
        <w:rPr>
          <w:rFonts w:ascii="Times New Roman" w:eastAsia="Times New Roman"/>
          <w:sz w:val="24"/>
        </w:rPr>
      </w:pPr>
    </w:p>
    <w:p w14:paraId="7CA86DB2">
      <w:pPr>
        <w:spacing w:before="0"/>
        <w:ind w:left="1444" w:right="1844" w:firstLine="0"/>
        <w:jc w:val="center"/>
        <w:rPr>
          <w:b/>
          <w:sz w:val="36"/>
        </w:rPr>
      </w:pPr>
      <w:r>
        <w:rPr>
          <w:b/>
          <w:sz w:val="36"/>
        </w:rPr>
        <w:t>湖南山水检测有限公司</w:t>
      </w:r>
    </w:p>
    <w:p w14:paraId="479DC1F2">
      <w:pPr>
        <w:tabs>
          <w:tab w:val="center" w:pos="5040"/>
        </w:tabs>
        <w:bidi w:val="0"/>
        <w:jc w:val="center"/>
        <w:rPr>
          <w:rFonts w:ascii="Times New Roman" w:eastAsia="Times New Roman"/>
          <w:sz w:val="24"/>
        </w:rPr>
      </w:pPr>
      <w:r>
        <w:rPr>
          <w:b/>
          <w:sz w:val="24"/>
        </w:rPr>
        <w:t>地址：</w:t>
      </w:r>
      <w:r>
        <w:rPr>
          <w:sz w:val="24"/>
        </w:rPr>
        <w:t>湖南省长沙市宁乡经开区玉屏山国际产业</w:t>
      </w:r>
      <w:r>
        <w:rPr>
          <w:spacing w:val="57"/>
          <w:sz w:val="24"/>
        </w:rPr>
        <w:t>城</w:t>
      </w:r>
      <w:r>
        <w:rPr>
          <w:rFonts w:ascii="Times New Roman" w:eastAsia="Times New Roman"/>
          <w:sz w:val="24"/>
        </w:rPr>
        <w:t>D</w:t>
      </w:r>
      <w:r>
        <w:rPr>
          <w:rFonts w:ascii="Times New Roman" w:eastAsia="Times New Roman"/>
          <w:spacing w:val="-12"/>
          <w:sz w:val="24"/>
        </w:rPr>
        <w:t xml:space="preserve"> </w:t>
      </w:r>
      <w:r>
        <w:rPr>
          <w:sz w:val="24"/>
        </w:rPr>
        <w:t>组团</w:t>
      </w:r>
      <w:r>
        <w:rPr>
          <w:spacing w:val="-60"/>
          <w:sz w:val="24"/>
        </w:rPr>
        <w:t xml:space="preserve"> </w:t>
      </w:r>
      <w:r>
        <w:rPr>
          <w:rFonts w:ascii="Times New Roman" w:eastAsia="Times New Roman"/>
          <w:sz w:val="24"/>
        </w:rPr>
        <w:t>D2</w:t>
      </w:r>
      <w:r>
        <w:rPr>
          <w:rFonts w:ascii="Times New Roman" w:eastAsia="Times New Roman"/>
          <w:spacing w:val="-12"/>
          <w:sz w:val="24"/>
        </w:rPr>
        <w:t xml:space="preserve"> </w:t>
      </w:r>
      <w:r>
        <w:rPr>
          <w:sz w:val="24"/>
        </w:rPr>
        <w:t>栋、</w:t>
      </w:r>
      <w:r>
        <w:rPr>
          <w:rFonts w:ascii="Times New Roman" w:eastAsia="Times New Roman"/>
          <w:sz w:val="24"/>
        </w:rPr>
        <w:t>C</w:t>
      </w:r>
      <w:r>
        <w:rPr>
          <w:rFonts w:ascii="Times New Roman" w:eastAsia="Times New Roman"/>
          <w:spacing w:val="-15"/>
          <w:sz w:val="24"/>
        </w:rPr>
        <w:t xml:space="preserve"> </w:t>
      </w:r>
      <w:r>
        <w:rPr>
          <w:sz w:val="24"/>
        </w:rPr>
        <w:t>组团</w:t>
      </w:r>
      <w:r>
        <w:rPr>
          <w:spacing w:val="-60"/>
          <w:sz w:val="24"/>
        </w:rPr>
        <w:t xml:space="preserve"> </w:t>
      </w:r>
      <w:r>
        <w:rPr>
          <w:rFonts w:ascii="Times New Roman" w:eastAsia="Times New Roman"/>
          <w:sz w:val="24"/>
        </w:rPr>
        <w:t>C3</w:t>
      </w:r>
      <w:r>
        <w:rPr>
          <w:rFonts w:ascii="Times New Roman" w:eastAsia="Times New Roman"/>
          <w:spacing w:val="-15"/>
          <w:sz w:val="24"/>
        </w:rPr>
        <w:t xml:space="preserve"> </w:t>
      </w:r>
      <w:r>
        <w:rPr>
          <w:spacing w:val="-13"/>
          <w:sz w:val="24"/>
        </w:rPr>
        <w:t>栋</w:t>
      </w:r>
      <w:r>
        <w:rPr>
          <w:b/>
          <w:sz w:val="24"/>
        </w:rPr>
        <w:t>电话：</w:t>
      </w:r>
      <w:r>
        <w:rPr>
          <w:rFonts w:ascii="Times New Roman" w:eastAsia="Times New Roman"/>
          <w:sz w:val="24"/>
        </w:rPr>
        <w:t>0731-85859555</w:t>
      </w:r>
      <w:r>
        <w:rPr>
          <w:rFonts w:ascii="Times New Roman" w:eastAsia="Times New Roman"/>
          <w:spacing w:val="57"/>
          <w:sz w:val="24"/>
        </w:rPr>
        <w:t xml:space="preserve"> </w:t>
      </w:r>
      <w:r>
        <w:rPr>
          <w:b/>
          <w:sz w:val="24"/>
        </w:rPr>
        <w:t>网址：</w:t>
      </w:r>
      <w:r>
        <w:fldChar w:fldCharType="begin"/>
      </w:r>
      <w:r>
        <w:instrText xml:space="preserve"> HYPERLINK "http://www.hnssjc.cn/" \h </w:instrText>
      </w:r>
      <w:r>
        <w:fldChar w:fldCharType="separate"/>
      </w:r>
      <w:r>
        <w:rPr>
          <w:rFonts w:ascii="Times New Roman" w:eastAsia="Times New Roman"/>
          <w:sz w:val="24"/>
        </w:rPr>
        <w:t>www.hnssjc.cn</w:t>
      </w:r>
      <w:r>
        <w:rPr>
          <w:rFonts w:ascii="Times New Roman" w:eastAsia="Times New Roman"/>
          <w:sz w:val="24"/>
        </w:rPr>
        <w:fldChar w:fldCharType="end"/>
      </w:r>
      <w:r>
        <w:rPr>
          <w:rFonts w:ascii="Times New Roman" w:eastAsia="Times New Roman"/>
          <w:sz w:val="24"/>
        </w:rPr>
        <w:tab/>
      </w:r>
      <w:r>
        <w:rPr>
          <w:rFonts w:ascii="Times New Roman" w:eastAsia="Times New Roman"/>
          <w:b/>
          <w:spacing w:val="-1"/>
          <w:sz w:val="24"/>
        </w:rPr>
        <w:t>E-mail</w:t>
      </w:r>
      <w:r>
        <w:rPr>
          <w:b/>
          <w:spacing w:val="-1"/>
          <w:sz w:val="24"/>
        </w:rPr>
        <w:t>：</w:t>
      </w:r>
      <w:r>
        <w:fldChar w:fldCharType="begin"/>
      </w:r>
      <w:r>
        <w:instrText xml:space="preserve"> HYPERLINK "mailto:postmaster@hnssjc.cn" \h </w:instrText>
      </w:r>
      <w:r>
        <w:fldChar w:fldCharType="separate"/>
      </w:r>
      <w:r>
        <w:rPr>
          <w:rFonts w:ascii="Times New Roman" w:eastAsia="Times New Roman"/>
          <w:spacing w:val="-1"/>
          <w:sz w:val="24"/>
        </w:rPr>
        <w:t>postmaster@hnssjc.cn</w:t>
      </w:r>
      <w:r>
        <w:rPr>
          <w:rFonts w:ascii="Times New Roman" w:eastAsia="Times New Roman"/>
          <w:spacing w:val="-1"/>
          <w:sz w:val="24"/>
        </w:rPr>
        <w:fldChar w:fldCharType="end"/>
      </w:r>
    </w:p>
    <w:p w14:paraId="54C72B04">
      <w:pPr>
        <w:tabs>
          <w:tab w:val="center" w:pos="5040"/>
        </w:tabs>
        <w:bidi w:val="0"/>
        <w:jc w:val="center"/>
        <w:rPr>
          <w:rFonts w:ascii="Times New Roman" w:eastAsia="Times New Roman"/>
          <w:sz w:val="24"/>
        </w:rPr>
      </w:pPr>
    </w:p>
    <w:p w14:paraId="2EBCB5EF">
      <w:pPr>
        <w:tabs>
          <w:tab w:val="center" w:pos="5040"/>
        </w:tabs>
        <w:bidi w:val="0"/>
        <w:jc w:val="both"/>
        <w:rPr>
          <w:rFonts w:ascii="Times New Roman" w:eastAsia="Times New Roman"/>
          <w:sz w:val="24"/>
        </w:rPr>
      </w:pPr>
    </w:p>
    <w:sdt>
      <w:sdtPr>
        <w:rPr>
          <w:rFonts w:hint="eastAsia" w:ascii="仿宋" w:hAnsi="仿宋" w:eastAsia="仿宋" w:cs="仿宋"/>
          <w:sz w:val="40"/>
          <w:szCs w:val="40"/>
          <w:lang w:val="zh-CN" w:eastAsia="zh-CN" w:bidi="zh-CN"/>
        </w:rPr>
        <w:id w:val="147474583"/>
        <w15:color w:val="DBDBDB"/>
        <w:docPartObj>
          <w:docPartGallery w:val="Table of Contents"/>
          <w:docPartUnique/>
        </w:docPartObj>
      </w:sdtPr>
      <w:sdtEndPr>
        <w:rPr>
          <w:rFonts w:hint="eastAsia" w:ascii="仿宋" w:hAnsi="仿宋" w:eastAsia="仿宋" w:cs="仿宋"/>
          <w:b/>
          <w:sz w:val="28"/>
          <w:szCs w:val="28"/>
          <w:lang w:val="zh-CN" w:eastAsia="zh-CN" w:bidi="zh-CN"/>
        </w:rPr>
      </w:sdtEndPr>
      <w:sdtContent>
        <w:p w14:paraId="34CEBBB1">
          <w:pPr>
            <w:spacing w:before="0" w:beforeLines="0" w:after="0" w:afterLines="0" w:line="240" w:lineRule="auto"/>
            <w:ind w:left="0" w:leftChars="0" w:right="0" w:rightChars="0" w:firstLine="0" w:firstLineChars="0"/>
            <w:jc w:val="center"/>
          </w:pPr>
          <w:r>
            <w:rPr>
              <w:rFonts w:hint="eastAsia" w:ascii="仿宋" w:hAnsi="仿宋" w:eastAsia="仿宋" w:cs="仿宋"/>
              <w:sz w:val="40"/>
              <w:szCs w:val="40"/>
            </w:rPr>
            <w:t>目录</w:t>
          </w:r>
          <w:r>
            <w:rPr>
              <w:rFonts w:hint="eastAsia" w:cs="仿宋"/>
              <w:sz w:val="28"/>
              <w:szCs w:val="28"/>
              <w:lang w:val="zh-CN" w:eastAsia="zh-CN" w:bidi="zh-CN"/>
            </w:rPr>
            <w:fldChar w:fldCharType="begin"/>
          </w:r>
          <w:r>
            <w:rPr>
              <w:rFonts w:hint="eastAsia" w:cs="仿宋"/>
              <w:sz w:val="28"/>
              <w:szCs w:val="28"/>
              <w:lang w:val="zh-CN" w:eastAsia="zh-CN" w:bidi="zh-CN"/>
            </w:rPr>
            <w:instrText xml:space="preserve">TOC \o "1-2" \h \u </w:instrText>
          </w:r>
          <w:r>
            <w:rPr>
              <w:rFonts w:hint="eastAsia" w:cs="仿宋"/>
              <w:sz w:val="28"/>
              <w:szCs w:val="28"/>
              <w:lang w:val="zh-CN" w:eastAsia="zh-CN" w:bidi="zh-CN"/>
            </w:rPr>
            <w:fldChar w:fldCharType="separate"/>
          </w:r>
        </w:p>
        <w:p w14:paraId="5FE4B28E">
          <w:pPr>
            <w:pStyle w:val="8"/>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_Toc3643 </w:instrText>
          </w:r>
          <w:r>
            <w:rPr>
              <w:rFonts w:hint="eastAsia" w:cs="仿宋"/>
              <w:szCs w:val="28"/>
              <w:lang w:val="zh-CN" w:eastAsia="zh-CN" w:bidi="zh-CN"/>
            </w:rPr>
            <w:fldChar w:fldCharType="separate"/>
          </w:r>
          <w:r>
            <w:rPr>
              <w:rFonts w:hint="eastAsia"/>
              <w:lang w:val="zh-CN" w:eastAsia="zh-CN"/>
            </w:rPr>
            <w:t>一、抽检计划完成情况</w:t>
          </w:r>
          <w:r>
            <w:tab/>
          </w:r>
          <w:r>
            <w:fldChar w:fldCharType="begin"/>
          </w:r>
          <w:r>
            <w:instrText xml:space="preserve"> PAGEREF _Toc3643 \h </w:instrText>
          </w:r>
          <w:r>
            <w:fldChar w:fldCharType="separate"/>
          </w:r>
          <w:r>
            <w:t>1</w:t>
          </w:r>
          <w:r>
            <w:fldChar w:fldCharType="end"/>
          </w:r>
          <w:r>
            <w:rPr>
              <w:rFonts w:hint="eastAsia" w:cs="仿宋"/>
              <w:szCs w:val="28"/>
              <w:lang w:val="zh-CN" w:eastAsia="zh-CN" w:bidi="zh-CN"/>
            </w:rPr>
            <w:fldChar w:fldCharType="end"/>
          </w:r>
        </w:p>
        <w:p w14:paraId="2944BF7F">
          <w:pPr>
            <w:pStyle w:val="8"/>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_Toc32088 </w:instrText>
          </w:r>
          <w:r>
            <w:rPr>
              <w:rFonts w:hint="eastAsia" w:cs="仿宋"/>
              <w:szCs w:val="28"/>
              <w:lang w:val="zh-CN" w:eastAsia="zh-CN" w:bidi="zh-CN"/>
            </w:rPr>
            <w:fldChar w:fldCharType="separate"/>
          </w:r>
          <w:r>
            <w:rPr>
              <w:rFonts w:hint="eastAsia"/>
              <w:lang w:val="en-US" w:eastAsia="zh-CN"/>
            </w:rPr>
            <w:t>二、抽检结果分析</w:t>
          </w:r>
          <w:r>
            <w:tab/>
          </w:r>
          <w:r>
            <w:fldChar w:fldCharType="begin"/>
          </w:r>
          <w:r>
            <w:instrText xml:space="preserve"> PAGEREF _Toc32088 \h </w:instrText>
          </w:r>
          <w:r>
            <w:fldChar w:fldCharType="separate"/>
          </w:r>
          <w:r>
            <w:t>1</w:t>
          </w:r>
          <w:r>
            <w:fldChar w:fldCharType="end"/>
          </w:r>
          <w:r>
            <w:rPr>
              <w:rFonts w:hint="eastAsia" w:cs="仿宋"/>
              <w:szCs w:val="28"/>
              <w:lang w:val="zh-CN" w:eastAsia="zh-CN" w:bidi="zh-CN"/>
            </w:rPr>
            <w:fldChar w:fldCharType="end"/>
          </w:r>
        </w:p>
        <w:p w14:paraId="44D1F3AC">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_Toc28133 </w:instrText>
          </w:r>
          <w:r>
            <w:rPr>
              <w:rFonts w:hint="eastAsia" w:cs="仿宋"/>
              <w:szCs w:val="28"/>
              <w:lang w:val="zh-CN" w:eastAsia="zh-CN" w:bidi="zh-CN"/>
            </w:rPr>
            <w:fldChar w:fldCharType="separate"/>
          </w:r>
          <w:r>
            <w:rPr>
              <w:rFonts w:hint="eastAsia"/>
              <w:lang w:val="en-US" w:eastAsia="zh-CN"/>
            </w:rPr>
            <w:t>（一）总体情况分析</w:t>
          </w:r>
          <w:r>
            <w:tab/>
          </w:r>
          <w:r>
            <w:fldChar w:fldCharType="begin"/>
          </w:r>
          <w:r>
            <w:instrText xml:space="preserve"> PAGEREF _Toc28133 \h </w:instrText>
          </w:r>
          <w:r>
            <w:fldChar w:fldCharType="separate"/>
          </w:r>
          <w:r>
            <w:t>2</w:t>
          </w:r>
          <w:r>
            <w:fldChar w:fldCharType="end"/>
          </w:r>
          <w:r>
            <w:rPr>
              <w:rFonts w:hint="eastAsia" w:cs="仿宋"/>
              <w:szCs w:val="28"/>
              <w:lang w:val="zh-CN" w:eastAsia="zh-CN" w:bidi="zh-CN"/>
            </w:rPr>
            <w:fldChar w:fldCharType="end"/>
          </w:r>
        </w:p>
        <w:p w14:paraId="1F8CE5E2">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_Toc20670 </w:instrText>
          </w:r>
          <w:r>
            <w:rPr>
              <w:rFonts w:hint="eastAsia" w:cs="仿宋"/>
              <w:szCs w:val="28"/>
              <w:lang w:val="zh-CN" w:eastAsia="zh-CN" w:bidi="zh-CN"/>
            </w:rPr>
            <w:fldChar w:fldCharType="separate"/>
          </w:r>
          <w:r>
            <w:rPr>
              <w:rFonts w:hint="eastAsia"/>
              <w:lang w:val="zh-CN" w:eastAsia="zh-CN"/>
            </w:rPr>
            <w:t>（二）监督抽检结果分析</w:t>
          </w:r>
          <w:r>
            <w:tab/>
          </w:r>
          <w:r>
            <w:fldChar w:fldCharType="begin"/>
          </w:r>
          <w:r>
            <w:instrText xml:space="preserve"> PAGEREF _Toc20670 \h </w:instrText>
          </w:r>
          <w:r>
            <w:fldChar w:fldCharType="separate"/>
          </w:r>
          <w:r>
            <w:t>2</w:t>
          </w:r>
          <w:r>
            <w:fldChar w:fldCharType="end"/>
          </w:r>
          <w:r>
            <w:rPr>
              <w:rFonts w:hint="eastAsia" w:cs="仿宋"/>
              <w:szCs w:val="28"/>
              <w:lang w:val="zh-CN" w:eastAsia="zh-CN" w:bidi="zh-CN"/>
            </w:rPr>
            <w:fldChar w:fldCharType="end"/>
          </w:r>
        </w:p>
        <w:p w14:paraId="013CEAC3">
          <w:pPr>
            <w:pStyle w:val="8"/>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_Toc39 </w:instrText>
          </w:r>
          <w:r>
            <w:rPr>
              <w:rFonts w:hint="eastAsia" w:cs="仿宋"/>
              <w:szCs w:val="28"/>
              <w:lang w:val="zh-CN" w:eastAsia="zh-CN" w:bidi="zh-CN"/>
            </w:rPr>
            <w:fldChar w:fldCharType="separate"/>
          </w:r>
          <w:r>
            <w:t>三、抽检监测发现的主要问题及原因分析</w:t>
          </w:r>
          <w:r>
            <w:tab/>
          </w:r>
          <w:r>
            <w:fldChar w:fldCharType="begin"/>
          </w:r>
          <w:r>
            <w:instrText xml:space="preserve"> PAGEREF _Toc39 \h </w:instrText>
          </w:r>
          <w:r>
            <w:fldChar w:fldCharType="separate"/>
          </w:r>
          <w:r>
            <w:t>10</w:t>
          </w:r>
          <w:r>
            <w:fldChar w:fldCharType="end"/>
          </w:r>
          <w:r>
            <w:rPr>
              <w:rFonts w:hint="eastAsia" w:cs="仿宋"/>
              <w:szCs w:val="28"/>
              <w:lang w:val="zh-CN" w:eastAsia="zh-CN" w:bidi="zh-CN"/>
            </w:rPr>
            <w:fldChar w:fldCharType="end"/>
          </w:r>
        </w:p>
        <w:p w14:paraId="43ECDC51">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_Toc18881 </w:instrText>
          </w:r>
          <w:r>
            <w:rPr>
              <w:rFonts w:hint="eastAsia" w:cs="仿宋"/>
              <w:szCs w:val="28"/>
              <w:lang w:val="zh-CN" w:eastAsia="zh-CN" w:bidi="zh-CN"/>
            </w:rPr>
            <w:fldChar w:fldCharType="separate"/>
          </w:r>
          <w:r>
            <w:t>（一）总体情况分析</w:t>
          </w:r>
          <w:r>
            <w:tab/>
          </w:r>
          <w:r>
            <w:fldChar w:fldCharType="begin"/>
          </w:r>
          <w:r>
            <w:instrText xml:space="preserve"> PAGEREF _Toc18881 \h </w:instrText>
          </w:r>
          <w:r>
            <w:fldChar w:fldCharType="separate"/>
          </w:r>
          <w:r>
            <w:t>10</w:t>
          </w:r>
          <w:r>
            <w:fldChar w:fldCharType="end"/>
          </w:r>
          <w:r>
            <w:rPr>
              <w:rFonts w:hint="eastAsia" w:cs="仿宋"/>
              <w:szCs w:val="28"/>
              <w:lang w:val="zh-CN" w:eastAsia="zh-CN" w:bidi="zh-CN"/>
            </w:rPr>
            <w:fldChar w:fldCharType="end"/>
          </w:r>
        </w:p>
        <w:p w14:paraId="6EC59069">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_Toc1640 </w:instrText>
          </w:r>
          <w:r>
            <w:rPr>
              <w:rFonts w:hint="eastAsia" w:cs="仿宋"/>
              <w:szCs w:val="28"/>
              <w:lang w:val="zh-CN" w:eastAsia="zh-CN" w:bidi="zh-CN"/>
            </w:rPr>
            <w:fldChar w:fldCharType="separate"/>
          </w:r>
          <w:r>
            <w:t>（二）抽检监测发现的主要问题</w:t>
          </w:r>
          <w:r>
            <w:tab/>
          </w:r>
          <w:r>
            <w:fldChar w:fldCharType="begin"/>
          </w:r>
          <w:r>
            <w:instrText xml:space="preserve"> PAGEREF _Toc1640 \h </w:instrText>
          </w:r>
          <w:r>
            <w:fldChar w:fldCharType="separate"/>
          </w:r>
          <w:r>
            <w:t>10</w:t>
          </w:r>
          <w:r>
            <w:fldChar w:fldCharType="end"/>
          </w:r>
          <w:r>
            <w:rPr>
              <w:rFonts w:hint="eastAsia" w:cs="仿宋"/>
              <w:szCs w:val="28"/>
              <w:lang w:val="zh-CN" w:eastAsia="zh-CN" w:bidi="zh-CN"/>
            </w:rPr>
            <w:fldChar w:fldCharType="end"/>
          </w:r>
        </w:p>
        <w:p w14:paraId="187F13CF">
          <w:pPr>
            <w:pStyle w:val="8"/>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_Toc24896 </w:instrText>
          </w:r>
          <w:r>
            <w:rPr>
              <w:rFonts w:hint="eastAsia" w:cs="仿宋"/>
              <w:szCs w:val="28"/>
              <w:lang w:val="zh-CN" w:eastAsia="zh-CN" w:bidi="zh-CN"/>
            </w:rPr>
            <w:fldChar w:fldCharType="separate"/>
          </w:r>
          <w:r>
            <w:t>四、下一步工作建议</w:t>
          </w:r>
          <w:r>
            <w:tab/>
          </w:r>
          <w:r>
            <w:fldChar w:fldCharType="begin"/>
          </w:r>
          <w:r>
            <w:instrText xml:space="preserve"> PAGEREF _Toc24896 \h </w:instrText>
          </w:r>
          <w:r>
            <w:fldChar w:fldCharType="separate"/>
          </w:r>
          <w:r>
            <w:t>12</w:t>
          </w:r>
          <w:r>
            <w:fldChar w:fldCharType="end"/>
          </w:r>
          <w:r>
            <w:rPr>
              <w:rFonts w:hint="eastAsia" w:cs="仿宋"/>
              <w:szCs w:val="28"/>
              <w:lang w:val="zh-CN" w:eastAsia="zh-CN" w:bidi="zh-CN"/>
            </w:rPr>
            <w:fldChar w:fldCharType="end"/>
          </w:r>
        </w:p>
        <w:p w14:paraId="702BEB65">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_Toc18107 </w:instrText>
          </w:r>
          <w:r>
            <w:rPr>
              <w:rFonts w:hint="eastAsia" w:cs="仿宋"/>
              <w:szCs w:val="28"/>
              <w:lang w:val="zh-CN" w:eastAsia="zh-CN" w:bidi="zh-CN"/>
            </w:rPr>
            <w:fldChar w:fldCharType="separate"/>
          </w:r>
          <w:r>
            <w:rPr>
              <w:rFonts w:hint="eastAsia"/>
              <w:lang w:eastAsia="zh-CN"/>
            </w:rPr>
            <w:t>（</w:t>
          </w:r>
          <w:r>
            <w:t>一）及时开展核查处置工作</w:t>
          </w:r>
          <w:r>
            <w:tab/>
          </w:r>
          <w:r>
            <w:fldChar w:fldCharType="begin"/>
          </w:r>
          <w:r>
            <w:instrText xml:space="preserve"> PAGEREF _Toc18107 \h </w:instrText>
          </w:r>
          <w:r>
            <w:fldChar w:fldCharType="separate"/>
          </w:r>
          <w:r>
            <w:t>12</w:t>
          </w:r>
          <w:r>
            <w:fldChar w:fldCharType="end"/>
          </w:r>
          <w:r>
            <w:rPr>
              <w:rFonts w:hint="eastAsia" w:cs="仿宋"/>
              <w:szCs w:val="28"/>
              <w:lang w:val="zh-CN" w:eastAsia="zh-CN" w:bidi="zh-CN"/>
            </w:rPr>
            <w:fldChar w:fldCharType="end"/>
          </w:r>
        </w:p>
        <w:p w14:paraId="2C5C328C">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_Toc31478 </w:instrText>
          </w:r>
          <w:r>
            <w:rPr>
              <w:rFonts w:hint="eastAsia" w:cs="仿宋"/>
              <w:szCs w:val="28"/>
              <w:lang w:val="zh-CN" w:eastAsia="zh-CN" w:bidi="zh-CN"/>
            </w:rPr>
            <w:fldChar w:fldCharType="separate"/>
          </w:r>
          <w:r>
            <w:t>（二）加强食品流通农产品和餐饮领域监管</w:t>
          </w:r>
          <w:r>
            <w:tab/>
          </w:r>
          <w:r>
            <w:fldChar w:fldCharType="begin"/>
          </w:r>
          <w:r>
            <w:instrText xml:space="preserve"> PAGEREF _Toc31478 \h </w:instrText>
          </w:r>
          <w:r>
            <w:fldChar w:fldCharType="separate"/>
          </w:r>
          <w:r>
            <w:t>12</w:t>
          </w:r>
          <w:r>
            <w:fldChar w:fldCharType="end"/>
          </w:r>
          <w:r>
            <w:rPr>
              <w:rFonts w:hint="eastAsia" w:cs="仿宋"/>
              <w:szCs w:val="28"/>
              <w:lang w:val="zh-CN" w:eastAsia="zh-CN" w:bidi="zh-CN"/>
            </w:rPr>
            <w:fldChar w:fldCharType="end"/>
          </w:r>
        </w:p>
        <w:p w14:paraId="27ACDB8E">
          <w:pPr>
            <w:pStyle w:val="9"/>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_Toc7221 </w:instrText>
          </w:r>
          <w:r>
            <w:rPr>
              <w:rFonts w:hint="eastAsia" w:cs="仿宋"/>
              <w:szCs w:val="28"/>
              <w:lang w:val="zh-CN" w:eastAsia="zh-CN" w:bidi="zh-CN"/>
            </w:rPr>
            <w:fldChar w:fldCharType="separate"/>
          </w:r>
          <w:r>
            <w:t>（三）加强食品安全宣传和培训教育</w:t>
          </w:r>
          <w:r>
            <w:tab/>
          </w:r>
          <w:r>
            <w:fldChar w:fldCharType="begin"/>
          </w:r>
          <w:r>
            <w:instrText xml:space="preserve"> PAGEREF _Toc7221 \h </w:instrText>
          </w:r>
          <w:r>
            <w:fldChar w:fldCharType="separate"/>
          </w:r>
          <w:r>
            <w:t>13</w:t>
          </w:r>
          <w:r>
            <w:fldChar w:fldCharType="end"/>
          </w:r>
          <w:r>
            <w:rPr>
              <w:rFonts w:hint="eastAsia" w:cs="仿宋"/>
              <w:szCs w:val="28"/>
              <w:lang w:val="zh-CN" w:eastAsia="zh-CN" w:bidi="zh-CN"/>
            </w:rPr>
            <w:fldChar w:fldCharType="end"/>
          </w:r>
        </w:p>
        <w:p w14:paraId="14D9A413">
          <w:pPr>
            <w:pStyle w:val="8"/>
            <w:tabs>
              <w:tab w:val="right" w:leader="dot" w:pos="9800"/>
            </w:tabs>
            <w:spacing w:line="360" w:lineRule="auto"/>
          </w:pPr>
          <w:r>
            <w:rPr>
              <w:rFonts w:hint="eastAsia" w:cs="仿宋"/>
              <w:szCs w:val="28"/>
              <w:lang w:val="zh-CN" w:eastAsia="zh-CN" w:bidi="zh-CN"/>
            </w:rPr>
            <w:fldChar w:fldCharType="begin"/>
          </w:r>
          <w:r>
            <w:rPr>
              <w:rFonts w:hint="eastAsia" w:cs="仿宋"/>
              <w:szCs w:val="28"/>
              <w:lang w:val="zh-CN" w:eastAsia="zh-CN" w:bidi="zh-CN"/>
            </w:rPr>
            <w:instrText xml:space="preserve"> HYPERLINK \l _Toc31443 </w:instrText>
          </w:r>
          <w:r>
            <w:rPr>
              <w:rFonts w:hint="eastAsia" w:cs="仿宋"/>
              <w:szCs w:val="28"/>
              <w:lang w:val="zh-CN" w:eastAsia="zh-CN" w:bidi="zh-CN"/>
            </w:rPr>
            <w:fldChar w:fldCharType="separate"/>
          </w:r>
          <w:r>
            <w:t>五、消费指南和风险警示</w:t>
          </w:r>
          <w:r>
            <w:tab/>
          </w:r>
          <w:r>
            <w:fldChar w:fldCharType="begin"/>
          </w:r>
          <w:r>
            <w:instrText xml:space="preserve"> PAGEREF _Toc31443 \h </w:instrText>
          </w:r>
          <w:r>
            <w:fldChar w:fldCharType="separate"/>
          </w:r>
          <w:r>
            <w:t>13</w:t>
          </w:r>
          <w:r>
            <w:fldChar w:fldCharType="end"/>
          </w:r>
          <w:r>
            <w:rPr>
              <w:rFonts w:hint="eastAsia" w:cs="仿宋"/>
              <w:szCs w:val="28"/>
              <w:lang w:val="zh-CN" w:eastAsia="zh-CN" w:bidi="zh-CN"/>
            </w:rPr>
            <w:fldChar w:fldCharType="end"/>
          </w:r>
        </w:p>
        <w:p w14:paraId="6199DDA9">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cs="仿宋"/>
              <w:sz w:val="28"/>
              <w:szCs w:val="28"/>
              <w:lang w:val="zh-CN" w:eastAsia="zh-CN" w:bidi="zh-CN"/>
            </w:rPr>
          </w:pPr>
          <w:r>
            <w:rPr>
              <w:rFonts w:hint="eastAsia" w:cs="仿宋"/>
              <w:szCs w:val="28"/>
              <w:lang w:val="zh-CN" w:eastAsia="zh-CN" w:bidi="zh-CN"/>
            </w:rPr>
            <w:fldChar w:fldCharType="end"/>
          </w:r>
        </w:p>
      </w:sdtContent>
    </w:sdt>
    <w:p w14:paraId="29C51D23">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cs="仿宋"/>
          <w:sz w:val="28"/>
          <w:szCs w:val="28"/>
          <w:lang w:val="zh-CN" w:eastAsia="zh-CN" w:bidi="zh-CN"/>
        </w:rPr>
      </w:pPr>
    </w:p>
    <w:p w14:paraId="21594EE5">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cs="仿宋"/>
          <w:sz w:val="28"/>
          <w:szCs w:val="28"/>
          <w:lang w:val="zh-CN" w:eastAsia="zh-CN" w:bidi="zh-CN"/>
        </w:rPr>
      </w:pPr>
    </w:p>
    <w:p w14:paraId="4CC9233E">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cs="仿宋"/>
          <w:sz w:val="28"/>
          <w:szCs w:val="28"/>
          <w:lang w:val="zh-CN" w:eastAsia="zh-CN" w:bidi="zh-CN"/>
        </w:rPr>
      </w:pPr>
    </w:p>
    <w:p w14:paraId="78205B9F">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cs="仿宋"/>
          <w:sz w:val="28"/>
          <w:szCs w:val="28"/>
          <w:lang w:val="zh-CN" w:eastAsia="zh-CN" w:bidi="zh-CN"/>
        </w:rPr>
      </w:pPr>
    </w:p>
    <w:p w14:paraId="18B5090F">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cs="仿宋"/>
          <w:sz w:val="28"/>
          <w:szCs w:val="28"/>
          <w:lang w:val="zh-CN" w:eastAsia="zh-CN" w:bidi="zh-CN"/>
        </w:rPr>
      </w:pPr>
    </w:p>
    <w:p w14:paraId="1E732C29">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textAlignment w:val="auto"/>
        <w:rPr>
          <w:rFonts w:hint="eastAsia" w:cs="仿宋"/>
          <w:sz w:val="28"/>
          <w:szCs w:val="28"/>
          <w:lang w:val="zh-CN" w:eastAsia="zh-CN" w:bidi="zh-CN"/>
        </w:rPr>
        <w:sectPr>
          <w:headerReference r:id="rId5" w:type="default"/>
          <w:footerReference r:id="rId6" w:type="default"/>
          <w:pgSz w:w="11906" w:h="16838"/>
          <w:pgMar w:top="1440" w:right="866" w:bottom="1440" w:left="1240" w:header="851" w:footer="992" w:gutter="0"/>
          <w:pgNumType w:fmt="decimal"/>
          <w:cols w:space="425" w:num="1"/>
          <w:docGrid w:type="lines" w:linePitch="312" w:charSpace="0"/>
        </w:sectPr>
      </w:pPr>
    </w:p>
    <w:p w14:paraId="49394E43">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ascii="仿宋" w:hAnsi="仿宋" w:eastAsia="仿宋" w:cs="仿宋"/>
          <w:sz w:val="28"/>
          <w:szCs w:val="28"/>
          <w:lang w:val="zh-CN" w:eastAsia="zh-CN" w:bidi="zh-CN"/>
        </w:rPr>
      </w:pPr>
      <w:r>
        <w:rPr>
          <w:rFonts w:hint="eastAsia" w:cs="仿宋"/>
          <w:sz w:val="28"/>
          <w:szCs w:val="28"/>
          <w:lang w:val="zh-CN" w:eastAsia="zh-CN" w:bidi="zh-CN"/>
        </w:rPr>
        <w:t>202</w:t>
      </w:r>
      <w:r>
        <w:rPr>
          <w:rFonts w:hint="eastAsia" w:cs="仿宋"/>
          <w:sz w:val="28"/>
          <w:szCs w:val="28"/>
          <w:lang w:val="en-US" w:eastAsia="zh-CN" w:bidi="zh-CN"/>
        </w:rPr>
        <w:t>4</w:t>
      </w:r>
      <w:r>
        <w:rPr>
          <w:rFonts w:hint="eastAsia" w:cs="仿宋"/>
          <w:sz w:val="28"/>
          <w:szCs w:val="28"/>
          <w:lang w:val="zh-CN" w:eastAsia="zh-CN" w:bidi="zh-CN"/>
        </w:rPr>
        <w:t>年</w:t>
      </w:r>
      <w:r>
        <w:rPr>
          <w:rFonts w:hint="eastAsia" w:ascii="仿宋" w:hAnsi="仿宋" w:eastAsia="仿宋" w:cs="仿宋"/>
          <w:sz w:val="28"/>
          <w:szCs w:val="28"/>
          <w:lang w:val="zh-CN" w:eastAsia="zh-CN" w:bidi="zh-CN"/>
        </w:rPr>
        <w:t>我</w:t>
      </w:r>
      <w:r>
        <w:rPr>
          <w:rFonts w:hint="eastAsia" w:cs="仿宋"/>
          <w:sz w:val="28"/>
          <w:szCs w:val="28"/>
          <w:lang w:val="en-US" w:eastAsia="zh-CN" w:bidi="zh-CN"/>
        </w:rPr>
        <w:t>司</w:t>
      </w:r>
      <w:r>
        <w:rPr>
          <w:rFonts w:hint="eastAsia" w:ascii="仿宋" w:hAnsi="仿宋" w:eastAsia="仿宋" w:cs="仿宋"/>
          <w:sz w:val="28"/>
          <w:szCs w:val="28"/>
          <w:lang w:val="zh-CN" w:eastAsia="zh-CN" w:bidi="zh-CN"/>
        </w:rPr>
        <w:t>根据湖南省市场监督管理局关于印发《湖南省20</w:t>
      </w:r>
      <w:r>
        <w:rPr>
          <w:rFonts w:hint="eastAsia" w:cs="仿宋"/>
          <w:sz w:val="28"/>
          <w:szCs w:val="28"/>
          <w:lang w:val="en-US" w:eastAsia="zh-CN" w:bidi="zh-CN"/>
        </w:rPr>
        <w:t>24</w:t>
      </w:r>
      <w:r>
        <w:rPr>
          <w:rFonts w:hint="eastAsia" w:ascii="仿宋" w:hAnsi="仿宋" w:eastAsia="仿宋" w:cs="仿宋"/>
          <w:sz w:val="28"/>
          <w:szCs w:val="28"/>
          <w:lang w:val="zh-CN" w:eastAsia="zh-CN" w:bidi="zh-CN"/>
        </w:rPr>
        <w:t>年食品安全抽检监测计划》的通知要求，按照</w:t>
      </w:r>
      <w:r>
        <w:rPr>
          <w:rFonts w:hint="eastAsia" w:cs="仿宋"/>
          <w:sz w:val="28"/>
          <w:szCs w:val="28"/>
          <w:lang w:val="en-US" w:eastAsia="zh-CN" w:bidi="zh-CN"/>
        </w:rPr>
        <w:t>益阳市</w:t>
      </w:r>
      <w:r>
        <w:rPr>
          <w:rFonts w:hint="eastAsia" w:ascii="仿宋" w:hAnsi="仿宋" w:eastAsia="仿宋" w:cs="仿宋"/>
          <w:sz w:val="28"/>
          <w:szCs w:val="28"/>
          <w:lang w:val="zh-CN" w:eastAsia="zh-CN" w:bidi="zh-CN"/>
        </w:rPr>
        <w:t>市场监督管理局分配的任务，结合</w:t>
      </w:r>
      <w:r>
        <w:rPr>
          <w:rFonts w:hint="eastAsia" w:cs="仿宋"/>
          <w:sz w:val="28"/>
          <w:szCs w:val="28"/>
          <w:lang w:val="en-US" w:eastAsia="zh-CN" w:bidi="zh-CN"/>
        </w:rPr>
        <w:t>高新区</w:t>
      </w:r>
      <w:r>
        <w:rPr>
          <w:rFonts w:hint="eastAsia" w:ascii="仿宋" w:hAnsi="仿宋" w:eastAsia="仿宋" w:cs="仿宋"/>
          <w:sz w:val="28"/>
          <w:szCs w:val="28"/>
          <w:lang w:val="zh-CN" w:eastAsia="zh-CN" w:bidi="zh-CN"/>
        </w:rPr>
        <w:t>食品安全监管实际，通过开展食品安全监督抽检有效防控、排查和化解食品安全风险隐患，打击违法行为，保障食品安全。</w:t>
      </w:r>
    </w:p>
    <w:p w14:paraId="38CB398B">
      <w:pPr>
        <w:pStyle w:val="2"/>
        <w:keepNext/>
        <w:keepLines/>
        <w:pageBreakBefore w:val="0"/>
        <w:widowControl w:val="0"/>
        <w:numPr>
          <w:ilvl w:val="0"/>
          <w:numId w:val="0"/>
        </w:numPr>
        <w:kinsoku/>
        <w:wordWrap/>
        <w:overflowPunct/>
        <w:topLinePunct w:val="0"/>
        <w:autoSpaceDE w:val="0"/>
        <w:autoSpaceDN w:val="0"/>
        <w:bidi w:val="0"/>
        <w:adjustRightInd/>
        <w:snapToGrid/>
        <w:spacing w:line="300" w:lineRule="exact"/>
        <w:ind w:right="0" w:rightChars="0" w:firstLine="643" w:firstLineChars="200"/>
        <w:textAlignment w:val="auto"/>
        <w:rPr>
          <w:rFonts w:hint="eastAsia"/>
          <w:lang w:val="zh-CN" w:eastAsia="zh-CN"/>
        </w:rPr>
      </w:pPr>
      <w:bookmarkStart w:id="11" w:name="_Toc3643"/>
      <w:r>
        <w:rPr>
          <w:rFonts w:hint="eastAsia"/>
          <w:lang w:val="zh-CN" w:eastAsia="zh-CN"/>
        </w:rPr>
        <w:t>一、抽检计划完成情况</w:t>
      </w:r>
      <w:bookmarkEnd w:id="11"/>
    </w:p>
    <w:p w14:paraId="2FD19A49">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560" w:rightChars="200" w:firstLine="560" w:firstLineChars="200"/>
        <w:textAlignment w:val="auto"/>
        <w:rPr>
          <w:rFonts w:hint="eastAsia" w:ascii="仿宋" w:hAnsi="仿宋" w:eastAsia="仿宋" w:cs="仿宋"/>
          <w:sz w:val="28"/>
          <w:szCs w:val="28"/>
          <w:lang w:val="en-US" w:eastAsia="zh-CN" w:bidi="zh-CN"/>
        </w:rPr>
      </w:pPr>
      <w:r>
        <w:rPr>
          <w:rFonts w:hint="eastAsia" w:ascii="仿宋" w:hAnsi="仿宋" w:eastAsia="仿宋" w:cs="仿宋"/>
          <w:sz w:val="28"/>
          <w:szCs w:val="28"/>
          <w:lang w:val="zh-CN" w:eastAsia="zh-CN" w:bidi="zh-CN"/>
        </w:rPr>
        <w:t>根据任务安排，</w:t>
      </w:r>
      <w:r>
        <w:rPr>
          <w:rFonts w:hint="eastAsia" w:cs="仿宋"/>
          <w:sz w:val="28"/>
          <w:szCs w:val="28"/>
          <w:lang w:val="en-US" w:eastAsia="zh-CN" w:bidi="zh-CN"/>
        </w:rPr>
        <w:t>2024年我司</w:t>
      </w:r>
      <w:r>
        <w:rPr>
          <w:rFonts w:hint="eastAsia" w:ascii="仿宋" w:hAnsi="仿宋" w:eastAsia="仿宋" w:cs="仿宋"/>
          <w:sz w:val="28"/>
          <w:szCs w:val="28"/>
          <w:lang w:val="en-US" w:eastAsia="zh-CN" w:bidi="zh-CN"/>
        </w:rPr>
        <w:t>承担</w:t>
      </w:r>
      <w:r>
        <w:rPr>
          <w:rFonts w:hint="eastAsia" w:cs="仿宋"/>
          <w:sz w:val="28"/>
          <w:szCs w:val="28"/>
          <w:lang w:val="en-US" w:eastAsia="zh-CN" w:bidi="zh-CN"/>
        </w:rPr>
        <w:t>335</w:t>
      </w:r>
      <w:r>
        <w:rPr>
          <w:rFonts w:hint="eastAsia" w:ascii="仿宋" w:hAnsi="仿宋" w:eastAsia="仿宋" w:cs="仿宋"/>
          <w:sz w:val="28"/>
          <w:szCs w:val="28"/>
          <w:lang w:val="en-US" w:eastAsia="zh-CN" w:bidi="zh-CN"/>
        </w:rPr>
        <w:t>批次食品安全抽检检测任务，</w:t>
      </w:r>
      <w:r>
        <w:rPr>
          <w:rFonts w:hint="eastAsia" w:cs="仿宋"/>
          <w:sz w:val="28"/>
          <w:szCs w:val="28"/>
          <w:lang w:val="en-US" w:eastAsia="zh-CN" w:bidi="zh-CN"/>
        </w:rPr>
        <w:t>其中2024年湖南益阳高新区春季校园食品专项17批次，2024年湖南益阳高新区第一季度县级监督抽检9批次，2024年湖南益阳高新区第一季度县级监督抽检年关守护（含校园食品整治）专项50批次，2024年湖南益阳高新区第一季度县级农产品抽检13批次，2024年湖南益阳高新区县级监督抽检91批次，2024年湖南益阳高新区县级农产品抽检90批次，2024年湖南益阳高新区县级专项跟踪抽检2批次，2024年湖南益阳高新区校园食品专项63批次。</w:t>
      </w:r>
      <w:r>
        <w:rPr>
          <w:rFonts w:hint="eastAsia" w:ascii="仿宋" w:hAnsi="仿宋" w:eastAsia="仿宋" w:cs="仿宋"/>
          <w:sz w:val="28"/>
          <w:szCs w:val="28"/>
          <w:lang w:val="en-US" w:eastAsia="zh-CN" w:bidi="zh-CN"/>
        </w:rPr>
        <w:t>截止到</w:t>
      </w:r>
      <w:r>
        <w:rPr>
          <w:rFonts w:hint="eastAsia" w:cs="仿宋"/>
          <w:sz w:val="28"/>
          <w:szCs w:val="28"/>
          <w:lang w:val="en-US" w:eastAsia="zh-CN" w:bidi="zh-CN"/>
        </w:rPr>
        <w:t>2024年11月30</w:t>
      </w:r>
      <w:r>
        <w:rPr>
          <w:rFonts w:hint="eastAsia" w:ascii="仿宋" w:hAnsi="仿宋" w:eastAsia="仿宋" w:cs="仿宋"/>
          <w:sz w:val="28"/>
          <w:szCs w:val="28"/>
          <w:lang w:val="en-US" w:eastAsia="zh-CN" w:bidi="zh-CN"/>
        </w:rPr>
        <w:t>日，</w:t>
      </w:r>
      <w:r>
        <w:rPr>
          <w:rFonts w:hint="eastAsia" w:cs="仿宋"/>
          <w:sz w:val="28"/>
          <w:szCs w:val="28"/>
          <w:lang w:val="en-US" w:eastAsia="zh-CN" w:bidi="zh-CN"/>
        </w:rPr>
        <w:t>我司</w:t>
      </w:r>
      <w:r>
        <w:rPr>
          <w:rFonts w:hint="eastAsia" w:ascii="仿宋" w:hAnsi="仿宋" w:eastAsia="仿宋" w:cs="仿宋"/>
          <w:sz w:val="28"/>
          <w:szCs w:val="28"/>
          <w:lang w:val="en-US" w:eastAsia="zh-CN" w:bidi="zh-CN"/>
        </w:rPr>
        <w:t>实际完成</w:t>
      </w:r>
      <w:r>
        <w:rPr>
          <w:rFonts w:hint="eastAsia" w:cs="仿宋"/>
          <w:sz w:val="28"/>
          <w:szCs w:val="28"/>
          <w:lang w:val="en-US" w:eastAsia="zh-CN" w:bidi="zh-CN"/>
        </w:rPr>
        <w:t>335</w:t>
      </w:r>
      <w:r>
        <w:rPr>
          <w:rFonts w:hint="eastAsia" w:ascii="仿宋" w:hAnsi="仿宋" w:eastAsia="仿宋" w:cs="仿宋"/>
          <w:sz w:val="28"/>
          <w:szCs w:val="28"/>
          <w:lang w:val="en-US" w:eastAsia="zh-CN" w:bidi="zh-CN"/>
        </w:rPr>
        <w:t>批次，完成率10</w:t>
      </w:r>
      <w:r>
        <w:rPr>
          <w:rFonts w:hint="eastAsia" w:cs="仿宋"/>
          <w:sz w:val="28"/>
          <w:szCs w:val="28"/>
          <w:lang w:val="en-US" w:eastAsia="zh-CN" w:bidi="zh-CN"/>
        </w:rPr>
        <w:t>0.00</w:t>
      </w:r>
      <w:r>
        <w:rPr>
          <w:rFonts w:hint="eastAsia" w:ascii="仿宋" w:hAnsi="仿宋" w:eastAsia="仿宋" w:cs="仿宋"/>
          <w:sz w:val="28"/>
          <w:szCs w:val="28"/>
          <w:lang w:val="en-US" w:eastAsia="zh-CN" w:bidi="zh-CN"/>
        </w:rPr>
        <w:t>%（详见表1）。</w:t>
      </w:r>
    </w:p>
    <w:p w14:paraId="7A4A3C53">
      <w:pPr>
        <w:numPr>
          <w:ilvl w:val="0"/>
          <w:numId w:val="0"/>
        </w:numPr>
        <w:bidi w:val="0"/>
        <w:ind w:left="0" w:leftChars="0" w:right="0" w:rightChars="0" w:firstLine="0" w:firstLineChars="0"/>
        <w:jc w:val="center"/>
        <w:rPr>
          <w:rFonts w:hint="eastAsia" w:cs="仿宋"/>
          <w:b/>
          <w:bCs/>
          <w:spacing w:val="-4"/>
          <w:sz w:val="28"/>
          <w:szCs w:val="28"/>
          <w:lang w:val="en-US" w:eastAsia="zh-CN" w:bidi="zh-CN"/>
        </w:rPr>
      </w:pPr>
      <w:r>
        <w:rPr>
          <w:rFonts w:hint="eastAsia" w:cs="仿宋"/>
          <w:b/>
          <w:bCs/>
          <w:spacing w:val="-4"/>
          <w:sz w:val="28"/>
          <w:szCs w:val="28"/>
          <w:lang w:val="en-US" w:eastAsia="zh-CN" w:bidi="zh-CN"/>
        </w:rPr>
        <w:t>表1 抽检完成情况表</w:t>
      </w:r>
    </w:p>
    <w:tbl>
      <w:tblPr>
        <w:tblStyle w:val="10"/>
        <w:tblW w:w="93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2"/>
        <w:gridCol w:w="4875"/>
        <w:gridCol w:w="1350"/>
        <w:gridCol w:w="1360"/>
        <w:gridCol w:w="1056"/>
      </w:tblGrid>
      <w:tr w14:paraId="76C42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B5A5">
            <w:pPr>
              <w:keepNext w:val="0"/>
              <w:keepLines w:val="0"/>
              <w:widowControl/>
              <w:suppressLineNumbers w:val="0"/>
              <w:jc w:val="center"/>
              <w:textAlignment w:val="center"/>
              <w:rPr>
                <w:rFonts w:ascii="仿宋" w:hAnsi="仿宋" w:eastAsia="仿宋" w:cs="仿宋"/>
                <w:b/>
                <w:bCs/>
                <w:i w:val="0"/>
                <w:iCs w:val="0"/>
                <w:color w:val="000000"/>
                <w:sz w:val="24"/>
                <w:szCs w:val="24"/>
                <w:u w:val="none"/>
              </w:rPr>
            </w:pPr>
            <w:bookmarkStart w:id="12" w:name="_Toc32088"/>
            <w:r>
              <w:rPr>
                <w:rFonts w:hint="eastAsia" w:ascii="仿宋" w:hAnsi="仿宋" w:eastAsia="仿宋" w:cs="仿宋"/>
                <w:b/>
                <w:bCs/>
                <w:i w:val="0"/>
                <w:iCs w:val="0"/>
                <w:color w:val="000000"/>
                <w:kern w:val="0"/>
                <w:sz w:val="24"/>
                <w:szCs w:val="24"/>
                <w:u w:val="none"/>
                <w:lang w:val="en-US" w:eastAsia="zh-CN" w:bidi="ar"/>
              </w:rPr>
              <w:t>序号</w:t>
            </w:r>
          </w:p>
        </w:tc>
        <w:tc>
          <w:tcPr>
            <w:tcW w:w="4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EF82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报送分类</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A485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计划批次</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D01D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完成批次</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1FF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完成率</w:t>
            </w:r>
          </w:p>
        </w:tc>
      </w:tr>
      <w:tr w14:paraId="1D651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E118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162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2024年湖南益阳高新区春季校园食品专项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4883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A3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225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0F226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B2C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6C99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2024年湖南益阳高新区第一季度县级监督抽检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0A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7FF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1C94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2232E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327A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83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2024年湖南益阳高新区第一季度县级监督抽检年关守护（含校园食品整治）专项</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91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603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C7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34790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F26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785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2024年湖南益阳高新区第一季度县级农产品抽检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37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7389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412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56DB1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D41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99C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2024年湖南益阳高新区县级监督抽检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37E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EB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7B57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767D4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0D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9AD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2024年湖南益阳高新区县级农产品抽检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7E3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CE7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044C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0768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E980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E6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2024年湖南益阳高新区县级专项跟踪抽检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A6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2E0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DD6F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6519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9C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FD9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2024年湖南益阳高新区校园食品专项</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8A6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C1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BD9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1CC39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89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总计</w:t>
            </w:r>
          </w:p>
        </w:tc>
        <w:tc>
          <w:tcPr>
            <w:tcW w:w="4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48829">
            <w:pPr>
              <w:jc w:val="center"/>
              <w:rPr>
                <w:rFonts w:hint="eastAsia" w:ascii="仿宋" w:hAnsi="仿宋" w:eastAsia="仿宋" w:cs="仿宋"/>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F7F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335</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CD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C59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bl>
    <w:p w14:paraId="7E0EA713">
      <w:pPr>
        <w:pStyle w:val="2"/>
        <w:keepNext/>
        <w:keepLines/>
        <w:pageBreakBefore w:val="0"/>
        <w:widowControl w:val="0"/>
        <w:numPr>
          <w:ilvl w:val="0"/>
          <w:numId w:val="0"/>
        </w:numPr>
        <w:kinsoku/>
        <w:wordWrap/>
        <w:overflowPunct/>
        <w:topLinePunct w:val="0"/>
        <w:autoSpaceDE w:val="0"/>
        <w:autoSpaceDN w:val="0"/>
        <w:bidi w:val="0"/>
        <w:adjustRightInd/>
        <w:snapToGrid/>
        <w:spacing w:line="300" w:lineRule="exact"/>
        <w:ind w:left="560" w:leftChars="0" w:right="0" w:rightChars="0"/>
        <w:textAlignment w:val="auto"/>
        <w:rPr>
          <w:rFonts w:hint="eastAsia"/>
          <w:lang w:val="en-US" w:eastAsia="zh-CN"/>
        </w:rPr>
      </w:pPr>
      <w:r>
        <w:rPr>
          <w:rFonts w:hint="eastAsia"/>
          <w:lang w:val="en-US" w:eastAsia="zh-CN"/>
        </w:rPr>
        <w:t>二、抽检结果分析</w:t>
      </w:r>
      <w:bookmarkEnd w:id="12"/>
    </w:p>
    <w:p w14:paraId="306F2EA7">
      <w:pPr>
        <w:pStyle w:val="3"/>
        <w:keepNext/>
        <w:keepLines/>
        <w:pageBreakBefore w:val="0"/>
        <w:widowControl w:val="0"/>
        <w:numPr>
          <w:ilvl w:val="0"/>
          <w:numId w:val="0"/>
        </w:numPr>
        <w:kinsoku/>
        <w:wordWrap/>
        <w:overflowPunct/>
        <w:topLinePunct w:val="0"/>
        <w:autoSpaceDE w:val="0"/>
        <w:autoSpaceDN w:val="0"/>
        <w:bidi w:val="0"/>
        <w:adjustRightInd/>
        <w:snapToGrid/>
        <w:spacing w:line="300" w:lineRule="exact"/>
        <w:ind w:right="350" w:rightChars="125"/>
        <w:textAlignment w:val="auto"/>
        <w:rPr>
          <w:rFonts w:hint="eastAsia"/>
          <w:lang w:val="en-US" w:eastAsia="zh-CN"/>
        </w:rPr>
      </w:pPr>
      <w:r>
        <w:rPr>
          <w:rFonts w:hint="eastAsia"/>
          <w:lang w:val="en-US" w:eastAsia="zh-CN"/>
        </w:rPr>
        <w:t xml:space="preserve">    </w:t>
      </w:r>
      <w:bookmarkStart w:id="13" w:name="_Toc28133"/>
      <w:r>
        <w:rPr>
          <w:rFonts w:hint="eastAsia"/>
          <w:lang w:val="en-US" w:eastAsia="zh-CN"/>
        </w:rPr>
        <w:t>（一）总体情况分析</w:t>
      </w:r>
      <w:bookmarkEnd w:id="13"/>
    </w:p>
    <w:p w14:paraId="3FAA6049">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280" w:rightChars="100" w:firstLine="560" w:firstLineChars="200"/>
        <w:textAlignment w:val="auto"/>
        <w:rPr>
          <w:rFonts w:hint="eastAsia" w:ascii="仿宋" w:hAnsi="仿宋" w:eastAsia="仿宋" w:cs="仿宋"/>
          <w:sz w:val="28"/>
          <w:szCs w:val="28"/>
          <w:lang w:val="en-US" w:eastAsia="zh-CN" w:bidi="zh-CN"/>
        </w:rPr>
      </w:pPr>
      <w:r>
        <w:rPr>
          <w:rFonts w:hint="eastAsia" w:cs="仿宋"/>
          <w:sz w:val="28"/>
          <w:szCs w:val="28"/>
          <w:lang w:val="en-US" w:eastAsia="zh-CN" w:bidi="zh-CN"/>
        </w:rPr>
        <w:t>我司</w:t>
      </w:r>
      <w:r>
        <w:rPr>
          <w:rFonts w:hint="eastAsia" w:ascii="仿宋" w:hAnsi="仿宋" w:eastAsia="仿宋" w:cs="仿宋"/>
          <w:sz w:val="28"/>
          <w:szCs w:val="28"/>
          <w:lang w:val="en-US" w:eastAsia="zh-CN" w:bidi="zh-CN"/>
        </w:rPr>
        <w:t>合计抽检</w:t>
      </w:r>
      <w:r>
        <w:rPr>
          <w:rFonts w:hint="eastAsia" w:cs="仿宋"/>
          <w:sz w:val="28"/>
          <w:szCs w:val="28"/>
          <w:lang w:val="en-US" w:eastAsia="zh-CN" w:bidi="zh-CN"/>
        </w:rPr>
        <w:t>335</w:t>
      </w:r>
      <w:r>
        <w:rPr>
          <w:rFonts w:hint="eastAsia" w:ascii="仿宋" w:hAnsi="仿宋" w:eastAsia="仿宋" w:cs="仿宋"/>
          <w:sz w:val="28"/>
          <w:szCs w:val="28"/>
          <w:lang w:val="en-US" w:eastAsia="zh-CN" w:bidi="zh-CN"/>
        </w:rPr>
        <w:t>批次</w:t>
      </w:r>
      <w:r>
        <w:rPr>
          <w:rFonts w:hint="eastAsia" w:cs="仿宋"/>
          <w:sz w:val="28"/>
          <w:szCs w:val="28"/>
          <w:lang w:val="en-US" w:eastAsia="zh-CN" w:bidi="zh-CN"/>
        </w:rPr>
        <w:t>样品</w:t>
      </w:r>
      <w:r>
        <w:rPr>
          <w:rFonts w:hint="eastAsia" w:ascii="仿宋" w:hAnsi="仿宋" w:eastAsia="仿宋" w:cs="仿宋"/>
          <w:sz w:val="28"/>
          <w:szCs w:val="28"/>
          <w:lang w:val="en-US" w:eastAsia="zh-CN" w:bidi="zh-CN"/>
        </w:rPr>
        <w:t>，涉及保健食品</w:t>
      </w:r>
      <w:r>
        <w:rPr>
          <w:rFonts w:hint="eastAsia" w:cs="仿宋"/>
          <w:sz w:val="28"/>
          <w:szCs w:val="28"/>
          <w:lang w:val="en-US" w:eastAsia="zh-CN" w:bidi="zh-CN"/>
        </w:rPr>
        <w:t>、饼干、餐饮食品、炒货食品及坚果制品、蛋制品、淀粉及淀粉制品、调味品、豆制品、食用农产品</w:t>
      </w:r>
      <w:r>
        <w:rPr>
          <w:rFonts w:hint="eastAsia" w:ascii="仿宋" w:hAnsi="仿宋" w:eastAsia="仿宋" w:cs="仿宋"/>
          <w:sz w:val="28"/>
          <w:szCs w:val="28"/>
          <w:lang w:val="en-US" w:eastAsia="zh-CN" w:bidi="zh-CN"/>
        </w:rPr>
        <w:t>等</w:t>
      </w:r>
      <w:r>
        <w:rPr>
          <w:rFonts w:hint="eastAsia" w:cs="仿宋"/>
          <w:sz w:val="28"/>
          <w:szCs w:val="28"/>
          <w:lang w:val="en-US" w:eastAsia="zh-CN" w:bidi="zh-CN"/>
        </w:rPr>
        <w:t>27</w:t>
      </w:r>
      <w:r>
        <w:rPr>
          <w:rFonts w:hint="eastAsia" w:ascii="仿宋" w:hAnsi="仿宋" w:eastAsia="仿宋" w:cs="仿宋"/>
          <w:sz w:val="28"/>
          <w:szCs w:val="28"/>
          <w:lang w:val="en-US" w:eastAsia="zh-CN" w:bidi="zh-CN"/>
        </w:rPr>
        <w:t>个食品大类</w:t>
      </w:r>
      <w:r>
        <w:rPr>
          <w:rFonts w:hint="eastAsia" w:cs="仿宋"/>
          <w:sz w:val="28"/>
          <w:szCs w:val="28"/>
          <w:lang w:val="en-US" w:eastAsia="zh-CN" w:bidi="zh-CN"/>
        </w:rPr>
        <w:t>，</w:t>
      </w:r>
      <w:r>
        <w:rPr>
          <w:rFonts w:hint="eastAsia" w:ascii="仿宋" w:hAnsi="仿宋" w:eastAsia="仿宋" w:cs="仿宋"/>
          <w:sz w:val="28"/>
          <w:szCs w:val="28"/>
          <w:lang w:val="en-US" w:eastAsia="zh-CN" w:bidi="zh-CN"/>
        </w:rPr>
        <w:t>抽检发现不合格样品</w:t>
      </w:r>
      <w:r>
        <w:rPr>
          <w:rFonts w:hint="eastAsia" w:cs="仿宋"/>
          <w:sz w:val="28"/>
          <w:szCs w:val="28"/>
          <w:lang w:val="en-US" w:eastAsia="zh-CN" w:bidi="zh-CN"/>
        </w:rPr>
        <w:t>16</w:t>
      </w:r>
      <w:r>
        <w:rPr>
          <w:rFonts w:hint="eastAsia" w:ascii="仿宋" w:hAnsi="仿宋" w:eastAsia="仿宋" w:cs="仿宋"/>
          <w:sz w:val="28"/>
          <w:szCs w:val="28"/>
          <w:lang w:val="en-US" w:eastAsia="zh-CN" w:bidi="zh-CN"/>
        </w:rPr>
        <w:t>批次，不合格率为</w:t>
      </w:r>
      <w:r>
        <w:rPr>
          <w:rFonts w:hint="eastAsia" w:cs="仿宋"/>
          <w:sz w:val="28"/>
          <w:szCs w:val="28"/>
          <w:lang w:val="en-US" w:eastAsia="zh-CN" w:bidi="zh-CN"/>
        </w:rPr>
        <w:t>4.78</w:t>
      </w:r>
      <w:r>
        <w:rPr>
          <w:rFonts w:hint="eastAsia" w:ascii="仿宋" w:hAnsi="仿宋" w:eastAsia="仿宋" w:cs="仿宋"/>
          <w:sz w:val="28"/>
          <w:szCs w:val="28"/>
          <w:lang w:val="en-US" w:eastAsia="zh-CN" w:bidi="zh-CN"/>
        </w:rPr>
        <w:t>%。</w:t>
      </w:r>
    </w:p>
    <w:p w14:paraId="5B60C622">
      <w:pPr>
        <w:pStyle w:val="3"/>
        <w:bidi w:val="0"/>
        <w:ind w:firstLine="562" w:firstLineChars="200"/>
        <w:rPr>
          <w:b/>
          <w:sz w:val="20"/>
        </w:rPr>
      </w:pPr>
      <w:bookmarkStart w:id="14" w:name="_Toc20670"/>
      <w:r>
        <w:rPr>
          <w:rFonts w:hint="eastAsia"/>
          <w:lang w:val="zh-CN" w:eastAsia="zh-CN"/>
        </w:rPr>
        <w:t>（二）监督抽检结果分析</w:t>
      </w:r>
      <w:bookmarkEnd w:id="14"/>
    </w:p>
    <w:p w14:paraId="25F2EF63">
      <w:pPr>
        <w:pStyle w:val="4"/>
        <w:bidi w:val="0"/>
        <w:ind w:firstLine="562" w:firstLineChars="200"/>
      </w:pPr>
      <w:r>
        <w:t>1、各报送分类抽检情况分析</w:t>
      </w:r>
    </w:p>
    <w:p w14:paraId="4A583070">
      <w:pPr>
        <w:pStyle w:val="5"/>
        <w:keepNext w:val="0"/>
        <w:keepLines w:val="0"/>
        <w:pageBreakBefore w:val="0"/>
        <w:widowControl w:val="0"/>
        <w:kinsoku/>
        <w:wordWrap/>
        <w:overflowPunct/>
        <w:topLinePunct w:val="0"/>
        <w:autoSpaceDE w:val="0"/>
        <w:autoSpaceDN w:val="0"/>
        <w:bidi w:val="0"/>
        <w:adjustRightInd/>
        <w:snapToGrid/>
        <w:spacing w:before="11" w:line="365" w:lineRule="auto"/>
        <w:ind w:right="408" w:firstLine="560" w:firstLineChars="200"/>
        <w:textAlignment w:val="auto"/>
        <w:rPr>
          <w:rFonts w:hint="eastAsia" w:ascii="仿宋" w:hAnsi="仿宋" w:eastAsia="仿宋" w:cs="仿宋"/>
          <w:sz w:val="28"/>
          <w:szCs w:val="28"/>
          <w:lang w:val="en-US" w:eastAsia="zh-CN" w:bidi="zh-CN"/>
        </w:rPr>
      </w:pPr>
      <w:r>
        <w:rPr>
          <w:rFonts w:hint="eastAsia" w:ascii="仿宋" w:hAnsi="仿宋" w:eastAsia="仿宋" w:cs="仿宋"/>
          <w:sz w:val="28"/>
          <w:szCs w:val="28"/>
          <w:lang w:val="en-US" w:eastAsia="zh-CN" w:bidi="zh-CN"/>
        </w:rPr>
        <w:t>从抽检的各报送分类来看，2024年湖南益阳高新区县级监督抽检</w:t>
      </w:r>
      <w:r>
        <w:rPr>
          <w:rFonts w:hint="eastAsia" w:cs="仿宋"/>
          <w:sz w:val="28"/>
          <w:szCs w:val="28"/>
          <w:lang w:val="en-US" w:eastAsia="zh-CN" w:bidi="zh-CN"/>
        </w:rPr>
        <w:t>合格率最低</w:t>
      </w:r>
      <w:r>
        <w:rPr>
          <w:rFonts w:hint="eastAsia" w:ascii="仿宋" w:hAnsi="仿宋" w:eastAsia="仿宋" w:cs="仿宋"/>
          <w:sz w:val="28"/>
          <w:szCs w:val="28"/>
          <w:lang w:val="en-US" w:eastAsia="zh-CN" w:bidi="zh-CN"/>
        </w:rPr>
        <w:t>，为</w:t>
      </w:r>
      <w:r>
        <w:rPr>
          <w:rFonts w:hint="eastAsia" w:cs="仿宋"/>
          <w:sz w:val="28"/>
          <w:szCs w:val="28"/>
          <w:lang w:val="en-US" w:eastAsia="zh-CN" w:bidi="zh-CN"/>
        </w:rPr>
        <w:t>93.41</w:t>
      </w:r>
      <w:r>
        <w:rPr>
          <w:rFonts w:hint="eastAsia" w:ascii="仿宋" w:hAnsi="仿宋" w:eastAsia="仿宋" w:cs="仿宋"/>
          <w:sz w:val="28"/>
          <w:szCs w:val="28"/>
          <w:lang w:val="en-US" w:eastAsia="zh-CN" w:bidi="zh-CN"/>
        </w:rPr>
        <w:t>%；2024年湖南益阳高新区春季校园食品专项</w:t>
      </w:r>
      <w:r>
        <w:rPr>
          <w:rFonts w:hint="eastAsia" w:cs="仿宋"/>
          <w:sz w:val="28"/>
          <w:szCs w:val="28"/>
          <w:lang w:val="en-US" w:eastAsia="zh-CN" w:bidi="zh-CN"/>
        </w:rPr>
        <w:t>、2024年湖南益阳高新区第一季度县级监督抽检年关守护（含校园食品整治）专项、2024年湖南益阳高新区县级农产品抽检、2024年湖南益阳高新区校园食品专项合</w:t>
      </w:r>
      <w:r>
        <w:rPr>
          <w:rFonts w:hint="eastAsia" w:ascii="仿宋" w:hAnsi="仿宋" w:eastAsia="仿宋" w:cs="仿宋"/>
          <w:sz w:val="28"/>
          <w:szCs w:val="28"/>
          <w:lang w:val="en-US" w:eastAsia="zh-CN" w:bidi="zh-CN"/>
        </w:rPr>
        <w:t>格率</w:t>
      </w:r>
      <w:r>
        <w:rPr>
          <w:rFonts w:hint="eastAsia" w:cs="仿宋"/>
          <w:sz w:val="28"/>
          <w:szCs w:val="28"/>
          <w:lang w:val="en-US" w:eastAsia="zh-CN" w:bidi="zh-CN"/>
        </w:rPr>
        <w:t>分别</w:t>
      </w:r>
      <w:r>
        <w:rPr>
          <w:rFonts w:hint="eastAsia" w:ascii="仿宋" w:hAnsi="仿宋" w:eastAsia="仿宋" w:cs="仿宋"/>
          <w:sz w:val="28"/>
          <w:szCs w:val="28"/>
          <w:lang w:val="en-US" w:eastAsia="zh-CN" w:bidi="zh-CN"/>
        </w:rPr>
        <w:t>为</w:t>
      </w:r>
      <w:r>
        <w:rPr>
          <w:rFonts w:hint="eastAsia" w:cs="仿宋"/>
          <w:sz w:val="28"/>
          <w:szCs w:val="28"/>
          <w:lang w:val="en-US" w:eastAsia="zh-CN" w:bidi="zh-CN"/>
        </w:rPr>
        <w:t>94.12</w:t>
      </w:r>
      <w:r>
        <w:rPr>
          <w:rFonts w:hint="eastAsia" w:ascii="仿宋" w:hAnsi="仿宋" w:eastAsia="仿宋" w:cs="仿宋"/>
          <w:sz w:val="28"/>
          <w:szCs w:val="28"/>
          <w:lang w:val="en-US" w:eastAsia="zh-CN" w:bidi="zh-CN"/>
        </w:rPr>
        <w:t>%</w:t>
      </w:r>
      <w:r>
        <w:rPr>
          <w:rFonts w:hint="eastAsia" w:cs="仿宋"/>
          <w:sz w:val="28"/>
          <w:szCs w:val="28"/>
          <w:lang w:val="en-US" w:eastAsia="zh-CN" w:bidi="zh-CN"/>
        </w:rPr>
        <w:t>、94.00%、95.56%和96.83%；2024年湖南益阳高新区第一季度县级监督抽检、2024年湖南益阳高新区第一季度县级农产品抽检、2024年湖南益阳高新区县级专项跟踪抽检合格率均为100.00%。</w:t>
      </w:r>
      <w:r>
        <w:rPr>
          <w:rFonts w:hint="eastAsia" w:ascii="仿宋" w:hAnsi="仿宋" w:eastAsia="仿宋" w:cs="仿宋"/>
          <w:sz w:val="28"/>
          <w:szCs w:val="28"/>
          <w:lang w:val="en-US" w:eastAsia="zh-CN" w:bidi="zh-CN"/>
        </w:rPr>
        <w:t>（详见表2）</w:t>
      </w:r>
      <w:r>
        <w:rPr>
          <w:rFonts w:hint="eastAsia" w:cs="仿宋"/>
          <w:sz w:val="28"/>
          <w:szCs w:val="28"/>
          <w:lang w:val="en-US" w:eastAsia="zh-CN" w:bidi="zh-CN"/>
        </w:rPr>
        <w:t>。</w:t>
      </w:r>
    </w:p>
    <w:p w14:paraId="29E07938">
      <w:pPr>
        <w:spacing w:before="0" w:after="3" w:line="358" w:lineRule="exact"/>
        <w:ind w:left="3564" w:right="0" w:firstLine="0"/>
        <w:jc w:val="left"/>
        <w:rPr>
          <w:b/>
          <w:sz w:val="28"/>
        </w:rPr>
      </w:pPr>
    </w:p>
    <w:p w14:paraId="30EF1947">
      <w:pPr>
        <w:spacing w:before="0" w:after="3" w:line="358" w:lineRule="exact"/>
        <w:ind w:left="3564" w:right="0" w:firstLine="0"/>
        <w:jc w:val="left"/>
        <w:rPr>
          <w:b/>
          <w:sz w:val="28"/>
        </w:rPr>
      </w:pPr>
    </w:p>
    <w:p w14:paraId="1CECB680">
      <w:pPr>
        <w:spacing w:before="0" w:after="3" w:line="358" w:lineRule="exact"/>
        <w:ind w:left="3564" w:right="0" w:firstLine="0"/>
        <w:jc w:val="left"/>
        <w:rPr>
          <w:b/>
          <w:sz w:val="28"/>
        </w:rPr>
      </w:pPr>
    </w:p>
    <w:p w14:paraId="3F51A3C8">
      <w:pPr>
        <w:spacing w:before="0" w:after="3" w:line="358" w:lineRule="exact"/>
        <w:ind w:left="3564" w:right="0" w:firstLine="0"/>
        <w:jc w:val="left"/>
        <w:rPr>
          <w:b/>
          <w:sz w:val="28"/>
        </w:rPr>
      </w:pPr>
      <w:r>
        <w:rPr>
          <w:b/>
          <w:sz w:val="28"/>
        </w:rPr>
        <w:t>表2 各报送分类抽检情况统计表</w:t>
      </w:r>
    </w:p>
    <w:tbl>
      <w:tblPr>
        <w:tblStyle w:val="10"/>
        <w:tblW w:w="93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7"/>
        <w:gridCol w:w="3314"/>
        <w:gridCol w:w="874"/>
        <w:gridCol w:w="1224"/>
        <w:gridCol w:w="972"/>
        <w:gridCol w:w="1209"/>
        <w:gridCol w:w="1057"/>
      </w:tblGrid>
      <w:tr w14:paraId="291A4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9F565">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7035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报送分类</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C777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抽检批次</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DFC1D">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不合格批次</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4FDA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合格批次</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0D863">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不合格率</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9BDF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合格率</w:t>
            </w:r>
          </w:p>
        </w:tc>
      </w:tr>
      <w:tr w14:paraId="47BCC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29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E2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2024年湖南益阳高新区春季校园食品专项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CF1F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179A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A37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00E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5.88%</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B64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94.12%</w:t>
            </w:r>
          </w:p>
        </w:tc>
      </w:tr>
      <w:tr w14:paraId="5F04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DB72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89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2024年湖南益阳高新区第一季度县级监督抽检</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11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2829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55A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E1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0C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632C8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0DE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89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2024年湖南益阳高新区第一季度县级监督抽检年关守护（含校园食品整治）专项</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2E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82F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55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81E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04E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94.00%</w:t>
            </w:r>
          </w:p>
        </w:tc>
      </w:tr>
      <w:tr w14:paraId="49AA2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79A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32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2024年湖南益阳高新区第一季度县级农产品抽检</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8A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889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4D8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F22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96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700F7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8BF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5AF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2024年湖南益阳高新区县级监督抽检</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F8B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91</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C7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D6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09C8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6.59%</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57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93.41%</w:t>
            </w:r>
          </w:p>
        </w:tc>
      </w:tr>
      <w:tr w14:paraId="7970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EED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EB2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2024年湖南益阳高新区县级农产品抽检</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EF0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C1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E0F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86</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C9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986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95.56%</w:t>
            </w:r>
          </w:p>
        </w:tc>
      </w:tr>
      <w:tr w14:paraId="4044F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D8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28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2024年湖南益阳高新区县级专项跟踪抽检</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18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26B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D18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14B6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707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r>
      <w:tr w14:paraId="75558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1AE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3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C7A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2024年湖南益阳高新区校园食品专项</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22D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891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AB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45B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3.17%</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A9F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96.83%</w:t>
            </w:r>
          </w:p>
        </w:tc>
      </w:tr>
      <w:tr w14:paraId="68656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5" w:hRule="atLeast"/>
        </w:trPr>
        <w:tc>
          <w:tcPr>
            <w:tcW w:w="4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2DE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总计</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81CC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335</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76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A3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319</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3E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4.78%</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967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95.22%</w:t>
            </w:r>
          </w:p>
        </w:tc>
      </w:tr>
    </w:tbl>
    <w:p w14:paraId="3EBA996F">
      <w:pPr>
        <w:pStyle w:val="5"/>
        <w:spacing w:before="5"/>
        <w:rPr>
          <w:b/>
          <w:sz w:val="20"/>
        </w:rPr>
      </w:pPr>
    </w:p>
    <w:p w14:paraId="686B03D4">
      <w:pPr>
        <w:pStyle w:val="4"/>
        <w:bidi w:val="0"/>
        <w:ind w:firstLine="281" w:firstLineChars="100"/>
        <w:rPr>
          <w:b/>
          <w:sz w:val="20"/>
        </w:rPr>
      </w:pPr>
      <w:bookmarkStart w:id="15" w:name="2、各类食品监督抽检情况分析"/>
      <w:bookmarkEnd w:id="15"/>
      <w:r>
        <w:t>2、各类食品监督抽检情况分析</w:t>
      </w:r>
    </w:p>
    <w:p w14:paraId="28376E52">
      <w:pPr>
        <w:pStyle w:val="5"/>
        <w:spacing w:line="408" w:lineRule="auto"/>
        <w:ind w:right="474" w:firstLine="792" w:firstLineChars="300"/>
      </w:pPr>
      <w:r>
        <w:rPr>
          <w:spacing w:val="-8"/>
        </w:rPr>
        <w:t>抽检的</w:t>
      </w:r>
      <w:r>
        <w:rPr>
          <w:rFonts w:hint="eastAsia"/>
          <w:spacing w:val="-8"/>
          <w:lang w:val="en-US" w:eastAsia="zh-CN"/>
        </w:rPr>
        <w:t>27</w:t>
      </w:r>
      <w:r>
        <w:rPr>
          <w:spacing w:val="-10"/>
        </w:rPr>
        <w:t>个食品大类中，不合格批次</w:t>
      </w:r>
      <w:r>
        <w:rPr>
          <w:rFonts w:hint="eastAsia"/>
          <w:spacing w:val="-10"/>
          <w:lang w:val="en-US" w:eastAsia="zh-CN"/>
        </w:rPr>
        <w:t>16</w:t>
      </w:r>
      <w:r>
        <w:rPr>
          <w:spacing w:val="-10"/>
        </w:rPr>
        <w:t>批次，</w:t>
      </w:r>
      <w:r>
        <w:rPr>
          <w:rFonts w:hint="eastAsia"/>
          <w:spacing w:val="-10"/>
          <w:lang w:eastAsia="zh-CN"/>
        </w:rPr>
        <w:t>不合格</w:t>
      </w:r>
      <w:r>
        <w:rPr>
          <w:spacing w:val="-10"/>
        </w:rPr>
        <w:t>食品类别</w:t>
      </w:r>
      <w:r>
        <w:rPr>
          <w:rFonts w:hint="eastAsia"/>
          <w:spacing w:val="-10"/>
          <w:lang w:eastAsia="zh-CN"/>
        </w:rPr>
        <w:t>主要</w:t>
      </w:r>
      <w:r>
        <w:rPr>
          <w:spacing w:val="-10"/>
        </w:rPr>
        <w:t>为</w:t>
      </w:r>
      <w:r>
        <w:rPr>
          <w:rFonts w:hint="eastAsia"/>
          <w:spacing w:val="-10"/>
          <w:lang w:val="en-US" w:eastAsia="zh-CN"/>
        </w:rPr>
        <w:t>餐饮食品</w:t>
      </w:r>
      <w:r>
        <w:rPr>
          <w:rFonts w:hint="eastAsia"/>
          <w:spacing w:val="-10"/>
          <w:lang w:eastAsia="zh-CN"/>
        </w:rPr>
        <w:t>、</w:t>
      </w:r>
      <w:r>
        <w:rPr>
          <w:rFonts w:hint="eastAsia"/>
          <w:spacing w:val="-10"/>
          <w:lang w:val="en-US" w:eastAsia="zh-CN"/>
        </w:rPr>
        <w:t>食用农产品、蔬菜制品</w:t>
      </w:r>
      <w:r>
        <w:rPr>
          <w:rFonts w:hint="eastAsia"/>
          <w:spacing w:val="-10"/>
          <w:lang w:eastAsia="zh-CN"/>
        </w:rPr>
        <w:t>，其中</w:t>
      </w:r>
      <w:r>
        <w:rPr>
          <w:rFonts w:hint="eastAsia"/>
          <w:spacing w:val="-10"/>
          <w:lang w:val="en-US" w:eastAsia="zh-CN"/>
        </w:rPr>
        <w:t>餐饮食品不</w:t>
      </w:r>
      <w:r>
        <w:rPr>
          <w:rFonts w:hint="eastAsia"/>
          <w:spacing w:val="-10"/>
          <w:lang w:eastAsia="zh-CN"/>
        </w:rPr>
        <w:t>合格率最高为</w:t>
      </w:r>
      <w:r>
        <w:rPr>
          <w:rFonts w:hint="eastAsia"/>
          <w:spacing w:val="-10"/>
          <w:lang w:val="en-US" w:eastAsia="zh-CN"/>
        </w:rPr>
        <w:t>38%（</w:t>
      </w:r>
      <w:r>
        <w:rPr>
          <w:spacing w:val="-13"/>
        </w:rPr>
        <w:t>详见表</w:t>
      </w:r>
      <w:r>
        <w:rPr>
          <w:spacing w:val="-11"/>
        </w:rPr>
        <w:t>3</w:t>
      </w:r>
      <w:r>
        <w:rPr>
          <w:spacing w:val="-13"/>
        </w:rPr>
        <w:t>和图</w:t>
      </w:r>
      <w:r>
        <w:rPr>
          <w:spacing w:val="-12"/>
        </w:rPr>
        <w:t>1）</w:t>
      </w:r>
      <w:r>
        <w:t>。</w:t>
      </w:r>
    </w:p>
    <w:p w14:paraId="66B83EE9">
      <w:pPr>
        <w:spacing w:before="0" w:line="358" w:lineRule="exact"/>
        <w:ind w:left="3564" w:right="0" w:firstLine="0"/>
        <w:jc w:val="left"/>
        <w:rPr>
          <w:b/>
          <w:sz w:val="28"/>
        </w:rPr>
      </w:pPr>
    </w:p>
    <w:p w14:paraId="4363FE05">
      <w:pPr>
        <w:spacing w:before="0" w:line="358" w:lineRule="exact"/>
        <w:ind w:left="3564" w:right="0" w:firstLine="0"/>
        <w:jc w:val="left"/>
        <w:rPr>
          <w:b/>
          <w:sz w:val="28"/>
        </w:rPr>
      </w:pPr>
    </w:p>
    <w:p w14:paraId="33F8284A">
      <w:pPr>
        <w:spacing w:before="0" w:line="358" w:lineRule="exact"/>
        <w:ind w:left="3564" w:right="0" w:firstLine="0"/>
        <w:jc w:val="left"/>
        <w:rPr>
          <w:b/>
          <w:sz w:val="28"/>
        </w:rPr>
      </w:pPr>
    </w:p>
    <w:p w14:paraId="09F6779A">
      <w:pPr>
        <w:spacing w:before="0" w:line="358" w:lineRule="exact"/>
        <w:ind w:left="3564" w:right="0" w:firstLine="0"/>
        <w:jc w:val="left"/>
        <w:rPr>
          <w:b/>
          <w:sz w:val="28"/>
        </w:rPr>
      </w:pPr>
    </w:p>
    <w:p w14:paraId="3D5B61D8">
      <w:pPr>
        <w:spacing w:before="0" w:line="358" w:lineRule="exact"/>
        <w:ind w:left="3564" w:right="0" w:firstLine="0"/>
        <w:jc w:val="left"/>
        <w:rPr>
          <w:b/>
          <w:sz w:val="28"/>
        </w:rPr>
      </w:pPr>
      <w:r>
        <w:rPr>
          <w:b/>
          <w:sz w:val="28"/>
        </w:rPr>
        <w:t>表3 各大类食品抽检情况统计表</w:t>
      </w:r>
    </w:p>
    <w:p w14:paraId="72513F3B">
      <w:pPr>
        <w:pStyle w:val="5"/>
        <w:spacing w:before="11"/>
        <w:rPr>
          <w:b/>
          <w:sz w:val="12"/>
        </w:rPr>
      </w:pPr>
    </w:p>
    <w:tbl>
      <w:tblPr>
        <w:tblStyle w:val="10"/>
        <w:tblW w:w="94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7"/>
        <w:gridCol w:w="2150"/>
        <w:gridCol w:w="1143"/>
        <w:gridCol w:w="1143"/>
        <w:gridCol w:w="1142"/>
        <w:gridCol w:w="1272"/>
        <w:gridCol w:w="1610"/>
      </w:tblGrid>
      <w:tr w14:paraId="6AA16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75DA7">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26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食品大类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565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抽检批次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43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合格批次</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AC2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不合格批次</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E25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合格率（%）</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21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不合格率（%）</w:t>
            </w:r>
          </w:p>
        </w:tc>
      </w:tr>
      <w:tr w14:paraId="4171D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60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A39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保健食品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7F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1C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D3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C1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DF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53C22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8D0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48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饼干</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27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173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A4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06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C5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5BFA5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1A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52C0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餐饮食品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03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EB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24D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D9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62.5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E8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w:t>
            </w:r>
          </w:p>
        </w:tc>
      </w:tr>
      <w:tr w14:paraId="16F37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595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AC4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炒货食品及坚果制品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D2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55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11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65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61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2C1C7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16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AF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蛋制品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D8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19B6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8D4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AC1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30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26471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1D4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FD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淀粉及淀粉制品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E0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89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70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9E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886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57A95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02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233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调味品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F3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12A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FD5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6FE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0C8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50B29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7A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2DD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豆制品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5DD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F32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A9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09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E9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16D56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BB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A1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方便食品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D79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209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4E0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D0D8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14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cs="仿宋"/>
                <w:i w:val="0"/>
                <w:iCs w:val="0"/>
                <w:color w:val="000000"/>
                <w:kern w:val="0"/>
                <w:sz w:val="22"/>
                <w:szCs w:val="22"/>
                <w:u w:val="none"/>
                <w:lang w:val="en-US" w:eastAsia="zh-CN" w:bidi="ar"/>
              </w:rPr>
              <w:t>0</w:t>
            </w:r>
            <w:r>
              <w:rPr>
                <w:rFonts w:hint="eastAsia" w:ascii="仿宋" w:hAnsi="仿宋" w:eastAsia="仿宋" w:cs="仿宋"/>
                <w:i w:val="0"/>
                <w:iCs w:val="0"/>
                <w:color w:val="000000"/>
                <w:kern w:val="0"/>
                <w:sz w:val="22"/>
                <w:szCs w:val="22"/>
                <w:u w:val="none"/>
                <w:lang w:val="en-US" w:eastAsia="zh-CN" w:bidi="ar"/>
              </w:rPr>
              <w:t>%</w:t>
            </w:r>
          </w:p>
        </w:tc>
      </w:tr>
      <w:tr w14:paraId="3DF28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1E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40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糕点</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0B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0BA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7A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BE2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6A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37AC6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37B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469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罐头</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EB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C6A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AB3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20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A5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3DD8D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E7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90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酒类</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FB5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4D7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E0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766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A20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69A4D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00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62A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可可及焙烤咖啡产品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D22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282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0D9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837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73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59579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BC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0CE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粮食加工品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9AC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48D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D8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8D8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6D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62C40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85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AD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肉制品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6A7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13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BD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67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27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4D501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1F0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661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乳制品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329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72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96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3B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FA2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2DB92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117C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C51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食糖</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5B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AF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C7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59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44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3304B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840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919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食用农产品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C6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189</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16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180</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35D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BC7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95.2</w:t>
            </w:r>
            <w:r>
              <w:rPr>
                <w:rFonts w:hint="eastAsia" w:cs="仿宋"/>
                <w:i w:val="0"/>
                <w:iCs w:val="0"/>
                <w:color w:val="000000"/>
                <w:kern w:val="0"/>
                <w:sz w:val="22"/>
                <w:szCs w:val="22"/>
                <w:u w:val="none"/>
                <w:lang w:val="en-US" w:eastAsia="zh-CN" w:bidi="ar"/>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DB2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r>
      <w:tr w14:paraId="31305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047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DF9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食用油、油脂及其制品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61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A13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BDC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D3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872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4BB35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C50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F0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薯类和膨化食品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BA40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9FB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856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E61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A5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12F7C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B7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E45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水产制品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AD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41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9A6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AA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F6A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1C70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807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70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水果制品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35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5E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A51A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EDF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24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0D33C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00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27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速冻食品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04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AF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85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3D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11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13308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F2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D5DD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糖果制品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19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3A3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067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9B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07A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47F9E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02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074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特殊膳食食品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0F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6FA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D9D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FC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69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19D3D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DBB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BD6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饮料</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47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0C2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51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FA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B23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r>
      <w:tr w14:paraId="1F56C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E6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2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72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蔬菜制品</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17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E8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8C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00C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92.8</w:t>
            </w:r>
            <w:r>
              <w:rPr>
                <w:rFonts w:hint="eastAsia" w:cs="仿宋"/>
                <w:i w:val="0"/>
                <w:iCs w:val="0"/>
                <w:color w:val="000000"/>
                <w:kern w:val="0"/>
                <w:sz w:val="22"/>
                <w:szCs w:val="22"/>
                <w:u w:val="none"/>
                <w:lang w:val="en-US" w:eastAsia="zh-CN" w:bidi="ar"/>
              </w:rPr>
              <w:t>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1E8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r>
      <w:tr w14:paraId="45282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3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30D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合计</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83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335</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F63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319</w:t>
            </w: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FD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93C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95.22%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15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4.78%</w:t>
            </w:r>
          </w:p>
        </w:tc>
      </w:tr>
    </w:tbl>
    <w:p w14:paraId="4A1A120C">
      <w:pPr>
        <w:rPr>
          <w:b/>
          <w:sz w:val="28"/>
        </w:rPr>
      </w:pPr>
    </w:p>
    <w:p w14:paraId="2C6A10BA">
      <w:pPr>
        <w:pStyle w:val="4"/>
        <w:bidi w:val="0"/>
        <w:jc w:val="center"/>
        <w:rPr>
          <w:b/>
          <w:sz w:val="28"/>
        </w:rPr>
      </w:pPr>
      <w:r>
        <w:rPr>
          <w:b/>
          <w:sz w:val="28"/>
        </w:rPr>
        <w:t>图1 各大类食品抽检情况</w:t>
      </w:r>
    </w:p>
    <w:p w14:paraId="651F4C6B">
      <w:pPr>
        <w:rPr>
          <w:rFonts w:hint="eastAsia"/>
          <w:b/>
          <w:sz w:val="28"/>
          <w:lang w:val="en-US" w:eastAsia="zh-CN"/>
        </w:rPr>
      </w:pPr>
      <w:r>
        <w:drawing>
          <wp:inline distT="0" distB="0" distL="114300" distR="114300">
            <wp:extent cx="6009640" cy="3041015"/>
            <wp:effectExtent l="4445" t="4445" r="5715" b="21590"/>
            <wp:docPr id="4" name="图表 3" descr="7b0a202020202263686172745265734964223a2022343636313330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7929EB3">
      <w:pPr>
        <w:pStyle w:val="4"/>
        <w:bidi w:val="0"/>
      </w:pPr>
      <w:r>
        <w:rPr>
          <w:rFonts w:hint="eastAsia"/>
          <w:b/>
          <w:sz w:val="28"/>
          <w:lang w:val="en-US" w:eastAsia="zh-CN"/>
        </w:rPr>
        <w:t>3</w:t>
      </w:r>
      <w:r>
        <w:t>、</w:t>
      </w:r>
      <w:r>
        <w:rPr>
          <w:rFonts w:ascii="仿宋" w:hAnsi="仿宋" w:eastAsia="仿宋" w:cs="仿宋"/>
          <w:b/>
          <w:sz w:val="28"/>
          <w:szCs w:val="22"/>
          <w:lang w:val="zh-CN" w:eastAsia="zh-CN" w:bidi="zh-CN"/>
        </w:rPr>
        <w:t>各抽样环节及场所抽检情况分析</w:t>
      </w:r>
    </w:p>
    <w:p w14:paraId="49FA815F">
      <w:pPr>
        <w:pStyle w:val="5"/>
        <w:spacing w:before="266" w:line="360" w:lineRule="auto"/>
        <w:ind w:left="146" w:right="0" w:rightChars="0" w:firstLine="559"/>
        <w:rPr>
          <w:rFonts w:hint="default" w:eastAsia="仿宋"/>
          <w:lang w:val="en-US" w:eastAsia="zh-CN"/>
        </w:rPr>
      </w:pPr>
      <w:r>
        <w:t>抽样环节覆盖了餐饮环节、流通环节。餐饮环节抽检</w:t>
      </w:r>
      <w:r>
        <w:rPr>
          <w:rFonts w:hint="eastAsia"/>
          <w:lang w:val="en-US" w:eastAsia="zh-CN"/>
        </w:rPr>
        <w:t>139</w:t>
      </w:r>
      <w:r>
        <w:t>批次，</w:t>
      </w:r>
      <w:r>
        <w:rPr>
          <w:rFonts w:hint="eastAsia"/>
          <w:lang w:eastAsia="zh-CN"/>
        </w:rPr>
        <w:t>检出不合格</w:t>
      </w:r>
      <w:r>
        <w:rPr>
          <w:rFonts w:hint="eastAsia"/>
          <w:lang w:val="en-US" w:eastAsia="zh-CN"/>
        </w:rPr>
        <w:t>10</w:t>
      </w:r>
      <w:r>
        <w:rPr>
          <w:rFonts w:hint="eastAsia"/>
          <w:lang w:eastAsia="zh-CN"/>
        </w:rPr>
        <w:t>批次，不合格率</w:t>
      </w:r>
      <w:r>
        <w:rPr>
          <w:rFonts w:hint="eastAsia"/>
          <w:lang w:val="en-US" w:eastAsia="zh-CN"/>
        </w:rPr>
        <w:t>7.19%</w:t>
      </w:r>
      <w:r>
        <w:rPr>
          <w:rFonts w:hint="eastAsia"/>
          <w:lang w:eastAsia="zh-CN"/>
        </w:rPr>
        <w:t>；</w:t>
      </w:r>
      <w:r>
        <w:t>流通环节抽检</w:t>
      </w:r>
      <w:r>
        <w:rPr>
          <w:rFonts w:hint="eastAsia"/>
          <w:lang w:val="en-US" w:eastAsia="zh-CN"/>
        </w:rPr>
        <w:t>196</w:t>
      </w:r>
      <w:r>
        <w:t>批次，发现不合格</w:t>
      </w:r>
      <w:r>
        <w:rPr>
          <w:rFonts w:hint="eastAsia"/>
          <w:lang w:val="en-US" w:eastAsia="zh-CN"/>
        </w:rPr>
        <w:t>6</w:t>
      </w:r>
      <w:r>
        <w:t>批次，不合格率为</w:t>
      </w:r>
      <w:r>
        <w:rPr>
          <w:rFonts w:hint="eastAsia"/>
          <w:lang w:val="en-US" w:eastAsia="zh-CN"/>
        </w:rPr>
        <w:t>3.06</w:t>
      </w:r>
      <w:r>
        <w:t>%</w:t>
      </w:r>
      <w:r>
        <w:rPr>
          <w:rFonts w:hint="eastAsia"/>
          <w:lang w:val="en-US" w:eastAsia="zh-CN"/>
        </w:rPr>
        <w:t>。</w:t>
      </w:r>
    </w:p>
    <w:p w14:paraId="0F1BAA59">
      <w:pPr>
        <w:pStyle w:val="5"/>
        <w:spacing w:before="266" w:line="360" w:lineRule="auto"/>
        <w:ind w:left="146" w:right="280" w:rightChars="0" w:firstLine="559"/>
        <w:rPr>
          <w:b/>
          <w:sz w:val="28"/>
        </w:rPr>
      </w:pPr>
      <w:r>
        <w:t>从抽样环节和场所看，流通环节</w:t>
      </w:r>
      <w:r>
        <w:rPr>
          <w:rFonts w:hint="eastAsia"/>
          <w:lang w:eastAsia="zh-CN"/>
        </w:rPr>
        <w:t>中</w:t>
      </w:r>
      <w:r>
        <w:rPr>
          <w:rFonts w:hint="eastAsia"/>
          <w:lang w:val="en-US" w:eastAsia="zh-CN"/>
        </w:rPr>
        <w:t>其他(零食店)</w:t>
      </w:r>
      <w:r>
        <w:rPr>
          <w:rFonts w:hint="eastAsia"/>
          <w:lang w:eastAsia="zh-CN"/>
        </w:rPr>
        <w:t>抽检批次最多，共抽检</w:t>
      </w:r>
      <w:r>
        <w:rPr>
          <w:rFonts w:hint="eastAsia"/>
          <w:lang w:val="en-US" w:eastAsia="zh-CN"/>
        </w:rPr>
        <w:t>53批次</w:t>
      </w:r>
      <w:r>
        <w:t>，</w:t>
      </w:r>
      <w:r>
        <w:rPr>
          <w:rFonts w:hint="eastAsia"/>
          <w:lang w:eastAsia="zh-CN"/>
        </w:rPr>
        <w:t>抽检占比</w:t>
      </w:r>
      <w:r>
        <w:rPr>
          <w:rFonts w:hint="eastAsia"/>
          <w:lang w:val="en-US" w:eastAsia="zh-CN"/>
        </w:rPr>
        <w:t>16%，发现不合格0批次，其次是流通环节中中型超市抽检37批次，抽检占比11%，发现不合格1批次。餐饮环节中学校/托幼食堂，抽检111批次，抽检占比33%，发现不合格4批次，餐饮环节中大型餐馆抽检12批次，抽检占比4%，发现不合格6批次；</w:t>
      </w:r>
      <w:r>
        <w:t>各抽样场所抽检情况详见表4和图2。</w:t>
      </w:r>
    </w:p>
    <w:p w14:paraId="5E8D3987">
      <w:pPr>
        <w:spacing w:before="191"/>
        <w:ind w:left="0" w:right="3068" w:firstLine="0"/>
        <w:jc w:val="right"/>
        <w:rPr>
          <w:b/>
          <w:sz w:val="28"/>
        </w:rPr>
      </w:pPr>
      <w:r>
        <w:rPr>
          <w:b/>
          <w:sz w:val="28"/>
        </w:rPr>
        <w:t>表4 不同抽样环节抽检情况统计表</w:t>
      </w:r>
    </w:p>
    <w:p w14:paraId="03038973">
      <w:pPr>
        <w:pStyle w:val="5"/>
        <w:spacing w:before="10"/>
        <w:rPr>
          <w:b/>
          <w:sz w:val="12"/>
        </w:rPr>
      </w:pPr>
    </w:p>
    <w:tbl>
      <w:tblPr>
        <w:tblStyle w:val="10"/>
        <w:tblW w:w="92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2"/>
        <w:gridCol w:w="1176"/>
        <w:gridCol w:w="1896"/>
        <w:gridCol w:w="942"/>
        <w:gridCol w:w="845"/>
        <w:gridCol w:w="1056"/>
        <w:gridCol w:w="942"/>
        <w:gridCol w:w="977"/>
        <w:gridCol w:w="1171"/>
      </w:tblGrid>
      <w:tr w14:paraId="0B405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78E65">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920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抽检环节</w:t>
            </w:r>
          </w:p>
        </w:tc>
        <w:tc>
          <w:tcPr>
            <w:tcW w:w="1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80B6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抽样场所</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2EEA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抽检批次</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8F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合格批次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8C1C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合格率</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AD75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不合格批次</w:t>
            </w:r>
          </w:p>
        </w:tc>
        <w:tc>
          <w:tcPr>
            <w:tcW w:w="9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A7C2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不合格率</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FD5E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不合格占比</w:t>
            </w:r>
          </w:p>
        </w:tc>
      </w:tr>
      <w:tr w14:paraId="5A0BE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4A6189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5E74F47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餐饮环节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026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学校/托幼食堂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E4A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785C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06EC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8EB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336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0A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r>
      <w:tr w14:paraId="312DF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67793520">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28C7B3A1">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16E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企事业单位食堂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F7C5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D0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E657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B2E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8400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EECB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5CE4C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9C27ED1">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05B4991">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3E9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大型餐馆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8B6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49A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1F2B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35B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85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DEF6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r>
      <w:tr w14:paraId="29A5C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07CACFA8">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3812B006">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0549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机关食堂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FA4C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2FF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CD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D27B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CED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5F2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26942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7E63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F44B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7D55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超市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BB0A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800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A07D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92.86%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A55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5EA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D132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14:paraId="6A2BE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4069">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3C972">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B4D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便利店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BD2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6EC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C8B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02F3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DC92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983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02FBF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46C0">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6A61B">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64E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大型超市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CA3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A87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B15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D982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1349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FD1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14:paraId="0B790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7DD76">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5E9F">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64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母婴用品店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778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005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A1A4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B43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200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BBA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5A309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5128">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54D39">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D5B4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其他(副食店)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4A9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9A26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EE4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93.75%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6A5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8143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2CE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14:paraId="10A4F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C3F72">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BC26E">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231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其他(零食店)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0D1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B32A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A78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8DE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6FB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931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35697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B0217">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AE2B2">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975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其他(水果店)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1D9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973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F332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AE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64E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C8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7FB7D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336C5">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7205B">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A1FE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小型超市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8B1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523B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31E6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1A02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6F9C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13C3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162B6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09174">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694D">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F04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中型超市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A1AC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131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8850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97.30%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718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AAF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1D2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r>
      <w:tr w14:paraId="17FEA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F43F8">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8C0EF">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875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CE07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7A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CD17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2EA0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04C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70DA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68C85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6712">
            <w:pPr>
              <w:jc w:val="center"/>
              <w:rPr>
                <w:rFonts w:hint="eastAsia" w:ascii="仿宋" w:hAnsi="仿宋" w:eastAsia="仿宋" w:cs="仿宋"/>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BAA4">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0C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生鲜店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5283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EBD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9C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80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A1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63E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r>
      <w:tr w14:paraId="36CC0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75DC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351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547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2B3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E817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176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F7F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r>
    </w:tbl>
    <w:p w14:paraId="5E25736D">
      <w:pPr>
        <w:spacing w:before="12"/>
        <w:ind w:right="0"/>
        <w:jc w:val="center"/>
        <w:rPr>
          <w:b/>
          <w:sz w:val="28"/>
        </w:rPr>
      </w:pPr>
    </w:p>
    <w:p w14:paraId="722F7F17">
      <w:pPr>
        <w:spacing w:before="12"/>
        <w:ind w:right="0"/>
        <w:jc w:val="center"/>
        <w:rPr>
          <w:b/>
          <w:sz w:val="28"/>
        </w:rPr>
      </w:pPr>
    </w:p>
    <w:p w14:paraId="68B1E05A">
      <w:pPr>
        <w:spacing w:before="12"/>
        <w:ind w:right="0"/>
        <w:jc w:val="center"/>
        <w:rPr>
          <w:b/>
          <w:sz w:val="28"/>
        </w:rPr>
      </w:pPr>
      <w:r>
        <w:rPr>
          <w:b/>
          <w:sz w:val="28"/>
        </w:rPr>
        <w:t>图2 抽样环节及场所抽检情况对比图</w:t>
      </w:r>
      <w:bookmarkStart w:id="16" w:name="4、食用农产品监督抽检任务抽检情况分析"/>
      <w:bookmarkEnd w:id="16"/>
    </w:p>
    <w:p w14:paraId="28BF41CB">
      <w:pPr>
        <w:spacing w:before="12"/>
        <w:ind w:right="0"/>
        <w:jc w:val="both"/>
        <w:rPr>
          <w:b/>
          <w:sz w:val="28"/>
        </w:rPr>
      </w:pPr>
      <w:r>
        <w:drawing>
          <wp:inline distT="0" distB="0" distL="114300" distR="114300">
            <wp:extent cx="5983605" cy="5589905"/>
            <wp:effectExtent l="4445" t="5080" r="12700" b="5715"/>
            <wp:docPr id="2" name="图表 1" descr="7b0a202020202263686172745265734964223a2022343636313330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ED196BF">
      <w:pPr>
        <w:pStyle w:val="4"/>
        <w:bidi w:val="0"/>
        <w:ind w:firstLine="843" w:firstLineChars="300"/>
      </w:pPr>
      <w:r>
        <w:t>4、食用农产品监督抽检任务抽检情况分析</w:t>
      </w:r>
    </w:p>
    <w:p w14:paraId="3BF44A22">
      <w:pPr>
        <w:pStyle w:val="5"/>
        <w:spacing w:before="266" w:line="360" w:lineRule="auto"/>
        <w:ind w:left="146" w:right="0" w:rightChars="0" w:firstLine="559"/>
      </w:pPr>
      <w:r>
        <w:t>从食用农产品监督抽检任务抽检来看，合计抽检农产品</w:t>
      </w:r>
      <w:r>
        <w:rPr>
          <w:rFonts w:hint="eastAsia"/>
          <w:lang w:val="en-US" w:eastAsia="zh-CN"/>
        </w:rPr>
        <w:t>189</w:t>
      </w:r>
      <w:r>
        <w:t>批次，抽检覆盖</w:t>
      </w:r>
      <w:r>
        <w:rPr>
          <w:rFonts w:hint="eastAsia"/>
          <w:lang w:val="en-US" w:eastAsia="zh-CN"/>
        </w:rPr>
        <w:t>47个品种</w:t>
      </w:r>
      <w:r>
        <w:t>，共有</w:t>
      </w:r>
      <w:r>
        <w:rPr>
          <w:rFonts w:hint="eastAsia"/>
          <w:lang w:val="en-US" w:eastAsia="zh-CN"/>
        </w:rPr>
        <w:t>9</w:t>
      </w:r>
      <w:r>
        <w:t>批次不合格，</w:t>
      </w:r>
      <w:r>
        <w:rPr>
          <w:rFonts w:hint="eastAsia"/>
          <w:lang w:val="en-US" w:eastAsia="zh-CN"/>
        </w:rPr>
        <w:t>分别为</w:t>
      </w:r>
      <w:r>
        <w:rPr>
          <w:rFonts w:hint="eastAsia"/>
          <w:lang w:eastAsia="zh-CN"/>
        </w:rPr>
        <w:t>豆类蔬菜</w:t>
      </w:r>
      <w:r>
        <w:rPr>
          <w:rFonts w:hint="eastAsia"/>
          <w:lang w:val="en-US" w:eastAsia="zh-CN"/>
        </w:rPr>
        <w:t>2批次</w:t>
      </w:r>
      <w:r>
        <w:rPr>
          <w:rFonts w:hint="eastAsia"/>
          <w:lang w:eastAsia="zh-CN"/>
        </w:rPr>
        <w:t>、根茎类和薯芋类蔬菜</w:t>
      </w:r>
      <w:r>
        <w:rPr>
          <w:rFonts w:hint="eastAsia"/>
          <w:lang w:val="en-US" w:eastAsia="zh-CN"/>
        </w:rPr>
        <w:t>1批次</w:t>
      </w:r>
      <w:r>
        <w:rPr>
          <w:rFonts w:hint="eastAsia"/>
          <w:lang w:eastAsia="zh-CN"/>
        </w:rPr>
        <w:t>、茄果类蔬菜</w:t>
      </w:r>
      <w:r>
        <w:rPr>
          <w:rFonts w:hint="eastAsia"/>
          <w:lang w:val="en-US" w:eastAsia="zh-CN"/>
        </w:rPr>
        <w:t>4批次、热带和亚热带水果1批次和生干坚果与籽类食品1批次</w:t>
      </w:r>
      <w:r>
        <w:t>（详见表5</w:t>
      </w:r>
      <w:r>
        <w:rPr>
          <w:rFonts w:hint="eastAsia"/>
          <w:lang w:eastAsia="zh-CN"/>
        </w:rPr>
        <w:t>与图</w:t>
      </w:r>
      <w:r>
        <w:rPr>
          <w:rFonts w:hint="eastAsia"/>
          <w:lang w:val="en-US" w:eastAsia="zh-CN"/>
        </w:rPr>
        <w:t>3</w:t>
      </w:r>
      <w:r>
        <w:t>）。</w:t>
      </w:r>
    </w:p>
    <w:p w14:paraId="263A577F">
      <w:pPr>
        <w:spacing w:before="0" w:line="302" w:lineRule="exact"/>
        <w:ind w:left="2618" w:right="0" w:firstLine="0"/>
        <w:jc w:val="left"/>
        <w:rPr>
          <w:b/>
          <w:sz w:val="28"/>
        </w:rPr>
      </w:pPr>
      <w:r>
        <w:rPr>
          <w:b/>
          <w:sz w:val="28"/>
        </w:rPr>
        <w:t xml:space="preserve">表5 </w:t>
      </w:r>
      <w:r>
        <w:rPr>
          <w:rFonts w:hint="eastAsia"/>
          <w:b/>
          <w:sz w:val="28"/>
          <w:lang w:eastAsia="zh-CN"/>
        </w:rPr>
        <w:t>202</w:t>
      </w:r>
      <w:r>
        <w:rPr>
          <w:rFonts w:hint="eastAsia"/>
          <w:b/>
          <w:sz w:val="28"/>
          <w:lang w:val="en-US" w:eastAsia="zh-CN"/>
        </w:rPr>
        <w:t>4</w:t>
      </w:r>
      <w:r>
        <w:rPr>
          <w:rFonts w:hint="eastAsia"/>
          <w:b/>
          <w:sz w:val="28"/>
          <w:lang w:eastAsia="zh-CN"/>
        </w:rPr>
        <w:t>年</w:t>
      </w:r>
      <w:r>
        <w:rPr>
          <w:b/>
          <w:sz w:val="28"/>
        </w:rPr>
        <w:t>食用农产品监督抽检任务情况表</w:t>
      </w:r>
    </w:p>
    <w:tbl>
      <w:tblPr>
        <w:tblStyle w:val="10"/>
        <w:tblW w:w="99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638"/>
        <w:gridCol w:w="1316"/>
        <w:gridCol w:w="900"/>
        <w:gridCol w:w="926"/>
        <w:gridCol w:w="926"/>
        <w:gridCol w:w="920"/>
        <w:gridCol w:w="995"/>
        <w:gridCol w:w="864"/>
        <w:gridCol w:w="880"/>
        <w:gridCol w:w="983"/>
      </w:tblGrid>
      <w:tr w14:paraId="0299E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3EAE">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D3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食品亚类</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E1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食品次亚类</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63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食品细类</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18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抽检批次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A3E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合格批次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8B9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不合格批次</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AA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合格率（%）</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A17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不合格率（%）</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64E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抽检占比（%）</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099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不合格项目（批次）</w:t>
            </w:r>
          </w:p>
        </w:tc>
      </w:tr>
      <w:tr w14:paraId="1BAE1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1CCB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CB763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畜禽肉及副产品</w:t>
            </w:r>
          </w:p>
        </w:tc>
        <w:tc>
          <w:tcPr>
            <w:tcW w:w="0" w:type="auto"/>
            <w:tcBorders>
              <w:top w:val="single" w:color="000000" w:sz="4" w:space="0"/>
              <w:left w:val="nil"/>
              <w:bottom w:val="nil"/>
              <w:right w:val="single" w:color="000000" w:sz="4" w:space="0"/>
            </w:tcBorders>
            <w:shd w:val="clear" w:color="auto" w:fill="auto"/>
            <w:noWrap/>
            <w:vAlign w:val="center"/>
          </w:tcPr>
          <w:p w14:paraId="741927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畜肉</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26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猪肉</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A93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93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17E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E1C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DF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C01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3.17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4EECF">
            <w:pPr>
              <w:jc w:val="center"/>
              <w:rPr>
                <w:rFonts w:hint="eastAsia" w:ascii="仿宋" w:hAnsi="仿宋" w:eastAsia="仿宋" w:cs="仿宋"/>
                <w:i w:val="0"/>
                <w:iCs w:val="0"/>
                <w:color w:val="000000"/>
                <w:sz w:val="22"/>
                <w:szCs w:val="22"/>
                <w:u w:val="none"/>
              </w:rPr>
            </w:pPr>
          </w:p>
        </w:tc>
      </w:tr>
      <w:tr w14:paraId="7B3F0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DFAF5">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BEB22">
            <w:pPr>
              <w:jc w:val="center"/>
              <w:rPr>
                <w:rFonts w:hint="eastAsia" w:ascii="仿宋" w:hAnsi="仿宋" w:eastAsia="仿宋" w:cs="仿宋"/>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0D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禽肉</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AAE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鸭肉</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C5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E84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DD6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B9D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75F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72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95A2">
            <w:pPr>
              <w:jc w:val="center"/>
              <w:rPr>
                <w:rFonts w:hint="eastAsia" w:ascii="仿宋" w:hAnsi="仿宋" w:eastAsia="仿宋" w:cs="仿宋"/>
                <w:i w:val="0"/>
                <w:iCs w:val="0"/>
                <w:color w:val="000000"/>
                <w:sz w:val="22"/>
                <w:szCs w:val="22"/>
                <w:u w:val="none"/>
              </w:rPr>
            </w:pPr>
          </w:p>
        </w:tc>
      </w:tr>
      <w:tr w14:paraId="2EC9A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95F67">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736DB">
            <w:pPr>
              <w:jc w:val="center"/>
              <w:rPr>
                <w:rFonts w:hint="eastAsia" w:ascii="仿宋" w:hAnsi="仿宋" w:eastAsia="仿宋" w:cs="仿宋"/>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9451A">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1B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鸡肉</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8A9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DD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126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BBC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D2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87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0213">
            <w:pPr>
              <w:jc w:val="center"/>
              <w:rPr>
                <w:rFonts w:hint="eastAsia" w:ascii="仿宋" w:hAnsi="仿宋" w:eastAsia="仿宋" w:cs="仿宋"/>
                <w:i w:val="0"/>
                <w:iCs w:val="0"/>
                <w:color w:val="000000"/>
                <w:sz w:val="22"/>
                <w:szCs w:val="22"/>
                <w:u w:val="none"/>
              </w:rPr>
            </w:pPr>
          </w:p>
        </w:tc>
      </w:tr>
      <w:tr w14:paraId="6E94D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trPr>
        <w:tc>
          <w:tcPr>
            <w:tcW w:w="5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83BA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6210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蔬菜</w:t>
            </w:r>
          </w:p>
        </w:tc>
        <w:tc>
          <w:tcPr>
            <w:tcW w:w="1189" w:type="dxa"/>
            <w:tcBorders>
              <w:top w:val="single" w:color="000000" w:sz="4" w:space="0"/>
              <w:left w:val="nil"/>
              <w:bottom w:val="nil"/>
              <w:right w:val="single" w:color="000000" w:sz="4" w:space="0"/>
            </w:tcBorders>
            <w:shd w:val="clear" w:color="auto" w:fill="auto"/>
            <w:vAlign w:val="center"/>
          </w:tcPr>
          <w:p w14:paraId="42849D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豆类蔬菜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F4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豇豆</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7FE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86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1B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D7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33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94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66.67 </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93E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C8D9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噻虫胺、噻虫嗪</w:t>
            </w:r>
          </w:p>
        </w:tc>
      </w:tr>
      <w:tr w14:paraId="540EB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5B798">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F92B3">
            <w:pPr>
              <w:jc w:val="center"/>
              <w:rPr>
                <w:rFonts w:hint="eastAsia" w:ascii="仿宋" w:hAnsi="仿宋" w:eastAsia="仿宋" w:cs="仿宋"/>
                <w:i w:val="0"/>
                <w:iCs w:val="0"/>
                <w:color w:val="000000"/>
                <w:sz w:val="22"/>
                <w:szCs w:val="22"/>
                <w:u w:val="none"/>
              </w:rPr>
            </w:pPr>
          </w:p>
        </w:tc>
        <w:tc>
          <w:tcPr>
            <w:tcW w:w="1189" w:type="dxa"/>
            <w:tcBorders>
              <w:top w:val="single" w:color="000000" w:sz="4" w:space="0"/>
              <w:left w:val="nil"/>
              <w:bottom w:val="single" w:color="000000" w:sz="4" w:space="0"/>
              <w:right w:val="single" w:color="000000" w:sz="4" w:space="0"/>
            </w:tcBorders>
            <w:shd w:val="clear" w:color="auto" w:fill="auto"/>
            <w:vAlign w:val="center"/>
          </w:tcPr>
          <w:p w14:paraId="6007A1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豆芽</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F21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豆芽</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A72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FB40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2B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751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848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76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8E9F2">
            <w:pPr>
              <w:jc w:val="center"/>
              <w:rPr>
                <w:rFonts w:hint="eastAsia" w:ascii="仿宋" w:hAnsi="仿宋" w:eastAsia="仿宋" w:cs="仿宋"/>
                <w:i w:val="0"/>
                <w:iCs w:val="0"/>
                <w:color w:val="000000"/>
                <w:sz w:val="22"/>
                <w:szCs w:val="22"/>
                <w:u w:val="none"/>
              </w:rPr>
            </w:pPr>
          </w:p>
        </w:tc>
      </w:tr>
      <w:tr w14:paraId="02C3F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7E091">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A24A4">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nil"/>
              <w:bottom w:val="single" w:color="000000" w:sz="4" w:space="0"/>
              <w:right w:val="single" w:color="000000" w:sz="4" w:space="0"/>
            </w:tcBorders>
            <w:shd w:val="clear" w:color="auto" w:fill="auto"/>
            <w:vAlign w:val="center"/>
          </w:tcPr>
          <w:p w14:paraId="788D90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根茎类和薯芋类蔬菜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CD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胡萝卜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07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17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79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B30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188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B1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3.70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8FA5">
            <w:pPr>
              <w:jc w:val="center"/>
              <w:rPr>
                <w:rFonts w:hint="eastAsia" w:ascii="仿宋" w:hAnsi="仿宋" w:eastAsia="仿宋" w:cs="仿宋"/>
                <w:i w:val="0"/>
                <w:iCs w:val="0"/>
                <w:color w:val="000000"/>
                <w:sz w:val="22"/>
                <w:szCs w:val="22"/>
                <w:u w:val="none"/>
              </w:rPr>
            </w:pPr>
          </w:p>
        </w:tc>
      </w:tr>
      <w:tr w14:paraId="436C3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39C07">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6A72C">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3356FFBB">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06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481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4D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D5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0F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75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F4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D1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B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w:t>
            </w:r>
          </w:p>
        </w:tc>
      </w:tr>
      <w:tr w14:paraId="315A7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6E28C">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CBF745">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741E8662">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F8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萝卜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32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93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37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EDC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A8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D8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9500">
            <w:pPr>
              <w:jc w:val="center"/>
              <w:rPr>
                <w:rFonts w:hint="eastAsia" w:ascii="仿宋" w:hAnsi="仿宋" w:eastAsia="仿宋" w:cs="仿宋"/>
                <w:i w:val="0"/>
                <w:iCs w:val="0"/>
                <w:color w:val="000000"/>
                <w:sz w:val="22"/>
                <w:szCs w:val="22"/>
                <w:u w:val="none"/>
              </w:rPr>
            </w:pPr>
          </w:p>
        </w:tc>
      </w:tr>
      <w:tr w14:paraId="25178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AE493">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1E60D">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694F22E4">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12C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马铃薯</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8F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F62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ABA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F0D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5A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B4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05E44">
            <w:pPr>
              <w:jc w:val="center"/>
              <w:rPr>
                <w:rFonts w:hint="eastAsia" w:ascii="仿宋" w:hAnsi="仿宋" w:eastAsia="仿宋" w:cs="仿宋"/>
                <w:i w:val="0"/>
                <w:iCs w:val="0"/>
                <w:color w:val="000000"/>
                <w:sz w:val="22"/>
                <w:szCs w:val="22"/>
                <w:u w:val="none"/>
              </w:rPr>
            </w:pPr>
          </w:p>
        </w:tc>
      </w:tr>
      <w:tr w14:paraId="7B6D1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546EE">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6F674">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3E616DF1">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75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山药</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620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4D03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0A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614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9B6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A0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3759">
            <w:pPr>
              <w:jc w:val="center"/>
              <w:rPr>
                <w:rFonts w:hint="eastAsia" w:ascii="仿宋" w:hAnsi="仿宋" w:eastAsia="仿宋" w:cs="仿宋"/>
                <w:i w:val="0"/>
                <w:iCs w:val="0"/>
                <w:color w:val="000000"/>
                <w:sz w:val="22"/>
                <w:szCs w:val="22"/>
                <w:u w:val="none"/>
              </w:rPr>
            </w:pPr>
          </w:p>
        </w:tc>
      </w:tr>
      <w:tr w14:paraId="667B6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E6E5E">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D6E3A">
            <w:pPr>
              <w:jc w:val="center"/>
              <w:rPr>
                <w:rFonts w:hint="eastAsia" w:ascii="仿宋" w:hAnsi="仿宋" w:eastAsia="仿宋" w:cs="仿宋"/>
                <w:i w:val="0"/>
                <w:iCs w:val="0"/>
                <w:color w:val="000000"/>
                <w:sz w:val="22"/>
                <w:szCs w:val="22"/>
                <w:u w:val="none"/>
              </w:rPr>
            </w:pPr>
          </w:p>
        </w:tc>
        <w:tc>
          <w:tcPr>
            <w:tcW w:w="1189" w:type="dxa"/>
            <w:vMerge w:val="restart"/>
            <w:tcBorders>
              <w:top w:val="nil"/>
              <w:left w:val="nil"/>
              <w:bottom w:val="nil"/>
              <w:right w:val="single" w:color="000000" w:sz="4" w:space="0"/>
            </w:tcBorders>
            <w:shd w:val="clear" w:color="auto" w:fill="auto"/>
            <w:vAlign w:val="center"/>
          </w:tcPr>
          <w:p w14:paraId="165C37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瓜类蔬菜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67E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黄瓜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69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55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174D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9A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4B7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2C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3.70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11344">
            <w:pPr>
              <w:jc w:val="center"/>
              <w:rPr>
                <w:rFonts w:hint="eastAsia" w:ascii="仿宋" w:hAnsi="仿宋" w:eastAsia="仿宋" w:cs="仿宋"/>
                <w:i w:val="0"/>
                <w:iCs w:val="0"/>
                <w:color w:val="000000"/>
                <w:sz w:val="22"/>
                <w:szCs w:val="22"/>
                <w:u w:val="none"/>
              </w:rPr>
            </w:pPr>
          </w:p>
        </w:tc>
      </w:tr>
      <w:tr w14:paraId="350DB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984F7">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9C72C">
            <w:pPr>
              <w:jc w:val="center"/>
              <w:rPr>
                <w:rFonts w:hint="eastAsia" w:ascii="仿宋" w:hAnsi="仿宋" w:eastAsia="仿宋" w:cs="仿宋"/>
                <w:i w:val="0"/>
                <w:iCs w:val="0"/>
                <w:color w:val="000000"/>
                <w:sz w:val="22"/>
                <w:szCs w:val="22"/>
                <w:u w:val="none"/>
              </w:rPr>
            </w:pPr>
          </w:p>
        </w:tc>
        <w:tc>
          <w:tcPr>
            <w:tcW w:w="1189" w:type="dxa"/>
            <w:vMerge w:val="continue"/>
            <w:tcBorders>
              <w:top w:val="nil"/>
              <w:left w:val="nil"/>
              <w:bottom w:val="nil"/>
              <w:right w:val="single" w:color="000000" w:sz="4" w:space="0"/>
            </w:tcBorders>
            <w:shd w:val="clear" w:color="auto" w:fill="auto"/>
            <w:vAlign w:val="center"/>
          </w:tcPr>
          <w:p w14:paraId="756EDE68">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1B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冬瓜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7D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02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04C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F80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5F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30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825A8">
            <w:pPr>
              <w:jc w:val="center"/>
              <w:rPr>
                <w:rFonts w:hint="eastAsia" w:ascii="仿宋" w:hAnsi="仿宋" w:eastAsia="仿宋" w:cs="仿宋"/>
                <w:i w:val="0"/>
                <w:iCs w:val="0"/>
                <w:color w:val="000000"/>
                <w:sz w:val="22"/>
                <w:szCs w:val="22"/>
                <w:u w:val="none"/>
              </w:rPr>
            </w:pPr>
          </w:p>
        </w:tc>
      </w:tr>
      <w:tr w14:paraId="12479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62758">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7FD8E">
            <w:pPr>
              <w:jc w:val="center"/>
              <w:rPr>
                <w:rFonts w:hint="eastAsia" w:ascii="仿宋" w:hAnsi="仿宋" w:eastAsia="仿宋" w:cs="仿宋"/>
                <w:i w:val="0"/>
                <w:iCs w:val="0"/>
                <w:color w:val="000000"/>
                <w:sz w:val="22"/>
                <w:szCs w:val="22"/>
                <w:u w:val="none"/>
              </w:rPr>
            </w:pPr>
          </w:p>
        </w:tc>
        <w:tc>
          <w:tcPr>
            <w:tcW w:w="1189" w:type="dxa"/>
            <w:vMerge w:val="continue"/>
            <w:tcBorders>
              <w:top w:val="nil"/>
              <w:left w:val="nil"/>
              <w:bottom w:val="nil"/>
              <w:right w:val="single" w:color="000000" w:sz="4" w:space="0"/>
            </w:tcBorders>
            <w:shd w:val="clear" w:color="auto" w:fill="auto"/>
            <w:vAlign w:val="center"/>
          </w:tcPr>
          <w:p w14:paraId="6F784B5A">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01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南瓜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55E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07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436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B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17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86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D1E8B">
            <w:pPr>
              <w:jc w:val="center"/>
              <w:rPr>
                <w:rFonts w:hint="eastAsia" w:ascii="仿宋" w:hAnsi="仿宋" w:eastAsia="仿宋" w:cs="仿宋"/>
                <w:i w:val="0"/>
                <w:iCs w:val="0"/>
                <w:color w:val="000000"/>
                <w:sz w:val="22"/>
                <w:szCs w:val="22"/>
                <w:u w:val="none"/>
              </w:rPr>
            </w:pPr>
          </w:p>
        </w:tc>
      </w:tr>
      <w:tr w14:paraId="0FB58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CA269F">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ADFB0">
            <w:pPr>
              <w:jc w:val="center"/>
              <w:rPr>
                <w:rFonts w:hint="eastAsia" w:ascii="仿宋" w:hAnsi="仿宋" w:eastAsia="仿宋" w:cs="仿宋"/>
                <w:i w:val="0"/>
                <w:iCs w:val="0"/>
                <w:color w:val="000000"/>
                <w:sz w:val="22"/>
                <w:szCs w:val="22"/>
                <w:u w:val="none"/>
              </w:rPr>
            </w:pPr>
          </w:p>
        </w:tc>
        <w:tc>
          <w:tcPr>
            <w:tcW w:w="1189" w:type="dxa"/>
            <w:vMerge w:val="continue"/>
            <w:tcBorders>
              <w:top w:val="nil"/>
              <w:left w:val="nil"/>
              <w:bottom w:val="nil"/>
              <w:right w:val="single" w:color="000000" w:sz="4" w:space="0"/>
            </w:tcBorders>
            <w:shd w:val="clear" w:color="auto" w:fill="auto"/>
            <w:vAlign w:val="center"/>
          </w:tcPr>
          <w:p w14:paraId="72A72B96">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8EC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苦瓜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CC8D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9D2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6FC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1D0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4D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27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FE49">
            <w:pPr>
              <w:jc w:val="center"/>
              <w:rPr>
                <w:rFonts w:hint="eastAsia" w:ascii="仿宋" w:hAnsi="仿宋" w:eastAsia="仿宋" w:cs="仿宋"/>
                <w:i w:val="0"/>
                <w:iCs w:val="0"/>
                <w:color w:val="000000"/>
                <w:sz w:val="22"/>
                <w:szCs w:val="22"/>
                <w:u w:val="none"/>
              </w:rPr>
            </w:pPr>
          </w:p>
        </w:tc>
      </w:tr>
      <w:tr w14:paraId="7CECC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36888">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00BFA">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nil"/>
              <w:bottom w:val="single" w:color="000000" w:sz="4" w:space="0"/>
              <w:right w:val="single" w:color="000000" w:sz="4" w:space="0"/>
            </w:tcBorders>
            <w:shd w:val="clear" w:color="auto" w:fill="auto"/>
            <w:vAlign w:val="center"/>
          </w:tcPr>
          <w:p w14:paraId="1E4A4E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鳞茎类蔬菜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845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洋葱</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76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468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A187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21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096E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FC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3.17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8548">
            <w:pPr>
              <w:jc w:val="center"/>
              <w:rPr>
                <w:rFonts w:hint="eastAsia" w:ascii="仿宋" w:hAnsi="仿宋" w:eastAsia="仿宋" w:cs="仿宋"/>
                <w:i w:val="0"/>
                <w:iCs w:val="0"/>
                <w:color w:val="000000"/>
                <w:sz w:val="22"/>
                <w:szCs w:val="22"/>
                <w:u w:val="none"/>
              </w:rPr>
            </w:pPr>
          </w:p>
        </w:tc>
      </w:tr>
      <w:tr w14:paraId="5AB0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E7647B">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1180B">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1954ACB7">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E54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葱</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C79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FE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74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7A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11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E5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84CD">
            <w:pPr>
              <w:jc w:val="center"/>
              <w:rPr>
                <w:rFonts w:hint="eastAsia" w:ascii="仿宋" w:hAnsi="仿宋" w:eastAsia="仿宋" w:cs="仿宋"/>
                <w:i w:val="0"/>
                <w:iCs w:val="0"/>
                <w:color w:val="000000"/>
                <w:sz w:val="22"/>
                <w:szCs w:val="22"/>
                <w:u w:val="none"/>
              </w:rPr>
            </w:pPr>
          </w:p>
        </w:tc>
      </w:tr>
      <w:tr w14:paraId="5A4F6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3274C">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78D65">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015CCD18">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FBD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大蒜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A0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F7E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414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AB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F6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AFA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30321">
            <w:pPr>
              <w:jc w:val="center"/>
              <w:rPr>
                <w:rFonts w:hint="eastAsia" w:ascii="仿宋" w:hAnsi="仿宋" w:eastAsia="仿宋" w:cs="仿宋"/>
                <w:i w:val="0"/>
                <w:iCs w:val="0"/>
                <w:color w:val="000000"/>
                <w:sz w:val="22"/>
                <w:szCs w:val="22"/>
                <w:u w:val="none"/>
              </w:rPr>
            </w:pPr>
          </w:p>
        </w:tc>
      </w:tr>
      <w:tr w14:paraId="37B1E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DC00A">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9F496">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nil"/>
              <w:bottom w:val="single" w:color="000000" w:sz="4" w:space="0"/>
              <w:right w:val="single" w:color="000000" w:sz="4" w:space="0"/>
            </w:tcBorders>
            <w:shd w:val="clear" w:color="auto" w:fill="auto"/>
            <w:vAlign w:val="center"/>
          </w:tcPr>
          <w:p w14:paraId="3B166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茄果类蔬菜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6D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番茄</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3C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5D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2D0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DED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80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36C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4.76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C806D">
            <w:pPr>
              <w:jc w:val="center"/>
              <w:rPr>
                <w:rFonts w:hint="eastAsia" w:ascii="仿宋" w:hAnsi="仿宋" w:eastAsia="仿宋" w:cs="仿宋"/>
                <w:i w:val="0"/>
                <w:iCs w:val="0"/>
                <w:color w:val="000000"/>
                <w:sz w:val="22"/>
                <w:szCs w:val="22"/>
                <w:u w:val="none"/>
              </w:rPr>
            </w:pPr>
          </w:p>
        </w:tc>
      </w:tr>
      <w:tr w14:paraId="4C171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BC4440">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ADFDD">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5D3EB889">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EA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辣椒</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53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49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3B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D7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91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977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9.09 </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EF10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11.64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2B4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镉、噻虫胺</w:t>
            </w:r>
          </w:p>
        </w:tc>
      </w:tr>
      <w:tr w14:paraId="4CCE7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C9973">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91D86">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3FFC14E3">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BB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茄子</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B2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4F4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76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75E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71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4EB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28.57 </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18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3.70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E7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镉</w:t>
            </w:r>
          </w:p>
        </w:tc>
      </w:tr>
      <w:tr w14:paraId="7337A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65F35">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21564">
            <w:pPr>
              <w:jc w:val="center"/>
              <w:rPr>
                <w:rFonts w:hint="eastAsia" w:ascii="仿宋" w:hAnsi="仿宋" w:eastAsia="仿宋" w:cs="仿宋"/>
                <w:i w:val="0"/>
                <w:iCs w:val="0"/>
                <w:color w:val="000000"/>
                <w:sz w:val="22"/>
                <w:szCs w:val="22"/>
                <w:u w:val="none"/>
              </w:rPr>
            </w:pPr>
          </w:p>
        </w:tc>
        <w:tc>
          <w:tcPr>
            <w:tcW w:w="1189" w:type="dxa"/>
            <w:tcBorders>
              <w:top w:val="single" w:color="000000" w:sz="4" w:space="0"/>
              <w:left w:val="nil"/>
              <w:bottom w:val="single" w:color="000000" w:sz="4" w:space="0"/>
              <w:right w:val="single" w:color="000000" w:sz="4" w:space="0"/>
            </w:tcBorders>
            <w:shd w:val="clear" w:color="auto" w:fill="auto"/>
            <w:vAlign w:val="center"/>
          </w:tcPr>
          <w:p w14:paraId="2A059E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水生类蔬菜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49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莲藕</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11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63D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6B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CA4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48F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B2A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1E41">
            <w:pPr>
              <w:jc w:val="center"/>
              <w:rPr>
                <w:rFonts w:hint="eastAsia" w:ascii="仿宋" w:hAnsi="仿宋" w:eastAsia="仿宋" w:cs="仿宋"/>
                <w:i w:val="0"/>
                <w:iCs w:val="0"/>
                <w:color w:val="000000"/>
                <w:sz w:val="22"/>
                <w:szCs w:val="22"/>
                <w:u w:val="none"/>
              </w:rPr>
            </w:pPr>
          </w:p>
        </w:tc>
      </w:tr>
      <w:tr w14:paraId="7E078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5BA87">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2E5BD">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nil"/>
              <w:bottom w:val="single" w:color="000000" w:sz="4" w:space="0"/>
              <w:right w:val="single" w:color="000000" w:sz="4" w:space="0"/>
            </w:tcBorders>
            <w:shd w:val="clear" w:color="auto" w:fill="auto"/>
            <w:vAlign w:val="center"/>
          </w:tcPr>
          <w:p w14:paraId="034987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叶菜类蔬菜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314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普通白菜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90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E6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70B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A18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3BEB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2B5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EC98">
            <w:pPr>
              <w:jc w:val="center"/>
              <w:rPr>
                <w:rFonts w:hint="eastAsia" w:ascii="仿宋" w:hAnsi="仿宋" w:eastAsia="仿宋" w:cs="仿宋"/>
                <w:i w:val="0"/>
                <w:iCs w:val="0"/>
                <w:color w:val="000000"/>
                <w:sz w:val="22"/>
                <w:szCs w:val="22"/>
                <w:u w:val="none"/>
              </w:rPr>
            </w:pPr>
          </w:p>
        </w:tc>
      </w:tr>
      <w:tr w14:paraId="4D181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288773">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DA0838">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28E05FC6">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A6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芹菜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89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BC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37F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12E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15C9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B0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2A924">
            <w:pPr>
              <w:jc w:val="center"/>
              <w:rPr>
                <w:rFonts w:hint="eastAsia" w:ascii="宋体" w:hAnsi="宋体" w:eastAsia="宋体" w:cs="宋体"/>
                <w:i w:val="0"/>
                <w:iCs w:val="0"/>
                <w:color w:val="000000"/>
                <w:sz w:val="20"/>
                <w:szCs w:val="20"/>
                <w:u w:val="none"/>
              </w:rPr>
            </w:pPr>
          </w:p>
        </w:tc>
      </w:tr>
      <w:tr w14:paraId="64F03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923D2C">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66AB3">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7DF172BD">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489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大白菜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3B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50F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EB1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6F9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F8A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D82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3.70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76D13">
            <w:pPr>
              <w:jc w:val="center"/>
              <w:rPr>
                <w:rFonts w:hint="eastAsia" w:ascii="仿宋" w:hAnsi="仿宋" w:eastAsia="仿宋" w:cs="仿宋"/>
                <w:i w:val="0"/>
                <w:iCs w:val="0"/>
                <w:color w:val="000000"/>
                <w:sz w:val="22"/>
                <w:szCs w:val="22"/>
                <w:u w:val="none"/>
              </w:rPr>
            </w:pPr>
          </w:p>
        </w:tc>
      </w:tr>
      <w:tr w14:paraId="5516F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E6F1C">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2D1B2">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single" w:color="000000" w:sz="4" w:space="0"/>
              <w:right w:val="single" w:color="000000" w:sz="4" w:space="0"/>
            </w:tcBorders>
            <w:shd w:val="clear" w:color="auto" w:fill="auto"/>
            <w:vAlign w:val="center"/>
          </w:tcPr>
          <w:p w14:paraId="71C1BB5D">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13D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油麦菜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11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B4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ED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75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CCD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39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2.65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E57A1">
            <w:pPr>
              <w:jc w:val="center"/>
              <w:rPr>
                <w:rFonts w:hint="eastAsia" w:ascii="仿宋" w:hAnsi="仿宋" w:eastAsia="仿宋" w:cs="仿宋"/>
                <w:i w:val="0"/>
                <w:iCs w:val="0"/>
                <w:color w:val="000000"/>
                <w:sz w:val="22"/>
                <w:szCs w:val="22"/>
                <w:u w:val="none"/>
              </w:rPr>
            </w:pPr>
          </w:p>
        </w:tc>
      </w:tr>
      <w:tr w14:paraId="39DE8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0A724">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42552">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nil"/>
              <w:bottom w:val="nil"/>
              <w:right w:val="single" w:color="000000" w:sz="4" w:space="0"/>
            </w:tcBorders>
            <w:shd w:val="clear" w:color="auto" w:fill="auto"/>
            <w:vAlign w:val="center"/>
          </w:tcPr>
          <w:p w14:paraId="40EBDC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芸薹属类蔬菜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82B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结球甘蓝</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815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356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23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2BA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47E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45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2.65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1FF1">
            <w:pPr>
              <w:jc w:val="center"/>
              <w:rPr>
                <w:rFonts w:hint="eastAsia" w:ascii="仿宋" w:hAnsi="仿宋" w:eastAsia="仿宋" w:cs="仿宋"/>
                <w:i w:val="0"/>
                <w:iCs w:val="0"/>
                <w:color w:val="000000"/>
                <w:sz w:val="22"/>
                <w:szCs w:val="22"/>
                <w:u w:val="none"/>
              </w:rPr>
            </w:pPr>
          </w:p>
        </w:tc>
      </w:tr>
      <w:tr w14:paraId="37D30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1A42B">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856B7">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nil"/>
              <w:right w:val="single" w:color="000000" w:sz="4" w:space="0"/>
            </w:tcBorders>
            <w:shd w:val="clear" w:color="auto" w:fill="auto"/>
            <w:vAlign w:val="center"/>
          </w:tcPr>
          <w:p w14:paraId="72A019F5">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3B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菜薹</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A1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2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8D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6F3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63A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82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E51B">
            <w:pPr>
              <w:jc w:val="center"/>
              <w:rPr>
                <w:rFonts w:hint="eastAsia" w:ascii="仿宋" w:hAnsi="仿宋" w:eastAsia="仿宋" w:cs="仿宋"/>
                <w:i w:val="0"/>
                <w:iCs w:val="0"/>
                <w:color w:val="000000"/>
                <w:sz w:val="22"/>
                <w:szCs w:val="22"/>
                <w:u w:val="none"/>
              </w:rPr>
            </w:pPr>
          </w:p>
        </w:tc>
      </w:tr>
      <w:tr w14:paraId="78A5C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95B9E">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74025">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nil"/>
              <w:bottom w:val="nil"/>
              <w:right w:val="single" w:color="000000" w:sz="4" w:space="0"/>
            </w:tcBorders>
            <w:shd w:val="clear" w:color="auto" w:fill="auto"/>
            <w:vAlign w:val="center"/>
          </w:tcPr>
          <w:p w14:paraId="00BB1597">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B1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花椰菜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79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DC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E5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6B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46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AB1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984A">
            <w:pPr>
              <w:jc w:val="center"/>
              <w:rPr>
                <w:rFonts w:hint="eastAsia" w:ascii="仿宋" w:hAnsi="仿宋" w:eastAsia="仿宋" w:cs="仿宋"/>
                <w:i w:val="0"/>
                <w:iCs w:val="0"/>
                <w:color w:val="000000"/>
                <w:sz w:val="22"/>
                <w:szCs w:val="22"/>
                <w:u w:val="none"/>
              </w:rPr>
            </w:pPr>
          </w:p>
        </w:tc>
      </w:tr>
      <w:tr w14:paraId="05549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restart"/>
            <w:tcBorders>
              <w:top w:val="single" w:color="000000" w:sz="4" w:space="0"/>
              <w:left w:val="single" w:color="000000" w:sz="4" w:space="0"/>
              <w:bottom w:val="nil"/>
              <w:right w:val="single" w:color="000000" w:sz="4" w:space="0"/>
            </w:tcBorders>
            <w:shd w:val="clear" w:color="auto" w:fill="auto"/>
            <w:vAlign w:val="center"/>
          </w:tcPr>
          <w:p w14:paraId="2CBE32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649" w:type="dxa"/>
            <w:vMerge w:val="restart"/>
            <w:tcBorders>
              <w:top w:val="single" w:color="000000" w:sz="4" w:space="0"/>
              <w:left w:val="single" w:color="000000" w:sz="4" w:space="0"/>
              <w:bottom w:val="nil"/>
              <w:right w:val="single" w:color="000000" w:sz="4" w:space="0"/>
            </w:tcBorders>
            <w:shd w:val="clear" w:color="auto" w:fill="auto"/>
            <w:vAlign w:val="center"/>
          </w:tcPr>
          <w:p w14:paraId="532CE4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水果类</w:t>
            </w:r>
          </w:p>
        </w:tc>
        <w:tc>
          <w:tcPr>
            <w:tcW w:w="11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ADA31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柑橘类水果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50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橙</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74E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56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89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54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F80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BAE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1EAAB">
            <w:pPr>
              <w:jc w:val="center"/>
              <w:rPr>
                <w:rFonts w:hint="eastAsia" w:ascii="仿宋" w:hAnsi="仿宋" w:eastAsia="仿宋" w:cs="仿宋"/>
                <w:i w:val="0"/>
                <w:iCs w:val="0"/>
                <w:color w:val="000000"/>
                <w:sz w:val="22"/>
                <w:szCs w:val="22"/>
                <w:u w:val="none"/>
              </w:rPr>
            </w:pPr>
          </w:p>
        </w:tc>
      </w:tr>
      <w:tr w14:paraId="0AD31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6C715DA0">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230B215B">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A35A8">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98B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柑、橘</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11A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82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6AE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CE7C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45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8D9F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6FDF9">
            <w:pPr>
              <w:jc w:val="center"/>
              <w:rPr>
                <w:rFonts w:hint="eastAsia" w:ascii="仿宋" w:hAnsi="仿宋" w:eastAsia="仿宋" w:cs="仿宋"/>
                <w:i w:val="0"/>
                <w:iCs w:val="0"/>
                <w:color w:val="000000"/>
                <w:sz w:val="22"/>
                <w:szCs w:val="22"/>
                <w:u w:val="none"/>
              </w:rPr>
            </w:pPr>
          </w:p>
        </w:tc>
      </w:tr>
      <w:tr w14:paraId="44E59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0E2BCEF7">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3162CDE8">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36AB43">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D69D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柚</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444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06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64B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9A1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24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9FF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6094">
            <w:pPr>
              <w:jc w:val="center"/>
              <w:rPr>
                <w:rFonts w:hint="eastAsia" w:ascii="仿宋" w:hAnsi="仿宋" w:eastAsia="仿宋" w:cs="仿宋"/>
                <w:i w:val="0"/>
                <w:iCs w:val="0"/>
                <w:color w:val="000000"/>
                <w:sz w:val="22"/>
                <w:szCs w:val="22"/>
                <w:u w:val="none"/>
              </w:rPr>
            </w:pPr>
          </w:p>
        </w:tc>
      </w:tr>
      <w:tr w14:paraId="50A7C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6105D826">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489E52E5">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7CC38">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2B3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柠檬</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63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8E7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773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7FD8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36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83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5276">
            <w:pPr>
              <w:jc w:val="center"/>
              <w:rPr>
                <w:rFonts w:hint="eastAsia" w:ascii="仿宋" w:hAnsi="仿宋" w:eastAsia="仿宋" w:cs="仿宋"/>
                <w:i w:val="0"/>
                <w:iCs w:val="0"/>
                <w:color w:val="000000"/>
                <w:sz w:val="22"/>
                <w:szCs w:val="22"/>
                <w:u w:val="none"/>
              </w:rPr>
            </w:pPr>
          </w:p>
        </w:tc>
      </w:tr>
      <w:tr w14:paraId="16FA1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6E79F5A4">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75FEF556">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91D9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热带和亚热带水果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B2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火龙果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1A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FD9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44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02EF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B565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4E9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C1C3">
            <w:pPr>
              <w:jc w:val="center"/>
              <w:rPr>
                <w:rFonts w:hint="eastAsia" w:ascii="仿宋" w:hAnsi="仿宋" w:eastAsia="仿宋" w:cs="仿宋"/>
                <w:i w:val="0"/>
                <w:iCs w:val="0"/>
                <w:color w:val="000000"/>
                <w:sz w:val="22"/>
                <w:szCs w:val="22"/>
                <w:u w:val="none"/>
              </w:rPr>
            </w:pPr>
          </w:p>
        </w:tc>
      </w:tr>
      <w:tr w14:paraId="37D1B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6BDBACC5">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2F4F8596">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4FC97">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164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芒果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6E2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B19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22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63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F4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FB0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1.59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696A">
            <w:pPr>
              <w:jc w:val="center"/>
              <w:rPr>
                <w:rFonts w:hint="eastAsia" w:ascii="宋体" w:hAnsi="宋体" w:eastAsia="宋体" w:cs="宋体"/>
                <w:i w:val="0"/>
                <w:iCs w:val="0"/>
                <w:color w:val="000000"/>
                <w:sz w:val="20"/>
                <w:szCs w:val="20"/>
                <w:u w:val="none"/>
              </w:rPr>
            </w:pPr>
          </w:p>
        </w:tc>
      </w:tr>
      <w:tr w14:paraId="61616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01FB8930">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71458861">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9B299">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4A4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香蕉</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655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94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27A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2A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75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C6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5EF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F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吡虫啉</w:t>
            </w:r>
          </w:p>
        </w:tc>
      </w:tr>
      <w:tr w14:paraId="203BD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5333CC73">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2759E0EC">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6088A">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AF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龙眼</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D4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8E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F58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54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3A3E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E5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61F2">
            <w:pPr>
              <w:jc w:val="center"/>
              <w:rPr>
                <w:rFonts w:hint="eastAsia" w:ascii="仿宋" w:hAnsi="仿宋" w:eastAsia="仿宋" w:cs="仿宋"/>
                <w:i w:val="0"/>
                <w:iCs w:val="0"/>
                <w:color w:val="000000"/>
                <w:sz w:val="22"/>
                <w:szCs w:val="22"/>
                <w:u w:val="none"/>
              </w:rPr>
            </w:pPr>
          </w:p>
        </w:tc>
      </w:tr>
      <w:tr w14:paraId="1127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01DFF11D">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6DCADE38">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F2086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浆果和其他小型水果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08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猕猴桃</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D6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8B59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54D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E59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AC1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94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2DDAA">
            <w:pPr>
              <w:jc w:val="center"/>
              <w:rPr>
                <w:rFonts w:hint="eastAsia" w:ascii="仿宋" w:hAnsi="仿宋" w:eastAsia="仿宋" w:cs="仿宋"/>
                <w:i w:val="0"/>
                <w:iCs w:val="0"/>
                <w:color w:val="000000"/>
                <w:sz w:val="22"/>
                <w:szCs w:val="22"/>
                <w:u w:val="none"/>
              </w:rPr>
            </w:pPr>
          </w:p>
        </w:tc>
      </w:tr>
      <w:tr w14:paraId="7DE58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58DABAA1">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0202D4D8">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115B2">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54D0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葡萄</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368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2BA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A7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410A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3D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EDF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B60A">
            <w:pPr>
              <w:jc w:val="center"/>
              <w:rPr>
                <w:rFonts w:hint="eastAsia" w:ascii="仿宋" w:hAnsi="仿宋" w:eastAsia="仿宋" w:cs="仿宋"/>
                <w:i w:val="0"/>
                <w:iCs w:val="0"/>
                <w:color w:val="000000"/>
                <w:sz w:val="22"/>
                <w:szCs w:val="22"/>
                <w:u w:val="none"/>
              </w:rPr>
            </w:pPr>
          </w:p>
        </w:tc>
      </w:tr>
      <w:tr w14:paraId="1A713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46A52AFD">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10CCD258">
            <w:pPr>
              <w:jc w:val="center"/>
              <w:rPr>
                <w:rFonts w:hint="eastAsia" w:ascii="仿宋" w:hAnsi="仿宋" w:eastAsia="仿宋" w:cs="仿宋"/>
                <w:i w:val="0"/>
                <w:iCs w:val="0"/>
                <w:color w:val="000000"/>
                <w:sz w:val="22"/>
                <w:szCs w:val="22"/>
                <w:u w:val="none"/>
              </w:rPr>
            </w:pPr>
          </w:p>
        </w:tc>
        <w:tc>
          <w:tcPr>
            <w:tcW w:w="11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C7B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核果类水果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46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枣</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EAF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65B0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C69B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5F1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C4F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7A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C6C7">
            <w:pPr>
              <w:jc w:val="center"/>
              <w:rPr>
                <w:rFonts w:hint="eastAsia" w:ascii="仿宋" w:hAnsi="仿宋" w:eastAsia="仿宋" w:cs="仿宋"/>
                <w:i w:val="0"/>
                <w:iCs w:val="0"/>
                <w:color w:val="000000"/>
                <w:sz w:val="22"/>
                <w:szCs w:val="22"/>
                <w:u w:val="none"/>
              </w:rPr>
            </w:pPr>
          </w:p>
        </w:tc>
      </w:tr>
      <w:tr w14:paraId="15928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6BE7B0D8">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120F43BA">
            <w:pPr>
              <w:jc w:val="center"/>
              <w:rPr>
                <w:rFonts w:hint="eastAsia" w:ascii="仿宋" w:hAnsi="仿宋" w:eastAsia="仿宋" w:cs="仿宋"/>
                <w:i w:val="0"/>
                <w:iCs w:val="0"/>
                <w:color w:val="000000"/>
                <w:sz w:val="22"/>
                <w:szCs w:val="22"/>
                <w:u w:val="none"/>
              </w:rPr>
            </w:pPr>
          </w:p>
        </w:tc>
        <w:tc>
          <w:tcPr>
            <w:tcW w:w="11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C1375">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04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桃</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11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DA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05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DB8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FB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D6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2.12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8B81B">
            <w:pPr>
              <w:jc w:val="center"/>
              <w:rPr>
                <w:rFonts w:hint="eastAsia" w:ascii="仿宋" w:hAnsi="仿宋" w:eastAsia="仿宋" w:cs="仿宋"/>
                <w:i w:val="0"/>
                <w:iCs w:val="0"/>
                <w:color w:val="000000"/>
                <w:sz w:val="22"/>
                <w:szCs w:val="22"/>
                <w:u w:val="none"/>
              </w:rPr>
            </w:pPr>
          </w:p>
        </w:tc>
      </w:tr>
      <w:tr w14:paraId="1A35D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547217D7">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18143401">
            <w:pPr>
              <w:jc w:val="center"/>
              <w:rPr>
                <w:rFonts w:hint="eastAsia" w:ascii="仿宋" w:hAnsi="仿宋" w:eastAsia="仿宋" w:cs="仿宋"/>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14:paraId="6A4D14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瓜果类水果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F5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西瓜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F09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013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6F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D19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EB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4E26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D1EF">
            <w:pPr>
              <w:jc w:val="center"/>
              <w:rPr>
                <w:rFonts w:hint="eastAsia" w:ascii="仿宋" w:hAnsi="仿宋" w:eastAsia="仿宋" w:cs="仿宋"/>
                <w:i w:val="0"/>
                <w:iCs w:val="0"/>
                <w:color w:val="000000"/>
                <w:sz w:val="22"/>
                <w:szCs w:val="22"/>
                <w:u w:val="none"/>
              </w:rPr>
            </w:pPr>
          </w:p>
        </w:tc>
      </w:tr>
      <w:tr w14:paraId="3B2A1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27F3C1EA">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373FE856">
            <w:pPr>
              <w:jc w:val="center"/>
              <w:rPr>
                <w:rFonts w:hint="eastAsia" w:ascii="仿宋" w:hAnsi="仿宋" w:eastAsia="仿宋" w:cs="仿宋"/>
                <w:i w:val="0"/>
                <w:iCs w:val="0"/>
                <w:color w:val="000000"/>
                <w:sz w:val="22"/>
                <w:szCs w:val="22"/>
                <w:u w:val="none"/>
              </w:rPr>
            </w:pPr>
          </w:p>
        </w:tc>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3B16C4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仁果类水果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2F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梨</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99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CC3D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EC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20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FB4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5A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FE105">
            <w:pPr>
              <w:jc w:val="center"/>
              <w:rPr>
                <w:rFonts w:hint="eastAsia" w:ascii="仿宋" w:hAnsi="仿宋" w:eastAsia="仿宋" w:cs="仿宋"/>
                <w:i w:val="0"/>
                <w:iCs w:val="0"/>
                <w:color w:val="000000"/>
                <w:sz w:val="22"/>
                <w:szCs w:val="22"/>
                <w:u w:val="none"/>
              </w:rPr>
            </w:pPr>
          </w:p>
        </w:tc>
      </w:tr>
      <w:tr w14:paraId="2CC48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717074D1">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60CE0541">
            <w:pPr>
              <w:jc w:val="center"/>
              <w:rPr>
                <w:rFonts w:hint="eastAsia" w:ascii="仿宋" w:hAnsi="仿宋" w:eastAsia="仿宋" w:cs="仿宋"/>
                <w:i w:val="0"/>
                <w:iCs w:val="0"/>
                <w:color w:val="000000"/>
                <w:sz w:val="22"/>
                <w:szCs w:val="22"/>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1EF37D31">
            <w:pPr>
              <w:jc w:val="center"/>
              <w:rPr>
                <w:rFonts w:hint="eastAsia" w:ascii="仿宋" w:hAnsi="仿宋" w:eastAsia="仿宋" w:cs="仿宋"/>
                <w:i w:val="0"/>
                <w:iCs w:val="0"/>
                <w:color w:val="000000"/>
                <w:sz w:val="22"/>
                <w:szCs w:val="22"/>
                <w:u w:val="none"/>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9DA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苹果</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4E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31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396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440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23F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F50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2.65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25BA">
            <w:pPr>
              <w:jc w:val="center"/>
              <w:rPr>
                <w:rFonts w:hint="eastAsia" w:ascii="仿宋" w:hAnsi="仿宋" w:eastAsia="仿宋" w:cs="仿宋"/>
                <w:i w:val="0"/>
                <w:iCs w:val="0"/>
                <w:color w:val="000000"/>
                <w:sz w:val="22"/>
                <w:szCs w:val="22"/>
                <w:u w:val="none"/>
              </w:rPr>
            </w:pPr>
          </w:p>
        </w:tc>
      </w:tr>
      <w:tr w14:paraId="2AFBC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vMerge w:val="restart"/>
            <w:tcBorders>
              <w:top w:val="single" w:color="000000" w:sz="4" w:space="0"/>
              <w:left w:val="single" w:color="000000" w:sz="4" w:space="0"/>
              <w:bottom w:val="nil"/>
              <w:right w:val="single" w:color="000000" w:sz="4" w:space="0"/>
            </w:tcBorders>
            <w:shd w:val="clear" w:color="auto" w:fill="auto"/>
            <w:vAlign w:val="center"/>
          </w:tcPr>
          <w:p w14:paraId="07D67A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649" w:type="dxa"/>
            <w:vMerge w:val="restart"/>
            <w:tcBorders>
              <w:top w:val="single" w:color="000000" w:sz="4" w:space="0"/>
              <w:left w:val="single" w:color="000000" w:sz="4" w:space="0"/>
              <w:bottom w:val="nil"/>
              <w:right w:val="single" w:color="000000" w:sz="4" w:space="0"/>
            </w:tcBorders>
            <w:shd w:val="clear" w:color="auto" w:fill="auto"/>
            <w:vAlign w:val="center"/>
          </w:tcPr>
          <w:p w14:paraId="10677C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水产品</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0C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淡水产品</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D58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淡水鱼</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6F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19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F8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0B2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8A8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 </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C70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28E4">
            <w:pPr>
              <w:jc w:val="center"/>
              <w:rPr>
                <w:rFonts w:hint="eastAsia" w:ascii="宋体" w:hAnsi="宋体" w:eastAsia="宋体" w:cs="宋体"/>
                <w:i w:val="0"/>
                <w:iCs w:val="0"/>
                <w:color w:val="000000"/>
                <w:sz w:val="20"/>
                <w:szCs w:val="20"/>
                <w:u w:val="none"/>
              </w:rPr>
            </w:pPr>
          </w:p>
        </w:tc>
      </w:tr>
      <w:tr w14:paraId="016B0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572" w:type="dxa"/>
            <w:vMerge w:val="continue"/>
            <w:tcBorders>
              <w:top w:val="single" w:color="000000" w:sz="4" w:space="0"/>
              <w:left w:val="single" w:color="000000" w:sz="4" w:space="0"/>
              <w:bottom w:val="nil"/>
              <w:right w:val="single" w:color="000000" w:sz="4" w:space="0"/>
            </w:tcBorders>
            <w:shd w:val="clear" w:color="auto" w:fill="auto"/>
            <w:vAlign w:val="center"/>
          </w:tcPr>
          <w:p w14:paraId="1EC51D94">
            <w:pPr>
              <w:jc w:val="center"/>
              <w:rPr>
                <w:rFonts w:hint="eastAsia" w:ascii="仿宋" w:hAnsi="仿宋" w:eastAsia="仿宋" w:cs="仿宋"/>
                <w:i w:val="0"/>
                <w:iCs w:val="0"/>
                <w:color w:val="000000"/>
                <w:sz w:val="22"/>
                <w:szCs w:val="22"/>
                <w:u w:val="none"/>
              </w:rPr>
            </w:pPr>
          </w:p>
        </w:tc>
        <w:tc>
          <w:tcPr>
            <w:tcW w:w="649" w:type="dxa"/>
            <w:vMerge w:val="continue"/>
            <w:tcBorders>
              <w:top w:val="single" w:color="000000" w:sz="4" w:space="0"/>
              <w:left w:val="single" w:color="000000" w:sz="4" w:space="0"/>
              <w:bottom w:val="nil"/>
              <w:right w:val="single" w:color="000000" w:sz="4" w:space="0"/>
            </w:tcBorders>
            <w:shd w:val="clear" w:color="auto" w:fill="auto"/>
            <w:vAlign w:val="center"/>
          </w:tcPr>
          <w:p w14:paraId="686A46FC">
            <w:pPr>
              <w:jc w:val="center"/>
              <w:rPr>
                <w:rFonts w:hint="eastAsia" w:ascii="仿宋" w:hAnsi="仿宋" w:eastAsia="仿宋" w:cs="仿宋"/>
                <w:i w:val="0"/>
                <w:iCs w:val="0"/>
                <w:color w:val="000000"/>
                <w:sz w:val="22"/>
                <w:szCs w:val="22"/>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3409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海水产品</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8B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海水虾</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FC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6D6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957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719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07C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E33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0.53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FCF5">
            <w:pPr>
              <w:jc w:val="center"/>
              <w:rPr>
                <w:rFonts w:hint="eastAsia" w:ascii="仿宋" w:hAnsi="仿宋" w:eastAsia="仿宋" w:cs="仿宋"/>
                <w:i w:val="0"/>
                <w:iCs w:val="0"/>
                <w:color w:val="000000"/>
                <w:sz w:val="22"/>
                <w:szCs w:val="22"/>
                <w:u w:val="none"/>
              </w:rPr>
            </w:pPr>
          </w:p>
        </w:tc>
      </w:tr>
      <w:tr w14:paraId="36EC0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2" w:hRule="atLeast"/>
        </w:trPr>
        <w:tc>
          <w:tcPr>
            <w:tcW w:w="572" w:type="dxa"/>
            <w:tcBorders>
              <w:top w:val="single" w:color="000000" w:sz="4" w:space="0"/>
              <w:left w:val="single" w:color="000000" w:sz="4" w:space="0"/>
              <w:bottom w:val="nil"/>
              <w:right w:val="single" w:color="000000" w:sz="4" w:space="0"/>
            </w:tcBorders>
            <w:shd w:val="clear" w:color="auto" w:fill="auto"/>
            <w:vAlign w:val="center"/>
          </w:tcPr>
          <w:p w14:paraId="7566A2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649" w:type="dxa"/>
            <w:tcBorders>
              <w:top w:val="single" w:color="000000" w:sz="4" w:space="0"/>
              <w:left w:val="single" w:color="000000" w:sz="4" w:space="0"/>
              <w:bottom w:val="nil"/>
              <w:right w:val="single" w:color="000000" w:sz="4" w:space="0"/>
            </w:tcBorders>
            <w:shd w:val="clear" w:color="auto" w:fill="auto"/>
            <w:vAlign w:val="center"/>
          </w:tcPr>
          <w:p w14:paraId="05ED3D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生干坚果与籽类食品</w:t>
            </w:r>
          </w:p>
        </w:tc>
        <w:tc>
          <w:tcPr>
            <w:tcW w:w="1189" w:type="dxa"/>
            <w:tcBorders>
              <w:top w:val="single" w:color="000000" w:sz="4" w:space="0"/>
              <w:left w:val="single" w:color="000000" w:sz="4" w:space="0"/>
              <w:bottom w:val="nil"/>
              <w:right w:val="single" w:color="000000" w:sz="4" w:space="0"/>
            </w:tcBorders>
            <w:shd w:val="clear" w:color="auto" w:fill="auto"/>
            <w:vAlign w:val="center"/>
          </w:tcPr>
          <w:p w14:paraId="6320C5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生干坚果与籽类食品</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AC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生干籽类</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D302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19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D55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D8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50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78F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7F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1.06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13D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酸价、过氧化值</w:t>
            </w:r>
          </w:p>
        </w:tc>
      </w:tr>
      <w:tr w14:paraId="1ECA7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479D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1DB1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鲜蛋</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2B1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鲜蛋</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64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鸡蛋</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206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B4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930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8AF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260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DC6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4.23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15F0">
            <w:pPr>
              <w:jc w:val="center"/>
              <w:rPr>
                <w:rFonts w:hint="eastAsia" w:ascii="仿宋" w:hAnsi="仿宋" w:eastAsia="仿宋" w:cs="仿宋"/>
                <w:i w:val="0"/>
                <w:iCs w:val="0"/>
                <w:color w:val="000000"/>
                <w:sz w:val="22"/>
                <w:szCs w:val="22"/>
                <w:u w:val="none"/>
              </w:rPr>
            </w:pPr>
          </w:p>
        </w:tc>
      </w:tr>
      <w:tr w14:paraId="4E790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332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16A3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合计</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25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189</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276B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180</w:t>
            </w:r>
          </w:p>
        </w:tc>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2D0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653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95.24%</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FF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4.76%</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072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100.00 </w:t>
            </w:r>
          </w:p>
        </w:tc>
        <w:tc>
          <w:tcPr>
            <w:tcW w:w="1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94780">
            <w:pPr>
              <w:jc w:val="center"/>
              <w:rPr>
                <w:rFonts w:hint="eastAsia" w:ascii="仿宋" w:hAnsi="仿宋" w:eastAsia="仿宋" w:cs="仿宋"/>
                <w:i w:val="0"/>
                <w:iCs w:val="0"/>
                <w:color w:val="000000"/>
                <w:sz w:val="22"/>
                <w:szCs w:val="22"/>
                <w:u w:val="none"/>
              </w:rPr>
            </w:pPr>
          </w:p>
        </w:tc>
      </w:tr>
    </w:tbl>
    <w:p w14:paraId="52355863">
      <w:pPr>
        <w:spacing w:before="0" w:line="302" w:lineRule="exact"/>
        <w:ind w:left="2618" w:right="0" w:firstLine="0"/>
        <w:jc w:val="left"/>
        <w:rPr>
          <w:b/>
          <w:sz w:val="28"/>
        </w:rPr>
      </w:pPr>
    </w:p>
    <w:p w14:paraId="49244649">
      <w:pPr>
        <w:spacing w:before="0" w:line="302" w:lineRule="exact"/>
        <w:ind w:left="2618" w:right="0" w:firstLine="0"/>
        <w:jc w:val="left"/>
        <w:rPr>
          <w:rFonts w:hint="default"/>
          <w:b/>
          <w:sz w:val="28"/>
          <w:lang w:val="en-US" w:eastAsia="zh-CN"/>
        </w:rPr>
      </w:pPr>
      <w:r>
        <w:rPr>
          <w:rFonts w:hint="eastAsia"/>
          <w:b/>
          <w:sz w:val="28"/>
          <w:lang w:val="en-US" w:eastAsia="zh-CN"/>
        </w:rPr>
        <w:t>图3 各类农产品抽检情况图</w:t>
      </w:r>
    </w:p>
    <w:p w14:paraId="736A0EA1">
      <w:pPr>
        <w:keepNext w:val="0"/>
        <w:keepLines w:val="0"/>
        <w:pageBreakBefore w:val="0"/>
        <w:widowControl w:val="0"/>
        <w:kinsoku/>
        <w:wordWrap/>
        <w:overflowPunct/>
        <w:topLinePunct w:val="0"/>
        <w:autoSpaceDE w:val="0"/>
        <w:autoSpaceDN w:val="0"/>
        <w:bidi w:val="0"/>
        <w:adjustRightInd/>
        <w:snapToGrid/>
        <w:ind w:left="-560" w:leftChars="-200" w:firstLine="560" w:firstLineChars="200"/>
        <w:textAlignment w:val="auto"/>
        <w:rPr>
          <w:rFonts w:hint="default" w:cs="仿宋"/>
          <w:lang w:val="en-US" w:eastAsia="zh-CN"/>
        </w:rPr>
      </w:pPr>
      <w:r>
        <w:drawing>
          <wp:inline distT="0" distB="0" distL="114300" distR="114300">
            <wp:extent cx="6110605" cy="3286125"/>
            <wp:effectExtent l="4445" t="4445" r="19050" b="5080"/>
            <wp:docPr id="5" name="图表 1" descr="7b0a202020202263686172745265734964223a2022343732313236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CEF1629">
      <w:pPr>
        <w:pStyle w:val="2"/>
        <w:bidi w:val="0"/>
      </w:pPr>
      <w:bookmarkStart w:id="17" w:name="_Toc39"/>
      <w:r>
        <w:t>三、抽检监测发现的主要问题及原因分析</w:t>
      </w:r>
      <w:bookmarkEnd w:id="17"/>
    </w:p>
    <w:p w14:paraId="5BB70F06">
      <w:pPr>
        <w:pStyle w:val="3"/>
        <w:bidi w:val="0"/>
        <w:ind w:firstLine="562" w:firstLineChars="200"/>
        <w:rPr>
          <w:b/>
          <w:sz w:val="20"/>
        </w:rPr>
      </w:pPr>
      <w:bookmarkStart w:id="18" w:name="_bookmark5"/>
      <w:bookmarkEnd w:id="18"/>
      <w:bookmarkStart w:id="19" w:name="（一）总体情况分析"/>
      <w:bookmarkEnd w:id="19"/>
      <w:bookmarkStart w:id="20" w:name="_Toc18881"/>
      <w:r>
        <w:t>（一）总体情况分析</w:t>
      </w:r>
      <w:bookmarkEnd w:id="20"/>
    </w:p>
    <w:p w14:paraId="4C467000">
      <w:pPr>
        <w:pStyle w:val="5"/>
        <w:spacing w:before="266" w:line="360" w:lineRule="auto"/>
        <w:ind w:left="146" w:right="0" w:rightChars="0" w:firstLine="559"/>
        <w:rPr>
          <w:sz w:val="20"/>
        </w:rPr>
      </w:pPr>
      <w:r>
        <w:t>抽检的检测项目严格按照《国家食品安全监督抽检实施细则（</w:t>
      </w:r>
      <w:r>
        <w:rPr>
          <w:rFonts w:hint="eastAsia"/>
          <w:lang w:eastAsia="zh-CN"/>
        </w:rPr>
        <w:t>202</w:t>
      </w:r>
      <w:r>
        <w:rPr>
          <w:rFonts w:hint="eastAsia"/>
          <w:lang w:val="en-US" w:eastAsia="zh-CN"/>
        </w:rPr>
        <w:t>4</w:t>
      </w:r>
      <w:r>
        <w:rPr>
          <w:rFonts w:hint="eastAsia"/>
          <w:lang w:eastAsia="zh-CN"/>
        </w:rPr>
        <w:t>年</w:t>
      </w:r>
      <w:r>
        <w:t>版）》和省、市局等要求进行检验，主要为可能存在较高食品安全风险的项目，包括</w:t>
      </w:r>
      <w:r>
        <w:rPr>
          <w:rFonts w:hint="eastAsia"/>
          <w:lang w:eastAsia="zh-CN"/>
        </w:rPr>
        <w:t>：</w:t>
      </w:r>
      <w:r>
        <w:rPr>
          <w:rFonts w:hint="eastAsia"/>
        </w:rPr>
        <w:t>兽药残留超标</w:t>
      </w:r>
      <w:r>
        <w:rPr>
          <w:rFonts w:hint="eastAsia"/>
          <w:lang w:eastAsia="zh-CN"/>
        </w:rPr>
        <w:t>、食品添加剂、污染物超标、农药残留超标等</w:t>
      </w:r>
      <w:r>
        <w:t>，实现了食品安全项目全覆盖。在抽检的</w:t>
      </w:r>
      <w:r>
        <w:rPr>
          <w:rFonts w:hint="eastAsia"/>
          <w:lang w:val="en-US" w:eastAsia="zh-CN"/>
        </w:rPr>
        <w:t>335</w:t>
      </w:r>
      <w:r>
        <w:t>批次样品中共发现不合格样品</w:t>
      </w:r>
      <w:r>
        <w:rPr>
          <w:rFonts w:hint="eastAsia"/>
          <w:lang w:val="en-US" w:eastAsia="zh-CN"/>
        </w:rPr>
        <w:t>16</w:t>
      </w:r>
      <w:r>
        <w:t>批次，不合格项次共计</w:t>
      </w:r>
      <w:r>
        <w:rPr>
          <w:rFonts w:hint="eastAsia"/>
          <w:lang w:val="en-US" w:eastAsia="zh-CN"/>
        </w:rPr>
        <w:t>18</w:t>
      </w:r>
      <w:r>
        <w:t>项次。</w:t>
      </w:r>
    </w:p>
    <w:p w14:paraId="0ACB3493">
      <w:pPr>
        <w:pStyle w:val="3"/>
        <w:bidi w:val="0"/>
        <w:ind w:firstLine="562" w:firstLineChars="200"/>
      </w:pPr>
      <w:bookmarkStart w:id="21" w:name="_bookmark6"/>
      <w:bookmarkEnd w:id="21"/>
      <w:bookmarkStart w:id="22" w:name="（二）抽检监测发现的主要问题"/>
      <w:bookmarkEnd w:id="22"/>
      <w:bookmarkStart w:id="23" w:name="_Toc1640"/>
      <w:r>
        <w:t>（二）抽检监测发现的主要问题</w:t>
      </w:r>
      <w:bookmarkEnd w:id="23"/>
    </w:p>
    <w:p w14:paraId="7B469681">
      <w:pPr>
        <w:pStyle w:val="5"/>
        <w:spacing w:line="410" w:lineRule="auto"/>
        <w:ind w:left="139" w:right="486" w:firstLine="561"/>
        <w:jc w:val="both"/>
      </w:pPr>
      <w:r>
        <w:t>抽检发现的</w:t>
      </w:r>
      <w:r>
        <w:rPr>
          <w:rFonts w:hint="eastAsia"/>
          <w:lang w:val="en-US" w:eastAsia="zh-CN"/>
        </w:rPr>
        <w:t>18</w:t>
      </w:r>
      <w:r>
        <w:t>个不合格项</w:t>
      </w:r>
      <w:r>
        <w:rPr>
          <w:rFonts w:hint="eastAsia"/>
          <w:lang w:eastAsia="zh-CN"/>
        </w:rPr>
        <w:t>次</w:t>
      </w:r>
      <w:r>
        <w:t>，主要集中在</w:t>
      </w:r>
      <w:r>
        <w:rPr>
          <w:rFonts w:hint="eastAsia"/>
          <w:lang w:eastAsia="zh-CN"/>
        </w:rPr>
        <w:t>食品添加剂、</w:t>
      </w:r>
      <w:r>
        <w:rPr>
          <w:rFonts w:hint="eastAsia"/>
          <w:lang w:val="en-US" w:eastAsia="zh-CN"/>
        </w:rPr>
        <w:t>理化指标超标、</w:t>
      </w:r>
      <w:r>
        <w:rPr>
          <w:rFonts w:hint="eastAsia"/>
          <w:lang w:eastAsia="zh-CN"/>
        </w:rPr>
        <w:t>污染物超标、农药残留超标</w:t>
      </w:r>
      <w:r>
        <w:rPr>
          <w:rFonts w:hint="eastAsia"/>
          <w:lang w:val="en-US" w:eastAsia="zh-CN"/>
        </w:rPr>
        <w:t>4</w:t>
      </w:r>
      <w:r>
        <w:t>个方面；其中</w:t>
      </w:r>
      <w:r>
        <w:rPr>
          <w:rFonts w:hint="eastAsia"/>
          <w:lang w:eastAsia="zh-CN"/>
        </w:rPr>
        <w:t>理化指标超标</w:t>
      </w:r>
      <w:r>
        <w:t>问题相对较为突出，占不合格项次的比例为</w:t>
      </w:r>
      <w:r>
        <w:rPr>
          <w:rFonts w:hint="eastAsia"/>
          <w:lang w:val="en-US" w:eastAsia="zh-CN"/>
        </w:rPr>
        <w:t>44.44</w:t>
      </w:r>
      <w:r>
        <w:t>%（详见表</w:t>
      </w:r>
      <w:r>
        <w:rPr>
          <w:rFonts w:hint="eastAsia"/>
          <w:lang w:val="en-US" w:eastAsia="zh-CN"/>
        </w:rPr>
        <w:t>6</w:t>
      </w:r>
      <w:r>
        <w:t>）。</w:t>
      </w:r>
    </w:p>
    <w:p w14:paraId="7A352A41">
      <w:pPr>
        <w:spacing w:before="27"/>
        <w:ind w:left="3576" w:right="0" w:firstLine="0"/>
        <w:jc w:val="both"/>
      </w:pPr>
      <w:r>
        <w:rPr>
          <w:b/>
          <w:sz w:val="28"/>
        </w:rPr>
        <w:t>表</w:t>
      </w:r>
      <w:r>
        <w:rPr>
          <w:rFonts w:hint="eastAsia"/>
          <w:b/>
          <w:sz w:val="28"/>
          <w:lang w:val="en-US" w:eastAsia="zh-CN"/>
        </w:rPr>
        <w:t xml:space="preserve">6 </w:t>
      </w:r>
      <w:r>
        <w:rPr>
          <w:b/>
          <w:sz w:val="28"/>
        </w:rPr>
        <w:t>抽检不合格项目分布表</w:t>
      </w:r>
    </w:p>
    <w:tbl>
      <w:tblPr>
        <w:tblStyle w:val="10"/>
        <w:tblW w:w="949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7"/>
        <w:gridCol w:w="1694"/>
        <w:gridCol w:w="1307"/>
        <w:gridCol w:w="1718"/>
        <w:gridCol w:w="1609"/>
        <w:gridCol w:w="1258"/>
        <w:gridCol w:w="1064"/>
      </w:tblGrid>
      <w:tr w14:paraId="13DAC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6" w:hRule="atLeast"/>
        </w:trPr>
        <w:tc>
          <w:tcPr>
            <w:tcW w:w="847" w:type="dxa"/>
            <w:tcBorders>
              <w:top w:val="single" w:color="000000" w:sz="8" w:space="0"/>
              <w:left w:val="single" w:color="000000" w:sz="8" w:space="0"/>
              <w:bottom w:val="nil"/>
              <w:right w:val="single" w:color="000000" w:sz="8" w:space="0"/>
            </w:tcBorders>
            <w:shd w:val="clear" w:color="auto" w:fill="auto"/>
            <w:noWrap/>
            <w:vAlign w:val="center"/>
          </w:tcPr>
          <w:p w14:paraId="62F41E1D">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694" w:type="dxa"/>
            <w:tcBorders>
              <w:top w:val="single" w:color="000000" w:sz="8" w:space="0"/>
              <w:left w:val="single" w:color="000000" w:sz="8" w:space="0"/>
              <w:bottom w:val="nil"/>
              <w:right w:val="single" w:color="000000" w:sz="8" w:space="0"/>
            </w:tcBorders>
            <w:shd w:val="clear" w:color="auto" w:fill="auto"/>
            <w:vAlign w:val="center"/>
          </w:tcPr>
          <w:p w14:paraId="199FB83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不合格项目类别</w:t>
            </w:r>
          </w:p>
        </w:tc>
        <w:tc>
          <w:tcPr>
            <w:tcW w:w="1307" w:type="dxa"/>
            <w:tcBorders>
              <w:top w:val="single" w:color="000000" w:sz="8" w:space="0"/>
              <w:left w:val="single" w:color="000000" w:sz="8" w:space="0"/>
              <w:bottom w:val="nil"/>
              <w:right w:val="single" w:color="000000" w:sz="8" w:space="0"/>
            </w:tcBorders>
            <w:shd w:val="clear" w:color="auto" w:fill="auto"/>
            <w:noWrap/>
            <w:vAlign w:val="center"/>
          </w:tcPr>
          <w:p w14:paraId="1450151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不合格项次</w:t>
            </w:r>
          </w:p>
        </w:tc>
        <w:tc>
          <w:tcPr>
            <w:tcW w:w="1718" w:type="dxa"/>
            <w:tcBorders>
              <w:top w:val="single" w:color="000000" w:sz="8" w:space="0"/>
              <w:left w:val="single" w:color="000000" w:sz="8" w:space="0"/>
              <w:bottom w:val="nil"/>
              <w:right w:val="single" w:color="000000" w:sz="8" w:space="0"/>
            </w:tcBorders>
            <w:shd w:val="clear" w:color="auto" w:fill="auto"/>
            <w:noWrap/>
            <w:vAlign w:val="center"/>
          </w:tcPr>
          <w:p w14:paraId="21A6797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占总项次百分比</w:t>
            </w:r>
          </w:p>
        </w:tc>
        <w:tc>
          <w:tcPr>
            <w:tcW w:w="1609" w:type="dxa"/>
            <w:tcBorders>
              <w:top w:val="single" w:color="000000" w:sz="8" w:space="0"/>
              <w:left w:val="single" w:color="000000" w:sz="8" w:space="0"/>
              <w:bottom w:val="nil"/>
              <w:right w:val="single" w:color="000000" w:sz="8" w:space="0"/>
            </w:tcBorders>
            <w:shd w:val="clear" w:color="auto" w:fill="auto"/>
            <w:noWrap/>
            <w:vAlign w:val="center"/>
          </w:tcPr>
          <w:p w14:paraId="7BF9ADCE">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食品大类</w:t>
            </w:r>
          </w:p>
        </w:tc>
        <w:tc>
          <w:tcPr>
            <w:tcW w:w="1258" w:type="dxa"/>
            <w:tcBorders>
              <w:top w:val="single" w:color="000000" w:sz="8" w:space="0"/>
              <w:left w:val="single" w:color="000000" w:sz="8" w:space="0"/>
              <w:bottom w:val="nil"/>
              <w:right w:val="single" w:color="000000" w:sz="8" w:space="0"/>
            </w:tcBorders>
            <w:shd w:val="clear" w:color="auto" w:fill="auto"/>
            <w:vAlign w:val="center"/>
          </w:tcPr>
          <w:p w14:paraId="02013D7F">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检验项目</w:t>
            </w:r>
          </w:p>
        </w:tc>
        <w:tc>
          <w:tcPr>
            <w:tcW w:w="1064" w:type="dxa"/>
            <w:tcBorders>
              <w:top w:val="single" w:color="000000" w:sz="8" w:space="0"/>
              <w:left w:val="single" w:color="000000" w:sz="8" w:space="0"/>
              <w:bottom w:val="nil"/>
              <w:right w:val="single" w:color="000000" w:sz="8" w:space="0"/>
            </w:tcBorders>
            <w:shd w:val="clear" w:color="auto" w:fill="auto"/>
            <w:noWrap/>
            <w:vAlign w:val="center"/>
          </w:tcPr>
          <w:p w14:paraId="6C9980E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不合格项次</w:t>
            </w:r>
          </w:p>
        </w:tc>
      </w:tr>
      <w:tr w14:paraId="4CC5C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847" w:type="dxa"/>
            <w:tcBorders>
              <w:top w:val="nil"/>
              <w:left w:val="single" w:color="000000" w:sz="4" w:space="0"/>
              <w:bottom w:val="single" w:color="000000" w:sz="4" w:space="0"/>
              <w:right w:val="single" w:color="000000" w:sz="4" w:space="0"/>
            </w:tcBorders>
            <w:shd w:val="clear" w:color="auto" w:fill="auto"/>
            <w:vAlign w:val="center"/>
          </w:tcPr>
          <w:p w14:paraId="19BB473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694" w:type="dxa"/>
            <w:tcBorders>
              <w:top w:val="nil"/>
              <w:left w:val="single" w:color="000000" w:sz="4" w:space="0"/>
              <w:bottom w:val="single" w:color="000000" w:sz="4" w:space="0"/>
              <w:right w:val="single" w:color="000000" w:sz="4" w:space="0"/>
            </w:tcBorders>
            <w:shd w:val="clear" w:color="auto" w:fill="auto"/>
            <w:vAlign w:val="center"/>
          </w:tcPr>
          <w:p w14:paraId="12B1E6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理化指标超标</w:t>
            </w:r>
          </w:p>
        </w:tc>
        <w:tc>
          <w:tcPr>
            <w:tcW w:w="1307" w:type="dxa"/>
            <w:tcBorders>
              <w:top w:val="nil"/>
              <w:left w:val="single" w:color="000000" w:sz="4" w:space="0"/>
              <w:bottom w:val="single" w:color="000000" w:sz="4" w:space="0"/>
              <w:right w:val="single" w:color="000000" w:sz="4" w:space="0"/>
            </w:tcBorders>
            <w:shd w:val="clear" w:color="auto" w:fill="auto"/>
            <w:vAlign w:val="center"/>
          </w:tcPr>
          <w:p w14:paraId="038CC22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A8F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44.44%</w:t>
            </w:r>
          </w:p>
        </w:tc>
        <w:tc>
          <w:tcPr>
            <w:tcW w:w="1609" w:type="dxa"/>
            <w:tcBorders>
              <w:top w:val="nil"/>
              <w:left w:val="single" w:color="000000" w:sz="4" w:space="0"/>
              <w:bottom w:val="single" w:color="000000" w:sz="4" w:space="0"/>
              <w:right w:val="single" w:color="000000" w:sz="4" w:space="0"/>
            </w:tcBorders>
            <w:shd w:val="clear" w:color="auto" w:fill="auto"/>
            <w:vAlign w:val="center"/>
          </w:tcPr>
          <w:p w14:paraId="39875C5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食用农产品、餐饮食品</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638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阴离子合成洗涤剂、酸价、过氧化值</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A9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r>
      <w:tr w14:paraId="4741D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E30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95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食品添加剂</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229B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11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5.56%</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D00D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蔬菜制品</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404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二氧化硫残留量</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3A0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812A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C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C21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污染物超标</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E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27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22.22%</w:t>
            </w:r>
          </w:p>
        </w:tc>
        <w:tc>
          <w:tcPr>
            <w:tcW w:w="1609" w:type="dxa"/>
            <w:tcBorders>
              <w:top w:val="nil"/>
              <w:left w:val="single" w:color="000000" w:sz="4" w:space="0"/>
              <w:bottom w:val="single" w:color="000000" w:sz="4" w:space="0"/>
              <w:right w:val="single" w:color="000000" w:sz="4" w:space="0"/>
            </w:tcBorders>
            <w:shd w:val="clear" w:color="auto" w:fill="auto"/>
            <w:vAlign w:val="center"/>
          </w:tcPr>
          <w:p w14:paraId="1F2597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食用农产品</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293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铅、镉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95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71B45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323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221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农药残留超标</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2F5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6C6F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27.78%</w:t>
            </w:r>
          </w:p>
        </w:tc>
        <w:tc>
          <w:tcPr>
            <w:tcW w:w="1609" w:type="dxa"/>
            <w:tcBorders>
              <w:top w:val="nil"/>
              <w:left w:val="single" w:color="000000" w:sz="4" w:space="0"/>
              <w:bottom w:val="single" w:color="000000" w:sz="4" w:space="0"/>
              <w:right w:val="single" w:color="000000" w:sz="4" w:space="0"/>
            </w:tcBorders>
            <w:shd w:val="clear" w:color="auto" w:fill="auto"/>
            <w:vAlign w:val="center"/>
          </w:tcPr>
          <w:p w14:paraId="586906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食用农产品</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527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噻虫胺、噻虫嗪、吡虫啉</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DFE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r>
    </w:tbl>
    <w:p w14:paraId="7B0830E9">
      <w:pPr>
        <w:spacing w:before="7"/>
        <w:ind w:right="0"/>
        <w:jc w:val="left"/>
        <w:rPr>
          <w:rFonts w:hint="eastAsia"/>
          <w:b/>
          <w:sz w:val="28"/>
          <w:lang w:val="en-US" w:eastAsia="zh-CN"/>
        </w:rPr>
      </w:pPr>
    </w:p>
    <w:p w14:paraId="5A883882">
      <w:pPr>
        <w:keepNext w:val="0"/>
        <w:keepLines w:val="0"/>
        <w:pageBreakBefore w:val="0"/>
        <w:widowControl w:val="0"/>
        <w:kinsoku/>
        <w:wordWrap/>
        <w:overflowPunct/>
        <w:topLinePunct w:val="0"/>
        <w:autoSpaceDE w:val="0"/>
        <w:autoSpaceDN w:val="0"/>
        <w:bidi w:val="0"/>
        <w:adjustRightInd/>
        <w:snapToGrid/>
        <w:ind w:firstLine="562" w:firstLineChars="200"/>
        <w:textAlignment w:val="auto"/>
        <w:rPr>
          <w:b/>
          <w:sz w:val="28"/>
        </w:rPr>
      </w:pPr>
      <w:r>
        <w:rPr>
          <w:rFonts w:hint="eastAsia"/>
          <w:b/>
          <w:sz w:val="28"/>
          <w:lang w:val="en-US" w:eastAsia="zh-CN"/>
        </w:rPr>
        <w:t>1、理化指标</w:t>
      </w:r>
      <w:r>
        <w:rPr>
          <w:b/>
          <w:sz w:val="28"/>
        </w:rPr>
        <w:t>超标</w:t>
      </w:r>
    </w:p>
    <w:p w14:paraId="510DBB0C">
      <w:pPr>
        <w:pStyle w:val="5"/>
        <w:spacing w:before="186" w:line="360" w:lineRule="auto"/>
        <w:ind w:left="139" w:right="347" w:firstLine="561"/>
        <w:rPr>
          <w:rFonts w:hint="eastAsia"/>
          <w:lang w:eastAsia="zh-CN"/>
        </w:rPr>
      </w:pPr>
      <w:bookmarkStart w:id="24" w:name="    涉及农药残留的项目共1项次，占总不合格项次的3.45%。不合格食品类别为"/>
      <w:bookmarkEnd w:id="24"/>
      <w:r>
        <w:t>涉及</w:t>
      </w:r>
      <w:r>
        <w:rPr>
          <w:rFonts w:hint="eastAsia"/>
          <w:lang w:val="en-US" w:eastAsia="zh-CN"/>
        </w:rPr>
        <w:t>理化指标超标</w:t>
      </w:r>
      <w:r>
        <w:t>的项目共</w:t>
      </w:r>
      <w:r>
        <w:rPr>
          <w:rFonts w:hint="eastAsia"/>
          <w:lang w:val="en-US" w:eastAsia="zh-CN"/>
        </w:rPr>
        <w:t>8</w:t>
      </w:r>
      <w:r>
        <w:t>项次，占总不合格项次的</w:t>
      </w:r>
      <w:r>
        <w:rPr>
          <w:rFonts w:hint="eastAsia"/>
          <w:lang w:val="en-US" w:eastAsia="zh-CN"/>
        </w:rPr>
        <w:t>44.44</w:t>
      </w:r>
      <w:r>
        <w:t>%，</w:t>
      </w:r>
      <w:r>
        <w:rPr>
          <w:rFonts w:hint="eastAsia"/>
          <w:lang w:val="en-US" w:eastAsia="zh-CN"/>
        </w:rPr>
        <w:t>不合格项目为阴离子合成洗涤剂、酸价、过氧化值，</w:t>
      </w:r>
      <w:r>
        <w:t>不合格食品类别为</w:t>
      </w:r>
      <w:r>
        <w:rPr>
          <w:rFonts w:hint="eastAsia"/>
          <w:lang w:val="en-US" w:eastAsia="zh-CN"/>
        </w:rPr>
        <w:t>餐饮食品中的复用餐饮具和食用农产品中的生干籽类</w:t>
      </w:r>
      <w:r>
        <w:rPr>
          <w:rFonts w:hint="eastAsia"/>
          <w:lang w:eastAsia="zh-CN"/>
        </w:rPr>
        <w:t>。</w:t>
      </w:r>
    </w:p>
    <w:p w14:paraId="5F1B85E5">
      <w:pPr>
        <w:keepNext w:val="0"/>
        <w:keepLines w:val="0"/>
        <w:pageBreakBefore w:val="0"/>
        <w:widowControl w:val="0"/>
        <w:numPr>
          <w:ilvl w:val="0"/>
          <w:numId w:val="0"/>
        </w:numPr>
        <w:kinsoku/>
        <w:wordWrap/>
        <w:overflowPunct/>
        <w:topLinePunct w:val="0"/>
        <w:autoSpaceDE w:val="0"/>
        <w:autoSpaceDN w:val="0"/>
        <w:bidi w:val="0"/>
        <w:adjustRightInd/>
        <w:snapToGrid/>
        <w:spacing w:before="0" w:line="480" w:lineRule="auto"/>
        <w:ind w:left="560" w:leftChars="0" w:right="0" w:rightChars="0"/>
        <w:jc w:val="left"/>
        <w:textAlignment w:val="auto"/>
        <w:outlineLvl w:val="2"/>
        <w:rPr>
          <w:rFonts w:hint="eastAsia"/>
          <w:b/>
          <w:sz w:val="28"/>
          <w:lang w:val="en-US" w:eastAsia="zh-CN"/>
        </w:rPr>
      </w:pPr>
      <w:r>
        <w:rPr>
          <w:rFonts w:hint="eastAsia"/>
          <w:b/>
          <w:sz w:val="28"/>
          <w:lang w:val="en-US" w:eastAsia="zh-CN"/>
        </w:rPr>
        <w:t>2、超范围超限量使用食品添加剂</w:t>
      </w:r>
    </w:p>
    <w:p w14:paraId="08D6CB7C">
      <w:pPr>
        <w:keepNext w:val="0"/>
        <w:keepLines w:val="0"/>
        <w:pageBreakBefore w:val="0"/>
        <w:widowControl w:val="0"/>
        <w:numPr>
          <w:ilvl w:val="0"/>
          <w:numId w:val="0"/>
        </w:numPr>
        <w:kinsoku/>
        <w:wordWrap/>
        <w:overflowPunct/>
        <w:topLinePunct w:val="0"/>
        <w:autoSpaceDE w:val="0"/>
        <w:autoSpaceDN w:val="0"/>
        <w:bidi w:val="0"/>
        <w:adjustRightInd/>
        <w:snapToGrid/>
        <w:spacing w:before="0" w:line="480" w:lineRule="auto"/>
        <w:ind w:right="0" w:rightChars="0" w:firstLine="560" w:firstLineChars="200"/>
        <w:jc w:val="left"/>
        <w:textAlignment w:val="auto"/>
        <w:outlineLvl w:val="2"/>
        <w:rPr>
          <w:rFonts w:hint="eastAsia"/>
          <w:lang w:eastAsia="zh-CN"/>
        </w:rPr>
      </w:pPr>
      <w:r>
        <w:t>涉及</w:t>
      </w:r>
      <w:r>
        <w:rPr>
          <w:rFonts w:hint="eastAsia"/>
          <w:lang w:eastAsia="zh-CN"/>
        </w:rPr>
        <w:t>超范围超限量使用食品添加剂</w:t>
      </w:r>
      <w:r>
        <w:t>项目共</w:t>
      </w:r>
      <w:r>
        <w:rPr>
          <w:rFonts w:hint="eastAsia"/>
          <w:lang w:val="en-US" w:eastAsia="zh-CN"/>
        </w:rPr>
        <w:t>1</w:t>
      </w:r>
      <w:r>
        <w:t>项次</w:t>
      </w:r>
      <w:r>
        <w:rPr>
          <w:rFonts w:hint="eastAsia"/>
          <w:lang w:eastAsia="zh-CN"/>
        </w:rPr>
        <w:t>，占不合格项次的</w:t>
      </w:r>
      <w:r>
        <w:rPr>
          <w:rFonts w:hint="eastAsia"/>
          <w:lang w:val="en-US" w:eastAsia="zh-CN"/>
        </w:rPr>
        <w:t>5.56%，</w:t>
      </w:r>
      <w:r>
        <w:rPr>
          <w:rFonts w:hint="eastAsia"/>
          <w:lang w:eastAsia="zh-CN"/>
        </w:rPr>
        <w:t>其中二氧化硫不合格</w:t>
      </w:r>
      <w:r>
        <w:rPr>
          <w:rFonts w:hint="eastAsia"/>
          <w:lang w:val="en-US" w:eastAsia="zh-CN"/>
        </w:rPr>
        <w:t>1项次，不合格类别为蔬菜制品。</w:t>
      </w:r>
    </w:p>
    <w:p w14:paraId="49D67C9B">
      <w:pPr>
        <w:spacing w:before="7"/>
        <w:ind w:left="700" w:right="0" w:firstLine="0"/>
        <w:jc w:val="left"/>
        <w:outlineLvl w:val="2"/>
        <w:rPr>
          <w:b/>
          <w:sz w:val="28"/>
        </w:rPr>
      </w:pPr>
      <w:r>
        <w:rPr>
          <w:rFonts w:hint="eastAsia"/>
          <w:b/>
          <w:sz w:val="28"/>
          <w:lang w:val="en-US" w:eastAsia="zh-CN"/>
        </w:rPr>
        <w:t>3、</w:t>
      </w:r>
      <w:r>
        <w:rPr>
          <w:b/>
          <w:sz w:val="28"/>
        </w:rPr>
        <w:t>重金属污染超标</w:t>
      </w:r>
    </w:p>
    <w:p w14:paraId="08E84593">
      <w:pPr>
        <w:keepNext w:val="0"/>
        <w:keepLines w:val="0"/>
        <w:pageBreakBefore w:val="0"/>
        <w:widowControl w:val="0"/>
        <w:kinsoku/>
        <w:wordWrap/>
        <w:overflowPunct/>
        <w:topLinePunct w:val="0"/>
        <w:autoSpaceDE w:val="0"/>
        <w:autoSpaceDN w:val="0"/>
        <w:bidi w:val="0"/>
        <w:adjustRightInd/>
        <w:snapToGrid/>
        <w:ind w:firstLine="560" w:firstLineChars="200"/>
        <w:textAlignment w:val="auto"/>
        <w:rPr>
          <w:rFonts w:hint="eastAsia"/>
          <w:b/>
          <w:sz w:val="28"/>
          <w:lang w:val="en-US" w:eastAsia="zh-CN"/>
        </w:rPr>
      </w:pPr>
      <w:r>
        <w:t>涉及重金属污染的项目共</w:t>
      </w:r>
      <w:r>
        <w:rPr>
          <w:rFonts w:hint="eastAsia"/>
          <w:lang w:val="en-US" w:eastAsia="zh-CN"/>
        </w:rPr>
        <w:t>4</w:t>
      </w:r>
      <w:r>
        <w:t>项次，占总不合格项次的</w:t>
      </w:r>
      <w:r>
        <w:rPr>
          <w:rFonts w:hint="eastAsia"/>
          <w:lang w:val="en-US" w:eastAsia="zh-CN"/>
        </w:rPr>
        <w:t>22.22%</w:t>
      </w:r>
      <w:r>
        <w:rPr>
          <w:rFonts w:hint="eastAsia"/>
          <w:lang w:eastAsia="zh-CN"/>
        </w:rPr>
        <w:t>；</w:t>
      </w:r>
      <w:r>
        <w:t>其中铅超标</w:t>
      </w:r>
      <w:r>
        <w:rPr>
          <w:rFonts w:hint="eastAsia"/>
          <w:lang w:val="en-US" w:eastAsia="zh-CN"/>
        </w:rPr>
        <w:t>1</w:t>
      </w:r>
      <w:r>
        <w:t>项次，镉超标</w:t>
      </w:r>
      <w:r>
        <w:rPr>
          <w:rFonts w:hint="eastAsia"/>
          <w:lang w:val="en-US" w:eastAsia="zh-CN"/>
        </w:rPr>
        <w:t>3</w:t>
      </w:r>
      <w:r>
        <w:t>项次，不合格食品类别为食用农产品</w:t>
      </w:r>
      <w:r>
        <w:rPr>
          <w:rFonts w:hint="eastAsia"/>
          <w:lang w:eastAsia="zh-CN"/>
        </w:rPr>
        <w:t>；</w:t>
      </w:r>
      <w:r>
        <w:rPr>
          <w:rFonts w:hint="eastAsia"/>
          <w:lang w:val="en-US" w:eastAsia="zh-CN"/>
        </w:rPr>
        <w:t>食品中的有毒重金属元素，一部分来自于农作物对重金属元素的富集，另一部分则来自于食品生产加工、贮藏运输过程中出现的污染；</w:t>
      </w:r>
    </w:p>
    <w:p w14:paraId="4F70B2C6">
      <w:pPr>
        <w:keepNext w:val="0"/>
        <w:keepLines w:val="0"/>
        <w:pageBreakBefore w:val="0"/>
        <w:widowControl w:val="0"/>
        <w:numPr>
          <w:ilvl w:val="0"/>
          <w:numId w:val="0"/>
        </w:numPr>
        <w:kinsoku/>
        <w:wordWrap/>
        <w:overflowPunct/>
        <w:topLinePunct w:val="0"/>
        <w:autoSpaceDE w:val="0"/>
        <w:autoSpaceDN w:val="0"/>
        <w:bidi w:val="0"/>
        <w:adjustRightInd/>
        <w:snapToGrid/>
        <w:spacing w:before="0" w:line="480" w:lineRule="auto"/>
        <w:ind w:left="560" w:leftChars="0" w:right="0" w:rightChars="0"/>
        <w:jc w:val="left"/>
        <w:textAlignment w:val="auto"/>
        <w:outlineLvl w:val="2"/>
        <w:rPr>
          <w:rFonts w:hint="eastAsia"/>
          <w:b/>
          <w:sz w:val="28"/>
          <w:lang w:val="en-US" w:eastAsia="zh-CN"/>
        </w:rPr>
      </w:pPr>
      <w:r>
        <w:rPr>
          <w:rFonts w:hint="eastAsia"/>
          <w:b/>
          <w:sz w:val="28"/>
          <w:lang w:val="en-US" w:eastAsia="zh-CN"/>
        </w:rPr>
        <w:t>4、</w:t>
      </w:r>
      <w:r>
        <w:rPr>
          <w:b/>
          <w:sz w:val="28"/>
        </w:rPr>
        <w:t>农药残留超标</w:t>
      </w:r>
    </w:p>
    <w:p w14:paraId="424BCB1D">
      <w:pPr>
        <w:keepNext w:val="0"/>
        <w:keepLines w:val="0"/>
        <w:pageBreakBefore w:val="0"/>
        <w:widowControl w:val="0"/>
        <w:numPr>
          <w:ilvl w:val="0"/>
          <w:numId w:val="0"/>
        </w:numPr>
        <w:kinsoku/>
        <w:wordWrap/>
        <w:overflowPunct/>
        <w:topLinePunct w:val="0"/>
        <w:autoSpaceDE w:val="0"/>
        <w:autoSpaceDN w:val="0"/>
        <w:bidi w:val="0"/>
        <w:adjustRightInd/>
        <w:snapToGrid/>
        <w:spacing w:before="0" w:line="480" w:lineRule="auto"/>
        <w:ind w:right="0" w:rightChars="0"/>
        <w:jc w:val="left"/>
        <w:textAlignment w:val="auto"/>
        <w:outlineLvl w:val="2"/>
        <w:rPr>
          <w:rFonts w:hint="eastAsia"/>
          <w:lang w:val="en-US" w:eastAsia="zh-CN"/>
        </w:rPr>
      </w:pPr>
      <w:r>
        <w:rPr>
          <w:rFonts w:hint="eastAsia"/>
          <w:b/>
          <w:sz w:val="28"/>
          <w:lang w:val="en-US" w:eastAsia="zh-CN"/>
        </w:rPr>
        <w:t xml:space="preserve">   </w:t>
      </w:r>
      <w:r>
        <w:rPr>
          <w:rFonts w:hint="eastAsia" w:ascii="仿宋" w:hAnsi="仿宋" w:eastAsia="仿宋" w:cs="仿宋"/>
          <w:sz w:val="28"/>
          <w:szCs w:val="28"/>
          <w:lang w:val="en-US" w:eastAsia="zh-CN" w:bidi="zh-CN"/>
        </w:rPr>
        <w:t xml:space="preserve">  </w:t>
      </w:r>
      <w:r>
        <w:t>涉及农药残留的项目共</w:t>
      </w:r>
      <w:r>
        <w:rPr>
          <w:rFonts w:hint="eastAsia"/>
          <w:lang w:val="en-US" w:eastAsia="zh-CN"/>
        </w:rPr>
        <w:t>5</w:t>
      </w:r>
      <w:r>
        <w:t>项次，占总不合格项次的</w:t>
      </w:r>
      <w:r>
        <w:rPr>
          <w:rFonts w:hint="eastAsia"/>
          <w:lang w:val="en-US" w:eastAsia="zh-CN"/>
        </w:rPr>
        <w:t>27.78</w:t>
      </w:r>
      <w:r>
        <w:t>%</w:t>
      </w:r>
      <w:r>
        <w:rPr>
          <w:rFonts w:hint="eastAsia"/>
          <w:lang w:eastAsia="zh-CN"/>
        </w:rPr>
        <w:t>；</w:t>
      </w:r>
      <w:r>
        <w:t>其中</w:t>
      </w:r>
      <w:r>
        <w:rPr>
          <w:rFonts w:hint="eastAsia"/>
          <w:lang w:val="en-US" w:eastAsia="zh-CN"/>
        </w:rPr>
        <w:t>吡虫啉1批次，噻虫嗪1批次，噻虫胺3批次，不合格食品类别为食用农产品</w:t>
      </w:r>
      <w:r>
        <w:rPr>
          <w:rFonts w:hint="eastAsia"/>
          <w:lang w:eastAsia="zh-CN"/>
        </w:rPr>
        <w:t>；超标原因可能为：</w:t>
      </w:r>
      <w:r>
        <w:rPr>
          <w:rFonts w:hint="eastAsia"/>
          <w:lang w:val="en-US" w:eastAsia="zh-CN"/>
        </w:rPr>
        <w:t>1、不合理使用农药；2、滥用农药；3、随意加大农药使用量；4、没有严格执行农药安全间隔期规定；5、使用国家明令禁止的禁限用农药农药残留超标的原因是农药使用时加大了用药量等。</w:t>
      </w:r>
    </w:p>
    <w:p w14:paraId="7BFBBF70">
      <w:pPr>
        <w:pStyle w:val="2"/>
        <w:bidi w:val="0"/>
        <w:spacing w:line="360" w:lineRule="auto"/>
      </w:pPr>
      <w:bookmarkStart w:id="25" w:name="_Toc24896"/>
      <w:r>
        <w:t>四、下一步工作建议</w:t>
      </w:r>
      <w:bookmarkEnd w:id="25"/>
    </w:p>
    <w:p w14:paraId="67EA0668">
      <w:pPr>
        <w:pStyle w:val="3"/>
        <w:bidi w:val="0"/>
        <w:spacing w:line="360" w:lineRule="auto"/>
        <w:ind w:firstLine="562" w:firstLineChars="200"/>
        <w:rPr>
          <w:b/>
          <w:sz w:val="20"/>
        </w:rPr>
      </w:pPr>
      <w:bookmarkStart w:id="26" w:name="_Toc18107"/>
      <w:r>
        <w:rPr>
          <w:rFonts w:hint="eastAsia"/>
          <w:lang w:eastAsia="zh-CN"/>
        </w:rPr>
        <w:t>（</w:t>
      </w:r>
      <w:r>
        <w:t>一）及时开展核查处置工作</w:t>
      </w:r>
      <w:bookmarkEnd w:id="26"/>
    </w:p>
    <w:p w14:paraId="7F66E5C4">
      <w:pPr>
        <w:pStyle w:val="5"/>
        <w:spacing w:line="360" w:lineRule="auto"/>
        <w:ind w:left="146" w:right="315" w:firstLine="547"/>
        <w:jc w:val="both"/>
        <w:rPr>
          <w:sz w:val="20"/>
        </w:rPr>
      </w:pPr>
      <w:r>
        <w:rPr>
          <w:spacing w:val="-6"/>
        </w:rPr>
        <w:t>对抽检被判不合格的生产、经营企业立即开展核查，凡涉及违反食品安全法律、</w:t>
      </w:r>
      <w:r>
        <w:rPr>
          <w:spacing w:val="-8"/>
        </w:rPr>
        <w:t>法规及食品安全标准的，应严格依照法律、法规的规定进行处罚，并有针对性的开展跟踪、督促生产经营者限期整改，定期开展复查。</w:t>
      </w:r>
    </w:p>
    <w:p w14:paraId="30EDA9AF">
      <w:pPr>
        <w:pStyle w:val="3"/>
        <w:bidi w:val="0"/>
        <w:ind w:firstLine="562" w:firstLineChars="200"/>
        <w:rPr>
          <w:b/>
          <w:sz w:val="20"/>
        </w:rPr>
      </w:pPr>
      <w:bookmarkStart w:id="27" w:name="（二）加强食品流通农产品和餐饮领域监管"/>
      <w:bookmarkEnd w:id="27"/>
      <w:bookmarkStart w:id="28" w:name="_bookmark9"/>
      <w:bookmarkEnd w:id="28"/>
      <w:bookmarkStart w:id="29" w:name="_Toc31478"/>
      <w:r>
        <w:t>（二）加强食品流通农产品和餐饮领域监管</w:t>
      </w:r>
      <w:bookmarkEnd w:id="29"/>
    </w:p>
    <w:p w14:paraId="287F027B">
      <w:pPr>
        <w:pStyle w:val="5"/>
        <w:spacing w:line="360" w:lineRule="auto"/>
        <w:ind w:left="134" w:right="560" w:firstLine="559"/>
        <w:jc w:val="both"/>
        <w:rPr>
          <w:rFonts w:hint="eastAsia" w:eastAsia="仿宋"/>
          <w:lang w:eastAsia="zh-CN"/>
        </w:rPr>
      </w:pPr>
      <w:r>
        <w:t>督促市场开办方加强对市场内经营户管理，落实市场内经营户索证索票，确保抽检不合格的食用农产品能够有效及时溯源。要大力倡导现代流通组织方式和经营方式，大力发展连锁经营和物流配送；要切实落实经销企业进货检查验收、索证索票、购销台账和质量承诺制度；全面落实市场巡查制度，完善食品质量监测制度，严格实行不合格食品的退市、销毁、公布制度，加大对违法经营行为的打击力度，确保流通环节经营秩序规范</w:t>
      </w:r>
      <w:r>
        <w:rPr>
          <w:rFonts w:hint="eastAsia"/>
          <w:lang w:eastAsia="zh-CN"/>
        </w:rPr>
        <w:t>。</w:t>
      </w:r>
    </w:p>
    <w:p w14:paraId="62F86063">
      <w:pPr>
        <w:pStyle w:val="3"/>
        <w:bidi w:val="0"/>
        <w:ind w:firstLine="562" w:firstLineChars="200"/>
      </w:pPr>
      <w:bookmarkStart w:id="30" w:name="（三）加强食品安全宣传和培训教育"/>
      <w:bookmarkEnd w:id="30"/>
      <w:bookmarkStart w:id="31" w:name="_bookmark10"/>
      <w:bookmarkEnd w:id="31"/>
      <w:bookmarkStart w:id="32" w:name="_Toc7221"/>
      <w:r>
        <w:t>（三）加强食品安全宣传和培训教育</w:t>
      </w:r>
      <w:bookmarkEnd w:id="32"/>
    </w:p>
    <w:p w14:paraId="234051BB">
      <w:pPr>
        <w:pStyle w:val="5"/>
        <w:spacing w:line="360" w:lineRule="auto"/>
        <w:ind w:left="134" w:right="565" w:firstLine="559"/>
        <w:jc w:val="both"/>
      </w:pPr>
      <w:r>
        <w:t>采取多种宣传形式，宣传食品安全知识，提高广大食品从业人员及普通人民群众的食品安全意识、维权意识，增强防范能力。加大对食品生产经营业主和从业人员的培训，进一步提高食品生产经营业主的自觉性和自律性，增强企业法人的第一责任意识、法制意识、社会公德意识，把好食品安全“入口关”</w:t>
      </w:r>
      <w:r>
        <w:rPr>
          <w:rFonts w:hint="eastAsia"/>
          <w:lang w:eastAsia="zh-CN"/>
        </w:rPr>
        <w:t>。</w:t>
      </w:r>
      <w:r>
        <w:t>餐饮企业应建立餐饮具清洗消毒制度，加强岗位培训，严格按制度实施清洗消毒，消毒后的餐饮具应有防护措施，防止二次污染。消毒后的餐饮具必须储存在餐具专用保洁柜内备用，已消毒和未消毒的餐饮具应分开存放，并在餐饮储存柜上有明显标记，餐具保洁柜应当定期清洗、保持洁净。</w:t>
      </w:r>
    </w:p>
    <w:p w14:paraId="65EF5D45">
      <w:pPr>
        <w:pStyle w:val="2"/>
        <w:spacing w:before="239" w:line="360" w:lineRule="auto"/>
        <w:ind w:left="847"/>
        <w:rPr>
          <w:b/>
          <w:sz w:val="37"/>
        </w:rPr>
      </w:pPr>
      <w:bookmarkStart w:id="33" w:name="_bookmark11"/>
      <w:bookmarkEnd w:id="33"/>
      <w:bookmarkStart w:id="34" w:name="五、消费指南和风险警示"/>
      <w:bookmarkEnd w:id="34"/>
      <w:bookmarkStart w:id="35" w:name="_Toc31443"/>
      <w:r>
        <w:t>五、消费指南和风险警示</w:t>
      </w:r>
      <w:bookmarkEnd w:id="35"/>
    </w:p>
    <w:p w14:paraId="5B84D5D7">
      <w:pPr>
        <w:pStyle w:val="14"/>
        <w:numPr>
          <w:ilvl w:val="0"/>
          <w:numId w:val="1"/>
        </w:numPr>
        <w:tabs>
          <w:tab w:val="left" w:pos="1268"/>
        </w:tabs>
        <w:spacing w:before="0" w:after="0" w:line="360" w:lineRule="auto"/>
        <w:ind w:left="240" w:right="479" w:firstLine="559"/>
        <w:jc w:val="left"/>
      </w:pPr>
      <w:r>
        <w:rPr>
          <w:spacing w:val="-3"/>
          <w:sz w:val="28"/>
        </w:rPr>
        <w:t>消费者应尽量选择正规商场、超市、农贸市场、批发市场购物，同时注意向经营者索要发票等票据，并保存好以便维权。外出就餐时，要提高健康意识，注意用餐安全：应查看餐饮单位是否持有效《食品经营许可证》或《餐饮服务许可证》，建议选择消毒设施齐全、卫生条件好、食品安全等级较高、实施“明厨亮灶”的餐饮单位，避免在无证餐馆、小店和</w:t>
      </w:r>
      <w:r>
        <w:rPr>
          <w:rFonts w:hint="eastAsia"/>
          <w:spacing w:val="-3"/>
          <w:sz w:val="28"/>
          <w:lang w:eastAsia="zh-CN"/>
        </w:rPr>
        <w:t>路</w:t>
      </w:r>
      <w:r>
        <w:t>边流动摊贩、街边小摊就餐；注意就餐环境，比如店堂是否干净，有没有蚊蝇， 有没有防尘设备，周围环境是否干净，服务人员的外表是否整齐等。</w:t>
      </w:r>
    </w:p>
    <w:p w14:paraId="122D1033">
      <w:pPr>
        <w:pStyle w:val="14"/>
        <w:numPr>
          <w:ilvl w:val="0"/>
          <w:numId w:val="1"/>
        </w:numPr>
        <w:tabs>
          <w:tab w:val="left" w:pos="1268"/>
        </w:tabs>
        <w:spacing w:before="0" w:after="0" w:line="410" w:lineRule="auto"/>
        <w:ind w:left="240" w:right="200" w:firstLine="559"/>
        <w:jc w:val="left"/>
      </w:pPr>
      <w:r>
        <w:rPr>
          <w:spacing w:val="-3"/>
          <w:sz w:val="28"/>
        </w:rPr>
        <w:t>选购食品时尽量选择大品牌，要注意食品标签信息是否齐全，如产品名称、产品标准号、生产日期、保质期、生产者名称和地址、成分或配料表、食品生产</w:t>
      </w:r>
      <w:r>
        <w:rPr>
          <w:spacing w:val="-3"/>
        </w:rPr>
        <w:t>许可证编号、营养标签等标识，不要购买无厂名、厂址、生产日期和保质期的产 品，避免购买过期的食品。同时注意观察包装是否完整，能够看到内容物的食品， 注意从外包装观察食品的色泽、状态。注意分辨掺假掺杂、伪造冒牌产品，注意 分辨霉变、混有异物产品，不要购买感官异常产品。</w:t>
      </w:r>
    </w:p>
    <w:p w14:paraId="66AF8C4C">
      <w:pPr>
        <w:pStyle w:val="14"/>
        <w:numPr>
          <w:ilvl w:val="0"/>
          <w:numId w:val="1"/>
        </w:numPr>
        <w:tabs>
          <w:tab w:val="left" w:pos="1268"/>
        </w:tabs>
        <w:spacing w:before="0" w:after="0" w:line="408" w:lineRule="auto"/>
        <w:ind w:left="240" w:right="107" w:firstLine="559"/>
        <w:jc w:val="left"/>
        <w:rPr>
          <w:sz w:val="28"/>
        </w:rPr>
      </w:pPr>
      <w:r>
        <w:rPr>
          <w:spacing w:val="-3"/>
          <w:sz w:val="28"/>
        </w:rPr>
        <w:t>预包装食品选购时也要注意产品配料和营养成分表。标签上的配料是按用 量从大到小的顺序排列的，消费者可以通过配料表了解产品成分，按国家标准食品 中所使用的所有食品添加剂都必须注明在配料表中。营养成分表是向消费者介绍食品营养信息的说明，主要告诉消费者这个食品里能量、蛋白质、碳水化合物、脂肪、盐等的含量，可根据营养标签的信息选择适合自己的食品。</w:t>
      </w:r>
    </w:p>
    <w:p w14:paraId="00F95916">
      <w:pPr>
        <w:keepNext w:val="0"/>
        <w:keepLines w:val="0"/>
        <w:pageBreakBefore w:val="0"/>
        <w:widowControl w:val="0"/>
        <w:kinsoku/>
        <w:wordWrap/>
        <w:overflowPunct/>
        <w:topLinePunct w:val="0"/>
        <w:autoSpaceDE w:val="0"/>
        <w:autoSpaceDN w:val="0"/>
        <w:bidi w:val="0"/>
        <w:adjustRightInd/>
        <w:snapToGrid/>
        <w:ind w:firstLine="560" w:firstLineChars="200"/>
        <w:jc w:val="right"/>
        <w:textAlignment w:val="auto"/>
        <w:rPr>
          <w:rFonts w:hint="eastAsia"/>
          <w:lang w:val="en-US" w:eastAsia="zh-CN"/>
        </w:rPr>
      </w:pPr>
    </w:p>
    <w:p w14:paraId="3CA9894F">
      <w:pPr>
        <w:keepNext w:val="0"/>
        <w:keepLines w:val="0"/>
        <w:pageBreakBefore w:val="0"/>
        <w:widowControl w:val="0"/>
        <w:kinsoku/>
        <w:wordWrap/>
        <w:overflowPunct/>
        <w:topLinePunct w:val="0"/>
        <w:autoSpaceDE w:val="0"/>
        <w:autoSpaceDN w:val="0"/>
        <w:bidi w:val="0"/>
        <w:adjustRightInd/>
        <w:snapToGrid/>
        <w:ind w:firstLine="560" w:firstLineChars="200"/>
        <w:jc w:val="right"/>
        <w:textAlignment w:val="auto"/>
        <w:rPr>
          <w:rFonts w:hint="eastAsia"/>
          <w:lang w:val="en-US" w:eastAsia="zh-CN"/>
        </w:rPr>
      </w:pPr>
    </w:p>
    <w:p w14:paraId="245DB6C5">
      <w:pPr>
        <w:keepNext w:val="0"/>
        <w:keepLines w:val="0"/>
        <w:pageBreakBefore w:val="0"/>
        <w:widowControl w:val="0"/>
        <w:kinsoku/>
        <w:wordWrap/>
        <w:overflowPunct/>
        <w:topLinePunct w:val="0"/>
        <w:autoSpaceDE w:val="0"/>
        <w:autoSpaceDN w:val="0"/>
        <w:bidi w:val="0"/>
        <w:adjustRightInd/>
        <w:snapToGrid/>
        <w:ind w:firstLine="560" w:firstLineChars="200"/>
        <w:jc w:val="right"/>
        <w:textAlignment w:val="auto"/>
        <w:rPr>
          <w:rFonts w:hint="eastAsia"/>
          <w:lang w:val="en-US" w:eastAsia="zh-CN"/>
        </w:rPr>
      </w:pPr>
    </w:p>
    <w:p w14:paraId="1BA3388E">
      <w:pPr>
        <w:keepNext w:val="0"/>
        <w:keepLines w:val="0"/>
        <w:pageBreakBefore w:val="0"/>
        <w:widowControl w:val="0"/>
        <w:kinsoku/>
        <w:wordWrap/>
        <w:overflowPunct/>
        <w:topLinePunct w:val="0"/>
        <w:autoSpaceDE w:val="0"/>
        <w:autoSpaceDN w:val="0"/>
        <w:bidi w:val="0"/>
        <w:adjustRightInd/>
        <w:snapToGrid/>
        <w:ind w:firstLine="560" w:firstLineChars="200"/>
        <w:jc w:val="right"/>
        <w:textAlignment w:val="auto"/>
        <w:rPr>
          <w:rFonts w:hint="eastAsia"/>
          <w:lang w:val="en-US" w:eastAsia="zh-CN"/>
        </w:rPr>
      </w:pPr>
    </w:p>
    <w:p w14:paraId="01CAB644">
      <w:pPr>
        <w:keepNext w:val="0"/>
        <w:keepLines w:val="0"/>
        <w:pageBreakBefore w:val="0"/>
        <w:widowControl w:val="0"/>
        <w:kinsoku/>
        <w:wordWrap/>
        <w:overflowPunct/>
        <w:topLinePunct w:val="0"/>
        <w:autoSpaceDE w:val="0"/>
        <w:autoSpaceDN w:val="0"/>
        <w:bidi w:val="0"/>
        <w:adjustRightInd/>
        <w:snapToGrid/>
        <w:ind w:firstLine="560" w:firstLineChars="200"/>
        <w:jc w:val="center"/>
        <w:textAlignment w:val="auto"/>
        <w:rPr>
          <w:rFonts w:hint="default"/>
          <w:lang w:val="en-US" w:eastAsia="zh-CN"/>
        </w:rPr>
      </w:pPr>
    </w:p>
    <w:sectPr>
      <w:footerReference r:id="rId7" w:type="default"/>
      <w:pgSz w:w="11906" w:h="16838"/>
      <w:pgMar w:top="1440" w:right="866" w:bottom="1440" w:left="124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04129">
    <w:pPr>
      <w:pStyle w:val="5"/>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D8AA2">
    <w:pPr>
      <w:pStyle w:val="5"/>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7F66CA">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37F66CA">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91816">
    <w:pPr>
      <w:pStyle w:val="5"/>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3763645</wp:posOffset>
              </wp:positionH>
              <wp:positionV relativeFrom="page">
                <wp:posOffset>704850</wp:posOffset>
              </wp:positionV>
              <wp:extent cx="3029585" cy="1397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3029585" cy="139700"/>
                      </a:xfrm>
                      <a:prstGeom prst="rect">
                        <a:avLst/>
                      </a:prstGeom>
                      <a:noFill/>
                      <a:ln>
                        <a:noFill/>
                      </a:ln>
                    </wps:spPr>
                    <wps:txbx>
                      <w:txbxContent>
                        <w:p w14:paraId="39D33B8D">
                          <w:pPr>
                            <w:spacing w:before="0" w:line="220" w:lineRule="exact"/>
                            <w:ind w:right="0"/>
                            <w:jc w:val="left"/>
                            <w:rPr>
                              <w:b/>
                              <w:sz w:val="18"/>
                            </w:rPr>
                          </w:pPr>
                        </w:p>
                      </w:txbxContent>
                    </wps:txbx>
                    <wps:bodyPr lIns="0" tIns="0" rIns="0" bIns="0" upright="1"/>
                  </wps:wsp>
                </a:graphicData>
              </a:graphic>
            </wp:anchor>
          </w:drawing>
        </mc:Choice>
        <mc:Fallback>
          <w:pict>
            <v:shape id="_x0000_s1026" o:spid="_x0000_s1026" o:spt="202" type="#_x0000_t202" style="position:absolute;left:0pt;margin-left:296.35pt;margin-top:55.5pt;height:11pt;width:238.55pt;mso-position-horizontal-relative:page;mso-position-vertical-relative:page;z-index:-251657216;mso-width-relative:page;mso-height-relative:page;" filled="f" stroked="f" coordsize="21600,21600" o:gfxdata="UEsDBAoAAAAAAIdO4kAAAAAAAAAAAAAAAAAEAAAAZHJzL1BLAwQUAAAACACHTuJA4R6wA9kAAAAM&#10;AQAADwAAAGRycy9kb3ducmV2LnhtbE2PzU7DMBCE70i8g7VI3KidVgQS4lQIwQkJkYYDRyfeJlHj&#10;dYjdH96e7YnedjSfZmeK9cmN4oBzGDxpSBYKBFLr7UCdhq/67e4RRIiGrBk9oYZfDLAur68Kk1t/&#10;pAoPm9gJDqGQGw19jFMuZWh7dCYs/ITE3tbPzkSWcyftbI4c7ka5VCqVzgzEH3oz4UuP7W6zdxqe&#10;v6l6HX4+ms9qWw11nSl6T3da394k6glExFP8h+Fcn6tDyZ0avycbxKjhPls+MMpGkvCoM6HSjNc0&#10;fK1WCmRZyMsR5R9QSwMEFAAAAAgAh07iQNj1jWi8AQAAcgMAAA4AAABkcnMvZTJvRG9jLnhtbK1T&#10;S27bMBDdF8gdCO5ryg7iJoLlAIWRoEDRFkh7AJoiLQL8gUNb8gXaG3TVTfc9l8/RIW05n26y6IYa&#10;zYzevPeGWtwO1pCdjKC9a+h0UlEinfCtdpuGfvt69/aaEkjctdx4Jxu6l0BvlxdvFn2o5cx33rQy&#10;EgRxUPehoV1KoWYMRCcth4kP0mFR+Wh5wte4YW3kPaJbw2ZVNWe9j22IXkgAzK6ORXpCjK8B9Epp&#10;IVdebK106YgapeEJJUGnA9BlYauUFOmzUiATMQ1FpamcOATjdT7ZcsHrTeSh0+JEgb+GwgtNlmuH&#10;Q89QK5442Ub9D5TVInrwKk2Et+wopDiCKqbVC28eOh5k0YJWQzibDv8PVnzafYlEtw2dU+K4xYUf&#10;fv44/Ppz+P2dzLM9fYAaux4C9qXhvR/w0ox5wGRWPaho8xP1EKyjufuzuXJIRGDysprdXF1fUSKw&#10;Nr28eVcV99nj1yFCupfekhw0NOLyiqd89xESMsHWsSUPc/5OG1MWaNyzBDbmDMvUjxRzlIb1cNKz&#10;9u0e5ZgPDq3M12IM4hisx2Abot50SKeILpC4ikLmdG3yrp++l8GPv8ry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EesAPZAAAADAEAAA8AAAAAAAAAAQAgAAAAIgAAAGRycy9kb3ducmV2LnhtbFBL&#10;AQIUABQAAAAIAIdO4kDY9Y1ovAEAAHIDAAAOAAAAAAAAAAEAIAAAACgBAABkcnMvZTJvRG9jLnht&#10;bFBLBQYAAAAABgAGAFkBAABWBQAAAAA=&#10;">
              <v:fill on="f" focussize="0,0"/>
              <v:stroke on="f"/>
              <v:imagedata o:title=""/>
              <o:lock v:ext="edit" aspectratio="f"/>
              <v:textbox inset="0mm,0mm,0mm,0mm">
                <w:txbxContent>
                  <w:p w14:paraId="39D33B8D">
                    <w:pPr>
                      <w:spacing w:before="0" w:line="220" w:lineRule="exact"/>
                      <w:ind w:right="0"/>
                      <w:jc w:val="left"/>
                      <w:rPr>
                        <w:b/>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40" w:hanging="468"/>
        <w:jc w:val="left"/>
      </w:pPr>
      <w:rPr>
        <w:rFonts w:hint="default" w:ascii="仿宋" w:hAnsi="仿宋" w:eastAsia="仿宋" w:cs="仿宋"/>
        <w:spacing w:val="0"/>
        <w:w w:val="100"/>
        <w:sz w:val="28"/>
        <w:szCs w:val="28"/>
        <w:lang w:val="zh-CN" w:eastAsia="zh-CN" w:bidi="zh-CN"/>
      </w:rPr>
    </w:lvl>
    <w:lvl w:ilvl="1" w:tentative="0">
      <w:start w:val="0"/>
      <w:numFmt w:val="bullet"/>
      <w:lvlText w:val="•"/>
      <w:lvlJc w:val="left"/>
      <w:pPr>
        <w:ind w:left="1287" w:hanging="468"/>
      </w:pPr>
      <w:rPr>
        <w:rFonts w:hint="default"/>
        <w:lang w:val="zh-CN" w:eastAsia="zh-CN" w:bidi="zh-CN"/>
      </w:rPr>
    </w:lvl>
    <w:lvl w:ilvl="2" w:tentative="0">
      <w:start w:val="0"/>
      <w:numFmt w:val="bullet"/>
      <w:lvlText w:val="•"/>
      <w:lvlJc w:val="left"/>
      <w:pPr>
        <w:ind w:left="2334" w:hanging="468"/>
      </w:pPr>
      <w:rPr>
        <w:rFonts w:hint="default"/>
        <w:lang w:val="zh-CN" w:eastAsia="zh-CN" w:bidi="zh-CN"/>
      </w:rPr>
    </w:lvl>
    <w:lvl w:ilvl="3" w:tentative="0">
      <w:start w:val="0"/>
      <w:numFmt w:val="bullet"/>
      <w:lvlText w:val="•"/>
      <w:lvlJc w:val="left"/>
      <w:pPr>
        <w:ind w:left="3381" w:hanging="468"/>
      </w:pPr>
      <w:rPr>
        <w:rFonts w:hint="default"/>
        <w:lang w:val="zh-CN" w:eastAsia="zh-CN" w:bidi="zh-CN"/>
      </w:rPr>
    </w:lvl>
    <w:lvl w:ilvl="4" w:tentative="0">
      <w:start w:val="0"/>
      <w:numFmt w:val="bullet"/>
      <w:lvlText w:val="•"/>
      <w:lvlJc w:val="left"/>
      <w:pPr>
        <w:ind w:left="4428" w:hanging="468"/>
      </w:pPr>
      <w:rPr>
        <w:rFonts w:hint="default"/>
        <w:lang w:val="zh-CN" w:eastAsia="zh-CN" w:bidi="zh-CN"/>
      </w:rPr>
    </w:lvl>
    <w:lvl w:ilvl="5" w:tentative="0">
      <w:start w:val="0"/>
      <w:numFmt w:val="bullet"/>
      <w:lvlText w:val="•"/>
      <w:lvlJc w:val="left"/>
      <w:pPr>
        <w:ind w:left="5475" w:hanging="468"/>
      </w:pPr>
      <w:rPr>
        <w:rFonts w:hint="default"/>
        <w:lang w:val="zh-CN" w:eastAsia="zh-CN" w:bidi="zh-CN"/>
      </w:rPr>
    </w:lvl>
    <w:lvl w:ilvl="6" w:tentative="0">
      <w:start w:val="0"/>
      <w:numFmt w:val="bullet"/>
      <w:lvlText w:val="•"/>
      <w:lvlJc w:val="left"/>
      <w:pPr>
        <w:ind w:left="6522" w:hanging="468"/>
      </w:pPr>
      <w:rPr>
        <w:rFonts w:hint="default"/>
        <w:lang w:val="zh-CN" w:eastAsia="zh-CN" w:bidi="zh-CN"/>
      </w:rPr>
    </w:lvl>
    <w:lvl w:ilvl="7" w:tentative="0">
      <w:start w:val="0"/>
      <w:numFmt w:val="bullet"/>
      <w:lvlText w:val="•"/>
      <w:lvlJc w:val="left"/>
      <w:pPr>
        <w:ind w:left="7569" w:hanging="468"/>
      </w:pPr>
      <w:rPr>
        <w:rFonts w:hint="default"/>
        <w:lang w:val="zh-CN" w:eastAsia="zh-CN" w:bidi="zh-CN"/>
      </w:rPr>
    </w:lvl>
    <w:lvl w:ilvl="8" w:tentative="0">
      <w:start w:val="0"/>
      <w:numFmt w:val="bullet"/>
      <w:lvlText w:val="•"/>
      <w:lvlJc w:val="left"/>
      <w:pPr>
        <w:ind w:left="8616" w:hanging="468"/>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MjI0M2Q2ZWFmYWNiMGQwMmYwZjg5MzBhNzI5ZjQifQ=="/>
  </w:docVars>
  <w:rsids>
    <w:rsidRoot w:val="2D4C3D43"/>
    <w:rsid w:val="0A5E5E12"/>
    <w:rsid w:val="0A7812BB"/>
    <w:rsid w:val="0B02198E"/>
    <w:rsid w:val="0EC03E9F"/>
    <w:rsid w:val="118D786B"/>
    <w:rsid w:val="119C4C35"/>
    <w:rsid w:val="121850A1"/>
    <w:rsid w:val="12AA1929"/>
    <w:rsid w:val="14FE5F5C"/>
    <w:rsid w:val="16823ECC"/>
    <w:rsid w:val="1A16696F"/>
    <w:rsid w:val="1F43738D"/>
    <w:rsid w:val="1FA7780D"/>
    <w:rsid w:val="1FDA1ABA"/>
    <w:rsid w:val="24DE4D77"/>
    <w:rsid w:val="25A11771"/>
    <w:rsid w:val="285C501C"/>
    <w:rsid w:val="28EB2DF5"/>
    <w:rsid w:val="2D4C3D43"/>
    <w:rsid w:val="2F611A30"/>
    <w:rsid w:val="311A1845"/>
    <w:rsid w:val="32F6606D"/>
    <w:rsid w:val="4122636D"/>
    <w:rsid w:val="425E260B"/>
    <w:rsid w:val="42D021E9"/>
    <w:rsid w:val="44C81CBC"/>
    <w:rsid w:val="456C1377"/>
    <w:rsid w:val="496542BC"/>
    <w:rsid w:val="496B7702"/>
    <w:rsid w:val="4B212D52"/>
    <w:rsid w:val="4C575C59"/>
    <w:rsid w:val="4C605A26"/>
    <w:rsid w:val="4C970E98"/>
    <w:rsid w:val="51C628D5"/>
    <w:rsid w:val="53142A66"/>
    <w:rsid w:val="545E66AE"/>
    <w:rsid w:val="547F3CBD"/>
    <w:rsid w:val="59DC652B"/>
    <w:rsid w:val="5A9B3E32"/>
    <w:rsid w:val="632679EE"/>
    <w:rsid w:val="68623516"/>
    <w:rsid w:val="73311008"/>
    <w:rsid w:val="738000EB"/>
    <w:rsid w:val="74950D3A"/>
    <w:rsid w:val="7D6779FA"/>
    <w:rsid w:val="7D8E2D67"/>
    <w:rsid w:val="7F2D7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8"/>
      <w:szCs w:val="22"/>
      <w:lang w:val="zh-CN" w:eastAsia="zh-CN" w:bidi="zh-C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32"/>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b/>
      <w:sz w:val="28"/>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仿宋" w:hAnsi="仿宋" w:eastAsia="仿宋" w:cs="仿宋"/>
      <w:sz w:val="28"/>
      <w:szCs w:val="28"/>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2">
    <w:name w:val="Hyperlink"/>
    <w:basedOn w:val="11"/>
    <w:qFormat/>
    <w:uiPriority w:val="0"/>
    <w:rPr>
      <w:color w:val="0000FF"/>
      <w:u w:val="single"/>
    </w:rPr>
  </w:style>
  <w:style w:type="paragraph" w:customStyle="1" w:styleId="13">
    <w:name w:val="Table Paragraph"/>
    <w:basedOn w:val="1"/>
    <w:qFormat/>
    <w:uiPriority w:val="1"/>
    <w:pPr>
      <w:jc w:val="center"/>
    </w:pPr>
    <w:rPr>
      <w:rFonts w:ascii="仿宋" w:hAnsi="仿宋" w:eastAsia="仿宋" w:cs="仿宋"/>
      <w:lang w:val="zh-CN" w:eastAsia="zh-CN" w:bidi="zh-CN"/>
    </w:rPr>
  </w:style>
  <w:style w:type="paragraph" w:styleId="14">
    <w:name w:val="List Paragraph"/>
    <w:basedOn w:val="1"/>
    <w:qFormat/>
    <w:uiPriority w:val="1"/>
    <w:pPr>
      <w:ind w:left="240" w:right="479" w:firstLine="559"/>
    </w:pPr>
    <w:rPr>
      <w:rFonts w:ascii="仿宋" w:hAnsi="仿宋" w:eastAsia="仿宋" w:cs="仿宋"/>
      <w:lang w:val="zh-CN" w:eastAsia="zh-CN" w:bidi="zh-CN"/>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paragraph" w:customStyle="1" w:styleId="16">
    <w:name w:val="WPSOffice手动目录 2"/>
    <w:qFormat/>
    <w:uiPriority w:val="0"/>
    <w:pPr>
      <w:ind w:leftChars="200"/>
    </w:pPr>
    <w:rPr>
      <w:rFonts w:ascii="Times New Roman" w:hAnsi="Times New Roman" w:eastAsia="宋体" w:cs="Times New Roman"/>
      <w:sz w:val="20"/>
      <w:szCs w:val="20"/>
    </w:rPr>
  </w:style>
  <w:style w:type="paragraph" w:customStyle="1" w:styleId="17">
    <w:name w:val="WPSOffice手动目录 3"/>
    <w:qFormat/>
    <w:uiPriority w:val="0"/>
    <w:pPr>
      <w:ind w:leftChars="400"/>
    </w:pPr>
    <w:rPr>
      <w:rFonts w:ascii="Times New Roman" w:hAnsi="Times New Roman" w:eastAsia="宋体" w:cs="Times New Roman"/>
      <w:sz w:val="20"/>
      <w:szCs w:val="20"/>
    </w:rPr>
  </w:style>
  <w:style w:type="character" w:customStyle="1" w:styleId="18">
    <w:name w:val="font51"/>
    <w:basedOn w:val="11"/>
    <w:qFormat/>
    <w:uiPriority w:val="0"/>
    <w:rPr>
      <w:rFonts w:hint="default" w:ascii="Times New Roman" w:hAnsi="Times New Roman" w:cs="Times New Roman"/>
      <w:color w:val="000000"/>
      <w:sz w:val="22"/>
      <w:szCs w:val="22"/>
      <w:u w:val="none"/>
    </w:rPr>
  </w:style>
  <w:style w:type="character" w:customStyle="1" w:styleId="19">
    <w:name w:val="font41"/>
    <w:basedOn w:val="11"/>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Users\Desktop\2024&#24180;&#39640;&#26032;&#21306;&#25209;&#27425;&#24635;&#32467;&#25253;&#21578;&#29992;&#25968;&#2545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Users\Desktop\2024&#24180;&#39640;&#26032;&#21306;&#25209;&#27425;&#24635;&#32467;&#25253;&#21578;&#29992;&#25968;&#2545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Users\Desktop\2024&#24180;&#39640;&#26032;&#21306;&#25209;&#27425;&#24635;&#32467;&#25253;&#21578;&#29992;&#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68714231209462"/>
          <c:y val="0.120350820204645"/>
          <c:w val="0.868027470431133"/>
          <c:h val="0.516550267987656"/>
        </c:manualLayout>
      </c:layout>
      <c:barChart>
        <c:barDir val="col"/>
        <c:grouping val="clustered"/>
        <c:varyColors val="0"/>
        <c:ser>
          <c:idx val="1"/>
          <c:order val="1"/>
          <c:tx>
            <c:strRef>
              <c:f>[2024年高新区批次总结报告用数据.xlsx]表3!$H$2</c:f>
              <c:strCache>
                <c:ptCount val="1"/>
                <c:pt idx="0">
                  <c:v>抽检占比（%）</c:v>
                </c:pt>
              </c:strCache>
            </c:strRef>
          </c:tx>
          <c:spPr>
            <a:solidFill>
              <a:schemeClr val="accent5"/>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[2024年高新区批次总结报告用数据.xlsx]表3!$B$3:$B$29</c:f>
              <c:strCache>
                <c:ptCount val="27"/>
                <c:pt idx="0">
                  <c:v>保健食品</c:v>
                </c:pt>
                <c:pt idx="1">
                  <c:v>饼干</c:v>
                </c:pt>
                <c:pt idx="2">
                  <c:v>餐饮食品</c:v>
                </c:pt>
                <c:pt idx="3">
                  <c:v>炒货食品及坚果制品</c:v>
                </c:pt>
                <c:pt idx="4">
                  <c:v>蛋制品</c:v>
                </c:pt>
                <c:pt idx="5">
                  <c:v>淀粉及淀粉制品</c:v>
                </c:pt>
                <c:pt idx="6">
                  <c:v>调味品</c:v>
                </c:pt>
                <c:pt idx="7">
                  <c:v>豆制品</c:v>
                </c:pt>
                <c:pt idx="8">
                  <c:v>方便食品</c:v>
                </c:pt>
                <c:pt idx="9">
                  <c:v>糕点</c:v>
                </c:pt>
                <c:pt idx="10">
                  <c:v>罐头</c:v>
                </c:pt>
                <c:pt idx="11">
                  <c:v>酒类</c:v>
                </c:pt>
                <c:pt idx="12">
                  <c:v>可可及焙烤咖啡产品</c:v>
                </c:pt>
                <c:pt idx="13">
                  <c:v>粮食加工品</c:v>
                </c:pt>
                <c:pt idx="14">
                  <c:v>肉制品</c:v>
                </c:pt>
                <c:pt idx="15">
                  <c:v>乳制品</c:v>
                </c:pt>
                <c:pt idx="16">
                  <c:v>食糖</c:v>
                </c:pt>
                <c:pt idx="17">
                  <c:v>食用农产品</c:v>
                </c:pt>
                <c:pt idx="18">
                  <c:v>食用油、油脂及其制品</c:v>
                </c:pt>
                <c:pt idx="19">
                  <c:v>薯类和膨化食品</c:v>
                </c:pt>
                <c:pt idx="20">
                  <c:v>水产制品</c:v>
                </c:pt>
                <c:pt idx="21">
                  <c:v>水果制品</c:v>
                </c:pt>
                <c:pt idx="22">
                  <c:v>速冻食品</c:v>
                </c:pt>
                <c:pt idx="23">
                  <c:v>糖果制品</c:v>
                </c:pt>
                <c:pt idx="24">
                  <c:v>特殊膳食食品</c:v>
                </c:pt>
                <c:pt idx="25">
                  <c:v>饮料</c:v>
                </c:pt>
                <c:pt idx="26">
                  <c:v>蔬菜制品</c:v>
                </c:pt>
              </c:strCache>
            </c:strRef>
          </c:cat>
          <c:val>
            <c:numRef>
              <c:f>[2024年高新区批次总结报告用数据.xlsx]表3!$H$3:$H$29</c:f>
              <c:numCache>
                <c:formatCode>0.00_ </c:formatCode>
                <c:ptCount val="27"/>
                <c:pt idx="0">
                  <c:v>0.298507462686567</c:v>
                </c:pt>
                <c:pt idx="1">
                  <c:v>1.49253731343284</c:v>
                </c:pt>
                <c:pt idx="2">
                  <c:v>4.77611940298508</c:v>
                </c:pt>
                <c:pt idx="3">
                  <c:v>1.7910447761194</c:v>
                </c:pt>
                <c:pt idx="4">
                  <c:v>0.298507462686567</c:v>
                </c:pt>
                <c:pt idx="5">
                  <c:v>2.08955223880597</c:v>
                </c:pt>
                <c:pt idx="6">
                  <c:v>3.58208955223881</c:v>
                </c:pt>
                <c:pt idx="7">
                  <c:v>1.19402985074627</c:v>
                </c:pt>
                <c:pt idx="8">
                  <c:v>1.49253731343284</c:v>
                </c:pt>
                <c:pt idx="9">
                  <c:v>2.6865671641791</c:v>
                </c:pt>
                <c:pt idx="10">
                  <c:v>0.895522388059702</c:v>
                </c:pt>
                <c:pt idx="11">
                  <c:v>1.19402985074627</c:v>
                </c:pt>
                <c:pt idx="12">
                  <c:v>0.298507462686567</c:v>
                </c:pt>
                <c:pt idx="13">
                  <c:v>3.28358208955224</c:v>
                </c:pt>
                <c:pt idx="14">
                  <c:v>0.895522388059702</c:v>
                </c:pt>
                <c:pt idx="15">
                  <c:v>1.49253731343284</c:v>
                </c:pt>
                <c:pt idx="16">
                  <c:v>0.298507462686567</c:v>
                </c:pt>
                <c:pt idx="17">
                  <c:v>56.4179104477612</c:v>
                </c:pt>
                <c:pt idx="18">
                  <c:v>1.19402985074627</c:v>
                </c:pt>
                <c:pt idx="19">
                  <c:v>0.597014925373134</c:v>
                </c:pt>
                <c:pt idx="20">
                  <c:v>1.49253731343284</c:v>
                </c:pt>
                <c:pt idx="21">
                  <c:v>3.88059701492537</c:v>
                </c:pt>
                <c:pt idx="22">
                  <c:v>0.895522388059702</c:v>
                </c:pt>
                <c:pt idx="23">
                  <c:v>1.49253731343284</c:v>
                </c:pt>
                <c:pt idx="24">
                  <c:v>0.298507462686567</c:v>
                </c:pt>
                <c:pt idx="25">
                  <c:v>1.49253731343284</c:v>
                </c:pt>
                <c:pt idx="26">
                  <c:v>4.17910447761194</c:v>
                </c:pt>
              </c:numCache>
            </c:numRef>
          </c:val>
        </c:ser>
        <c:dLbls>
          <c:showLegendKey val="0"/>
          <c:showVal val="1"/>
          <c:showCatName val="0"/>
          <c:showSerName val="0"/>
          <c:showPercent val="0"/>
          <c:showBubbleSize val="0"/>
        </c:dLbls>
        <c:gapWidth val="150"/>
        <c:axId val="704553880"/>
        <c:axId val="643420107"/>
      </c:barChart>
      <c:lineChart>
        <c:grouping val="standard"/>
        <c:varyColors val="0"/>
        <c:ser>
          <c:idx val="0"/>
          <c:order val="0"/>
          <c:tx>
            <c:strRef>
              <c:f>[2024年高新区批次总结报告用数据.xlsx]表3!$F$2</c:f>
              <c:strCache>
                <c:ptCount val="1"/>
                <c:pt idx="0">
                  <c:v>合格率（%）</c:v>
                </c:pt>
              </c:strCache>
            </c:strRef>
          </c:tx>
          <c:spPr>
            <a:ln w="28575" cap="rnd">
              <a:solidFill>
                <a:schemeClr val="accent6"/>
              </a:solidFill>
              <a:round/>
            </a:ln>
            <a:effectLst/>
          </c:spPr>
          <c:marker>
            <c:symbol val="none"/>
          </c:marker>
          <c:dPt>
            <c:idx val="11"/>
            <c:marker>
              <c:symbol val="none"/>
            </c:marker>
            <c:bubble3D val="0"/>
            <c:spPr>
              <a:ln w="28575" cap="rnd">
                <a:solidFill>
                  <a:schemeClr val="accent6"/>
                </a:solidFill>
                <a:round/>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[2024年高新区批次总结报告用数据.xlsx]表3!$B$3:$B$29</c:f>
              <c:strCache>
                <c:ptCount val="27"/>
                <c:pt idx="0">
                  <c:v>保健食品</c:v>
                </c:pt>
                <c:pt idx="1">
                  <c:v>饼干</c:v>
                </c:pt>
                <c:pt idx="2">
                  <c:v>餐饮食品</c:v>
                </c:pt>
                <c:pt idx="3">
                  <c:v>炒货食品及坚果制品</c:v>
                </c:pt>
                <c:pt idx="4">
                  <c:v>蛋制品</c:v>
                </c:pt>
                <c:pt idx="5">
                  <c:v>淀粉及淀粉制品</c:v>
                </c:pt>
                <c:pt idx="6">
                  <c:v>调味品</c:v>
                </c:pt>
                <c:pt idx="7">
                  <c:v>豆制品</c:v>
                </c:pt>
                <c:pt idx="8">
                  <c:v>方便食品</c:v>
                </c:pt>
                <c:pt idx="9">
                  <c:v>糕点</c:v>
                </c:pt>
                <c:pt idx="10">
                  <c:v>罐头</c:v>
                </c:pt>
                <c:pt idx="11">
                  <c:v>酒类</c:v>
                </c:pt>
                <c:pt idx="12">
                  <c:v>可可及焙烤咖啡产品</c:v>
                </c:pt>
                <c:pt idx="13">
                  <c:v>粮食加工品</c:v>
                </c:pt>
                <c:pt idx="14">
                  <c:v>肉制品</c:v>
                </c:pt>
                <c:pt idx="15">
                  <c:v>乳制品</c:v>
                </c:pt>
                <c:pt idx="16">
                  <c:v>食糖</c:v>
                </c:pt>
                <c:pt idx="17">
                  <c:v>食用农产品</c:v>
                </c:pt>
                <c:pt idx="18">
                  <c:v>食用油、油脂及其制品</c:v>
                </c:pt>
                <c:pt idx="19">
                  <c:v>薯类和膨化食品</c:v>
                </c:pt>
                <c:pt idx="20">
                  <c:v>水产制品</c:v>
                </c:pt>
                <c:pt idx="21">
                  <c:v>水果制品</c:v>
                </c:pt>
                <c:pt idx="22">
                  <c:v>速冻食品</c:v>
                </c:pt>
                <c:pt idx="23">
                  <c:v>糖果制品</c:v>
                </c:pt>
                <c:pt idx="24">
                  <c:v>特殊膳食食品</c:v>
                </c:pt>
                <c:pt idx="25">
                  <c:v>饮料</c:v>
                </c:pt>
                <c:pt idx="26">
                  <c:v>蔬菜制品</c:v>
                </c:pt>
              </c:strCache>
            </c:strRef>
          </c:cat>
          <c:val>
            <c:numRef>
              <c:f>[2024年高新区批次总结报告用数据.xlsx]表3!$F$3:$F$29</c:f>
              <c:numCache>
                <c:formatCode>General</c:formatCode>
                <c:ptCount val="27"/>
                <c:pt idx="0">
                  <c:v>100</c:v>
                </c:pt>
                <c:pt idx="1">
                  <c:v>100</c:v>
                </c:pt>
                <c:pt idx="2">
                  <c:v>62.5</c:v>
                </c:pt>
                <c:pt idx="3">
                  <c:v>100</c:v>
                </c:pt>
                <c:pt idx="4">
                  <c:v>100</c:v>
                </c:pt>
                <c:pt idx="5">
                  <c:v>100</c:v>
                </c:pt>
                <c:pt idx="6">
                  <c:v>100</c:v>
                </c:pt>
                <c:pt idx="7">
                  <c:v>100</c:v>
                </c:pt>
                <c:pt idx="8" c:formatCode="#,##0_ ">
                  <c:v>100</c:v>
                </c:pt>
                <c:pt idx="9">
                  <c:v>100</c:v>
                </c:pt>
                <c:pt idx="10">
                  <c:v>100</c:v>
                </c:pt>
                <c:pt idx="11">
                  <c:v>100</c:v>
                </c:pt>
                <c:pt idx="12">
                  <c:v>100</c:v>
                </c:pt>
                <c:pt idx="13">
                  <c:v>100</c:v>
                </c:pt>
                <c:pt idx="14">
                  <c:v>100</c:v>
                </c:pt>
                <c:pt idx="15">
                  <c:v>100</c:v>
                </c:pt>
                <c:pt idx="16">
                  <c:v>100</c:v>
                </c:pt>
                <c:pt idx="17" c:formatCode="0.00_ ">
                  <c:v>95.2380952380952</c:v>
                </c:pt>
                <c:pt idx="18">
                  <c:v>100</c:v>
                </c:pt>
                <c:pt idx="19">
                  <c:v>100</c:v>
                </c:pt>
                <c:pt idx="20">
                  <c:v>100</c:v>
                </c:pt>
                <c:pt idx="21">
                  <c:v>100</c:v>
                </c:pt>
                <c:pt idx="22">
                  <c:v>100</c:v>
                </c:pt>
                <c:pt idx="23">
                  <c:v>100</c:v>
                </c:pt>
                <c:pt idx="24">
                  <c:v>100</c:v>
                </c:pt>
                <c:pt idx="25">
                  <c:v>100</c:v>
                </c:pt>
                <c:pt idx="26" c:formatCode="0.00_ ">
                  <c:v>92.8571428571429</c:v>
                </c:pt>
              </c:numCache>
            </c:numRef>
          </c:val>
          <c:smooth val="0"/>
        </c:ser>
        <c:dLbls>
          <c:showLegendKey val="0"/>
          <c:showVal val="1"/>
          <c:showCatName val="0"/>
          <c:showSerName val="0"/>
          <c:showPercent val="0"/>
          <c:showBubbleSize val="0"/>
        </c:dLbls>
        <c:marker val="0"/>
        <c:smooth val="0"/>
        <c:axId val="704553880"/>
        <c:axId val="643420107"/>
      </c:lineChart>
      <c:catAx>
        <c:axId val="704553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bg1"/>
                </a:solidFill>
                <a:latin typeface="Arial" panose="020B0604020202020204" pitchFamily="7" charset="0"/>
                <a:ea typeface="Arial" panose="020B0604020202020204" pitchFamily="7" charset="0"/>
                <a:cs typeface="Arial" panose="020B0604020202020204" pitchFamily="7" charset="0"/>
                <a:sym typeface="Arial" panose="020B0604020202020204" pitchFamily="7" charset="0"/>
              </a:defRPr>
            </a:pPr>
          </a:p>
        </c:txPr>
        <c:crossAx val="643420107"/>
        <c:crosses val="autoZero"/>
        <c:auto val="1"/>
        <c:lblAlgn val="ctr"/>
        <c:lblOffset val="100"/>
        <c:noMultiLvlLbl val="0"/>
      </c:catAx>
      <c:valAx>
        <c:axId val="643420107"/>
        <c:scaling>
          <c:orientation val="minMax"/>
        </c:scaling>
        <c:delete val="0"/>
        <c:axPos val="l"/>
        <c:majorGridlines>
          <c:spPr>
            <a:ln w="3175" cap="flat" cmpd="sng" algn="ctr">
              <a:solidFill>
                <a:schemeClr val="bg1">
                  <a:lumMod val="95000"/>
                  <a:alpha val="33000"/>
                </a:schemeClr>
              </a:solidFill>
              <a:prstDash val="sysDash"/>
              <a:round/>
            </a:ln>
            <a:effectLst/>
          </c:spPr>
        </c:majorGridlines>
        <c:numFmt formatCode="0.00_ "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bg1"/>
                </a:solidFill>
                <a:latin typeface="Arial" panose="020B0604020202020204" pitchFamily="7" charset="0"/>
                <a:ea typeface="Arial" panose="020B0604020202020204" pitchFamily="7" charset="0"/>
                <a:cs typeface="Arial" panose="020B0604020202020204" pitchFamily="7" charset="0"/>
                <a:sym typeface="Arial" panose="020B0604020202020204" pitchFamily="7" charset="0"/>
              </a:defRPr>
            </a:pPr>
          </a:p>
        </c:txPr>
        <c:crossAx val="704553880"/>
        <c:crosses val="autoZero"/>
        <c:crossBetween val="between"/>
      </c:valAx>
      <c:spPr>
        <a:noFill/>
        <a:ln>
          <a:noFill/>
        </a:ln>
        <a:effectLst/>
      </c:spPr>
    </c:plotArea>
    <c:legend>
      <c:legendPos val="t"/>
      <c:layout>
        <c:manualLayout>
          <c:xMode val="edge"/>
          <c:yMode val="edge"/>
          <c:x val="0.332765140421265"/>
          <c:y val="0.0380924437561457"/>
        </c:manualLayou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fa467895-43e6-442d-8772-20fcc5406b65}"/>
      </c:ext>
    </c:extLst>
  </c:chart>
  <c:spPr>
    <a:solidFill>
      <a:srgbClr val="4F81BD">
        <a:lumMod val="40000"/>
        <a:lumOff val="60000"/>
      </a:srgbClr>
    </a:solidFill>
    <a:ln w="317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390565791193"/>
          <c:y val="0.218905656971848"/>
          <c:w val="0.888200705605645"/>
          <c:h val="0.635589856670342"/>
        </c:manualLayout>
      </c:layout>
      <c:areaChart>
        <c:grouping val="standard"/>
        <c:varyColors val="0"/>
        <c:ser>
          <c:idx val="1"/>
          <c:order val="1"/>
          <c:tx>
            <c:strRef>
              <c:f>[2024年高新区批次总结报告用数据.xlsx]表4!$I$2</c:f>
              <c:strCache>
                <c:ptCount val="1"/>
                <c:pt idx="0">
                  <c:v>不合格占比</c:v>
                </c:pt>
              </c:strCache>
            </c:strRef>
          </c:tx>
          <c:spPr>
            <a:solidFill>
              <a:schemeClr val="accent5"/>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[2024年高新区批次总结报告用数据.xlsx]表4!$C$3:$C$17</c:f>
              <c:strCache>
                <c:ptCount val="15"/>
                <c:pt idx="0">
                  <c:v>学校/托幼食堂</c:v>
                </c:pt>
                <c:pt idx="1">
                  <c:v>企事业单位食堂</c:v>
                </c:pt>
                <c:pt idx="2">
                  <c:v>大型餐馆</c:v>
                </c:pt>
                <c:pt idx="3">
                  <c:v>机关食堂</c:v>
                </c:pt>
                <c:pt idx="4">
                  <c:v>超市</c:v>
                </c:pt>
                <c:pt idx="5">
                  <c:v>便利店</c:v>
                </c:pt>
                <c:pt idx="6">
                  <c:v>大型超市</c:v>
                </c:pt>
                <c:pt idx="7">
                  <c:v>母婴用品店</c:v>
                </c:pt>
                <c:pt idx="8">
                  <c:v>其他(副食店)</c:v>
                </c:pt>
                <c:pt idx="9">
                  <c:v>其他(零食店)</c:v>
                </c:pt>
                <c:pt idx="10">
                  <c:v>其他(水果店)</c:v>
                </c:pt>
                <c:pt idx="11">
                  <c:v>小型超市</c:v>
                </c:pt>
                <c:pt idx="12">
                  <c:v>中型超市</c:v>
                </c:pt>
                <c:pt idx="13">
                  <c:v>药店</c:v>
                </c:pt>
                <c:pt idx="14">
                  <c:v>生鲜店</c:v>
                </c:pt>
              </c:strCache>
            </c:strRef>
          </c:cat>
          <c:val>
            <c:numRef>
              <c:f>[2024年高新区批次总结报告用数据.xlsx]表4!$I$3:$I$17</c:f>
              <c:numCache>
                <c:formatCode>0%</c:formatCode>
                <c:ptCount val="15"/>
                <c:pt idx="0">
                  <c:v>0.25</c:v>
                </c:pt>
                <c:pt idx="1">
                  <c:v>0</c:v>
                </c:pt>
                <c:pt idx="2">
                  <c:v>0.375</c:v>
                </c:pt>
                <c:pt idx="3">
                  <c:v>0</c:v>
                </c:pt>
                <c:pt idx="4">
                  <c:v>0.0625</c:v>
                </c:pt>
                <c:pt idx="5">
                  <c:v>0</c:v>
                </c:pt>
                <c:pt idx="6">
                  <c:v>0.0625</c:v>
                </c:pt>
                <c:pt idx="7">
                  <c:v>0</c:v>
                </c:pt>
                <c:pt idx="8">
                  <c:v>0.0625</c:v>
                </c:pt>
                <c:pt idx="9">
                  <c:v>0</c:v>
                </c:pt>
                <c:pt idx="10">
                  <c:v>0</c:v>
                </c:pt>
                <c:pt idx="11">
                  <c:v>0</c:v>
                </c:pt>
                <c:pt idx="12">
                  <c:v>0.0625</c:v>
                </c:pt>
                <c:pt idx="13">
                  <c:v>0</c:v>
                </c:pt>
                <c:pt idx="14">
                  <c:v>0.125</c:v>
                </c:pt>
              </c:numCache>
            </c:numRef>
          </c:val>
        </c:ser>
        <c:dLbls>
          <c:showLegendKey val="0"/>
          <c:showVal val="1"/>
          <c:showCatName val="0"/>
          <c:showSerName val="0"/>
          <c:showPercent val="0"/>
          <c:showBubbleSize val="0"/>
        </c:dLbls>
        <c:axId val="686509717"/>
        <c:axId val="68473120"/>
      </c:areaChart>
      <c:lineChart>
        <c:grouping val="standard"/>
        <c:varyColors val="0"/>
        <c:ser>
          <c:idx val="0"/>
          <c:order val="0"/>
          <c:tx>
            <c:strRef>
              <c:f>[2024年高新区批次总结报告用数据.xlsx]表4!$F$2</c:f>
              <c:strCache>
                <c:ptCount val="1"/>
                <c:pt idx="0">
                  <c:v>合格率</c:v>
                </c:pt>
              </c:strCache>
            </c:strRef>
          </c:tx>
          <c:spPr>
            <a:ln w="28575" cap="rnd">
              <a:solidFill>
                <a:schemeClr val="accent6"/>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[2024年高新区批次总结报告用数据.xlsx]表4!$C$3:$C$17</c:f>
              <c:strCache>
                <c:ptCount val="15"/>
                <c:pt idx="0">
                  <c:v>学校/托幼食堂</c:v>
                </c:pt>
                <c:pt idx="1">
                  <c:v>企事业单位食堂</c:v>
                </c:pt>
                <c:pt idx="2">
                  <c:v>大型餐馆</c:v>
                </c:pt>
                <c:pt idx="3">
                  <c:v>机关食堂</c:v>
                </c:pt>
                <c:pt idx="4">
                  <c:v>超市</c:v>
                </c:pt>
                <c:pt idx="5">
                  <c:v>便利店</c:v>
                </c:pt>
                <c:pt idx="6">
                  <c:v>大型超市</c:v>
                </c:pt>
                <c:pt idx="7">
                  <c:v>母婴用品店</c:v>
                </c:pt>
                <c:pt idx="8">
                  <c:v>其他(副食店)</c:v>
                </c:pt>
                <c:pt idx="9">
                  <c:v>其他(零食店)</c:v>
                </c:pt>
                <c:pt idx="10">
                  <c:v>其他(水果店)</c:v>
                </c:pt>
                <c:pt idx="11">
                  <c:v>小型超市</c:v>
                </c:pt>
                <c:pt idx="12">
                  <c:v>中型超市</c:v>
                </c:pt>
                <c:pt idx="13">
                  <c:v>药店</c:v>
                </c:pt>
                <c:pt idx="14">
                  <c:v>生鲜店</c:v>
                </c:pt>
              </c:strCache>
            </c:strRef>
          </c:cat>
          <c:val>
            <c:numRef>
              <c:f>[2024年高新区批次总结报告用数据.xlsx]表4!$F$3:$F$17</c:f>
              <c:numCache>
                <c:formatCode>0.00%</c:formatCode>
                <c:ptCount val="15"/>
                <c:pt idx="0">
                  <c:v>0.963963963963964</c:v>
                </c:pt>
                <c:pt idx="1">
                  <c:v>1</c:v>
                </c:pt>
                <c:pt idx="2">
                  <c:v>0.5</c:v>
                </c:pt>
                <c:pt idx="3">
                  <c:v>1</c:v>
                </c:pt>
                <c:pt idx="4">
                  <c:v>0.928571428571429</c:v>
                </c:pt>
                <c:pt idx="5">
                  <c:v>1</c:v>
                </c:pt>
                <c:pt idx="6">
                  <c:v>0.9</c:v>
                </c:pt>
                <c:pt idx="7">
                  <c:v>1</c:v>
                </c:pt>
                <c:pt idx="8">
                  <c:v>0.9375</c:v>
                </c:pt>
                <c:pt idx="9">
                  <c:v>1</c:v>
                </c:pt>
                <c:pt idx="10">
                  <c:v>1</c:v>
                </c:pt>
                <c:pt idx="11">
                  <c:v>1</c:v>
                </c:pt>
                <c:pt idx="12">
                  <c:v>0.972972972972973</c:v>
                </c:pt>
                <c:pt idx="13">
                  <c:v>1</c:v>
                </c:pt>
                <c:pt idx="14">
                  <c:v>0.857142857142857</c:v>
                </c:pt>
              </c:numCache>
            </c:numRef>
          </c:val>
          <c:smooth val="0"/>
        </c:ser>
        <c:dLbls>
          <c:showLegendKey val="0"/>
          <c:showVal val="1"/>
          <c:showCatName val="0"/>
          <c:showSerName val="0"/>
          <c:showPercent val="0"/>
          <c:showBubbleSize val="0"/>
        </c:dLbls>
        <c:marker val="0"/>
        <c:smooth val="0"/>
        <c:axId val="686509717"/>
        <c:axId val="68473120"/>
      </c:lineChart>
      <c:catAx>
        <c:axId val="68650971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bg1"/>
                </a:solidFill>
                <a:latin typeface="Arial" panose="020B0604020202020204" pitchFamily="7" charset="0"/>
                <a:ea typeface="Arial" panose="020B0604020202020204" pitchFamily="7" charset="0"/>
                <a:cs typeface="Arial" panose="020B0604020202020204" pitchFamily="7" charset="0"/>
                <a:sym typeface="Arial" panose="020B0604020202020204" pitchFamily="7" charset="0"/>
              </a:defRPr>
            </a:pPr>
          </a:p>
        </c:txPr>
        <c:crossAx val="68473120"/>
        <c:crosses val="autoZero"/>
        <c:auto val="1"/>
        <c:lblAlgn val="ctr"/>
        <c:lblOffset val="100"/>
        <c:noMultiLvlLbl val="0"/>
      </c:catAx>
      <c:valAx>
        <c:axId val="68473120"/>
        <c:scaling>
          <c:orientation val="minMax"/>
        </c:scaling>
        <c:delete val="0"/>
        <c:axPos val="l"/>
        <c:majorGridlines>
          <c:spPr>
            <a:ln w="3175" cap="flat" cmpd="sng" algn="ctr">
              <a:solidFill>
                <a:schemeClr val="bg1">
                  <a:lumMod val="95000"/>
                  <a:alpha val="33000"/>
                </a:schemeClr>
              </a:solidFill>
              <a:prstDash val="sysDash"/>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bg1"/>
                </a:solidFill>
                <a:latin typeface="Arial" panose="020B0604020202020204" pitchFamily="7" charset="0"/>
                <a:ea typeface="Arial" panose="020B0604020202020204" pitchFamily="7" charset="0"/>
                <a:cs typeface="Arial" panose="020B0604020202020204" pitchFamily="7" charset="0"/>
                <a:sym typeface="Arial" panose="020B0604020202020204" pitchFamily="7" charset="0"/>
              </a:defRPr>
            </a:pPr>
          </a:p>
        </c:txPr>
        <c:crossAx val="686509717"/>
        <c:crosses val="autoZero"/>
        <c:crossBetween val="midCat"/>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bg1"/>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extLst>
      <c:ext uri="{0b15fc19-7d7d-44ad-8c2d-2c3a37ce22c3}">
        <chartProps xmlns="https://web.wps.cn/et/2018/main" chartId="{2528328c-4c32-47fe-b88d-f4280c20f4e2}"/>
      </c:ext>
    </c:extLst>
  </c:chart>
  <c:spPr>
    <a:solidFill>
      <a:schemeClr val="tx2">
        <a:lumMod val="40000"/>
        <a:lumOff val="60000"/>
      </a:schemeClr>
    </a:solidFill>
    <a:ln w="317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a:defRPr lang="zh-CN" sz="1400" b="1"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zh-CN" altLang="en-US"/>
              <a:t>图</a:t>
            </a:r>
            <a:r>
              <a:rPr lang="en-US" altLang="zh-CN"/>
              <a:t>3  </a:t>
            </a:r>
            <a:r>
              <a:rPr lang="zh-CN" altLang="en-US"/>
              <a:t>各类农产品抽样情况图</a:t>
            </a:r>
            <a:endParaRPr lang="zh-CN" altLang="en-US"/>
          </a:p>
        </c:rich>
      </c:tx>
      <c:layout>
        <c:manualLayout>
          <c:xMode val="edge"/>
          <c:yMode val="edge"/>
          <c:x val="0.403007446088386"/>
          <c:y val="0.0192523664367078"/>
        </c:manualLayout>
      </c:layout>
      <c:overlay val="0"/>
      <c:spPr>
        <a:noFill/>
        <a:ln>
          <a:noFill/>
        </a:ln>
        <a:effectLst/>
      </c:spPr>
    </c:title>
    <c:autoTitleDeleted val="0"/>
    <c:plotArea>
      <c:layout>
        <c:manualLayout>
          <c:layoutTarget val="inner"/>
          <c:xMode val="edge"/>
          <c:yMode val="edge"/>
          <c:x val="0.0983363471971067"/>
          <c:y val="0.192291666666667"/>
          <c:w val="0.851573236889693"/>
          <c:h val="0.531652777777778"/>
        </c:manualLayout>
      </c:layout>
      <c:barChart>
        <c:barDir val="col"/>
        <c:grouping val="clustered"/>
        <c:varyColors val="0"/>
        <c:ser>
          <c:idx val="0"/>
          <c:order val="0"/>
          <c:tx>
            <c:strRef>
              <c:f>[2024年高新区批次总结报告用数据.xlsx]表5!$Q$57</c:f>
              <c:strCache>
                <c:ptCount val="1"/>
                <c:pt idx="0">
                  <c:v>抽检占比（%）</c:v>
                </c:pt>
              </c:strCache>
            </c:strRef>
          </c:tx>
          <c:spPr>
            <a:solidFill>
              <a:schemeClr val="accent6"/>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[2024年高新区批次总结报告用数据.xlsx]表5!$O$58:$O$78</c:f>
              <c:strCache>
                <c:ptCount val="21"/>
                <c:pt idx="0">
                  <c:v>畜肉</c:v>
                </c:pt>
                <c:pt idx="1">
                  <c:v>豆类蔬菜</c:v>
                </c:pt>
                <c:pt idx="2">
                  <c:v>豆芽</c:v>
                </c:pt>
                <c:pt idx="3">
                  <c:v>根茎类和薯芋类蔬菜</c:v>
                </c:pt>
                <c:pt idx="4">
                  <c:v>瓜类蔬菜</c:v>
                </c:pt>
                <c:pt idx="5">
                  <c:v>鳞茎类蔬菜</c:v>
                </c:pt>
                <c:pt idx="6">
                  <c:v>茄果类蔬菜</c:v>
                </c:pt>
                <c:pt idx="7">
                  <c:v>叶菜类蔬菜</c:v>
                </c:pt>
                <c:pt idx="8">
                  <c:v>芸薹属类蔬菜</c:v>
                </c:pt>
                <c:pt idx="9">
                  <c:v>柑橘类水果</c:v>
                </c:pt>
                <c:pt idx="10">
                  <c:v>热带和亚热带水果</c:v>
                </c:pt>
                <c:pt idx="11">
                  <c:v>核果类水果</c:v>
                </c:pt>
                <c:pt idx="12">
                  <c:v>浆果和其他小型水果</c:v>
                </c:pt>
                <c:pt idx="13">
                  <c:v>仁果类水果</c:v>
                </c:pt>
                <c:pt idx="14">
                  <c:v>淡水产品</c:v>
                </c:pt>
                <c:pt idx="15">
                  <c:v>海水产品</c:v>
                </c:pt>
                <c:pt idx="16">
                  <c:v>禽肉</c:v>
                </c:pt>
                <c:pt idx="17">
                  <c:v>瓜果类水果</c:v>
                </c:pt>
                <c:pt idx="18">
                  <c:v>生干坚果与籽类食品</c:v>
                </c:pt>
                <c:pt idx="19">
                  <c:v>水生类蔬菜</c:v>
                </c:pt>
                <c:pt idx="20">
                  <c:v>鲜蛋</c:v>
                </c:pt>
              </c:strCache>
            </c:strRef>
          </c:cat>
          <c:val>
            <c:numRef>
              <c:f>[2024年高新区批次总结报告用数据.xlsx]表5!$Q$58:$Q$78</c:f>
              <c:numCache>
                <c:formatCode>0.00_ </c:formatCode>
                <c:ptCount val="21"/>
                <c:pt idx="0">
                  <c:v>3.17460317460317</c:v>
                </c:pt>
                <c:pt idx="1">
                  <c:v>1.58730158730159</c:v>
                </c:pt>
                <c:pt idx="2">
                  <c:v>1.58730158730159</c:v>
                </c:pt>
                <c:pt idx="3">
                  <c:v>12.6984126984127</c:v>
                </c:pt>
                <c:pt idx="4">
                  <c:v>6.34920634920635</c:v>
                </c:pt>
                <c:pt idx="5">
                  <c:v>5.29100529100529</c:v>
                </c:pt>
                <c:pt idx="6">
                  <c:v>20.1058201058201</c:v>
                </c:pt>
                <c:pt idx="7">
                  <c:v>8.99470899470899</c:v>
                </c:pt>
                <c:pt idx="8">
                  <c:v>3.7037037037037</c:v>
                </c:pt>
                <c:pt idx="9">
                  <c:v>5.29100529100529</c:v>
                </c:pt>
                <c:pt idx="10">
                  <c:v>6.34920634920635</c:v>
                </c:pt>
                <c:pt idx="11">
                  <c:v>4.23280423280423</c:v>
                </c:pt>
                <c:pt idx="12">
                  <c:v>3.17460317460317</c:v>
                </c:pt>
                <c:pt idx="13">
                  <c:v>6.87830687830688</c:v>
                </c:pt>
                <c:pt idx="14">
                  <c:v>0.529100529100529</c:v>
                </c:pt>
                <c:pt idx="15">
                  <c:v>0.529100529100529</c:v>
                </c:pt>
                <c:pt idx="16">
                  <c:v>2.64550264550265</c:v>
                </c:pt>
                <c:pt idx="17">
                  <c:v>0.529100529100529</c:v>
                </c:pt>
                <c:pt idx="18">
                  <c:v>1.05820105820106</c:v>
                </c:pt>
                <c:pt idx="19">
                  <c:v>1.05820105820106</c:v>
                </c:pt>
                <c:pt idx="20">
                  <c:v>4.23280423280423</c:v>
                </c:pt>
              </c:numCache>
            </c:numRef>
          </c:val>
        </c:ser>
        <c:dLbls>
          <c:showLegendKey val="0"/>
          <c:showVal val="1"/>
          <c:showCatName val="0"/>
          <c:showSerName val="0"/>
          <c:showPercent val="0"/>
          <c:showBubbleSize val="0"/>
        </c:dLbls>
        <c:gapWidth val="150"/>
        <c:axId val="368747799"/>
        <c:axId val="724387838"/>
      </c:barChart>
      <c:scatterChart>
        <c:scatterStyle val="line"/>
        <c:varyColors val="0"/>
        <c:ser>
          <c:idx val="1"/>
          <c:order val="1"/>
          <c:tx>
            <c:strRef>
              <c:f>[2024年高新区批次总结报告用数据.xlsx]表5!$T$57</c:f>
              <c:strCache>
                <c:ptCount val="1"/>
                <c:pt idx="0">
                  <c:v>合格率（%）</c:v>
                </c:pt>
              </c:strCache>
            </c:strRef>
          </c:tx>
          <c:spPr>
            <a:ln w="28575" cap="rnd">
              <a:solidFill>
                <a:schemeClr val="accent5"/>
              </a:solidFill>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xVal>
            <c:strRef>
              <c:f>[2024年高新区批次总结报告用数据.xlsx]表5!$O$58:$O$78</c:f>
              <c:strCache>
                <c:ptCount val="21"/>
                <c:pt idx="0">
                  <c:v>畜肉</c:v>
                </c:pt>
                <c:pt idx="1">
                  <c:v>豆类蔬菜</c:v>
                </c:pt>
                <c:pt idx="2">
                  <c:v>豆芽</c:v>
                </c:pt>
                <c:pt idx="3">
                  <c:v>根茎类和薯芋类蔬菜</c:v>
                </c:pt>
                <c:pt idx="4">
                  <c:v>瓜类蔬菜</c:v>
                </c:pt>
                <c:pt idx="5">
                  <c:v>鳞茎类蔬菜</c:v>
                </c:pt>
                <c:pt idx="6">
                  <c:v>茄果类蔬菜</c:v>
                </c:pt>
                <c:pt idx="7">
                  <c:v>叶菜类蔬菜</c:v>
                </c:pt>
                <c:pt idx="8">
                  <c:v>芸薹属类蔬菜</c:v>
                </c:pt>
                <c:pt idx="9">
                  <c:v>柑橘类水果</c:v>
                </c:pt>
                <c:pt idx="10">
                  <c:v>热带和亚热带水果</c:v>
                </c:pt>
                <c:pt idx="11">
                  <c:v>核果类水果</c:v>
                </c:pt>
                <c:pt idx="12">
                  <c:v>浆果和其他小型水果</c:v>
                </c:pt>
                <c:pt idx="13">
                  <c:v>仁果类水果</c:v>
                </c:pt>
                <c:pt idx="14">
                  <c:v>淡水产品</c:v>
                </c:pt>
                <c:pt idx="15">
                  <c:v>海水产品</c:v>
                </c:pt>
                <c:pt idx="16">
                  <c:v>禽肉</c:v>
                </c:pt>
                <c:pt idx="17">
                  <c:v>瓜果类水果</c:v>
                </c:pt>
                <c:pt idx="18">
                  <c:v>生干坚果与籽类食品</c:v>
                </c:pt>
                <c:pt idx="19">
                  <c:v>水生类蔬菜</c:v>
                </c:pt>
                <c:pt idx="20">
                  <c:v>鲜蛋</c:v>
                </c:pt>
              </c:strCache>
            </c:strRef>
          </c:xVal>
          <c:yVal>
            <c:numRef>
              <c:f>[2024年高新区批次总结报告用数据.xlsx]表5!$T$58:$T$78</c:f>
              <c:numCache>
                <c:formatCode>General</c:formatCode>
                <c:ptCount val="21"/>
                <c:pt idx="0">
                  <c:v>100</c:v>
                </c:pt>
                <c:pt idx="1" c:formatCode="0.00_ ">
                  <c:v>33.3333333333333</c:v>
                </c:pt>
                <c:pt idx="2">
                  <c:v>100</c:v>
                </c:pt>
                <c:pt idx="3" c:formatCode="0.00_ ">
                  <c:v>95.8333333333333</c:v>
                </c:pt>
                <c:pt idx="4">
                  <c:v>100</c:v>
                </c:pt>
                <c:pt idx="5">
                  <c:v>100</c:v>
                </c:pt>
                <c:pt idx="6" c:formatCode="0.00_ ">
                  <c:v>89.4736842105263</c:v>
                </c:pt>
                <c:pt idx="7">
                  <c:v>100</c:v>
                </c:pt>
                <c:pt idx="8">
                  <c:v>100</c:v>
                </c:pt>
                <c:pt idx="9">
                  <c:v>100</c:v>
                </c:pt>
                <c:pt idx="10" c:formatCode="0.00_ ">
                  <c:v>91.6666666666667</c:v>
                </c:pt>
                <c:pt idx="11">
                  <c:v>100</c:v>
                </c:pt>
                <c:pt idx="12">
                  <c:v>100</c:v>
                </c:pt>
                <c:pt idx="13">
                  <c:v>100</c:v>
                </c:pt>
                <c:pt idx="14">
                  <c:v>100</c:v>
                </c:pt>
                <c:pt idx="15">
                  <c:v>100</c:v>
                </c:pt>
                <c:pt idx="16">
                  <c:v>100</c:v>
                </c:pt>
                <c:pt idx="17">
                  <c:v>100</c:v>
                </c:pt>
                <c:pt idx="18">
                  <c:v>50</c:v>
                </c:pt>
                <c:pt idx="19">
                  <c:v>100</c:v>
                </c:pt>
                <c:pt idx="20">
                  <c:v>100</c:v>
                </c:pt>
              </c:numCache>
            </c:numRef>
          </c:yVal>
          <c:smooth val="0"/>
        </c:ser>
        <c:dLbls>
          <c:showLegendKey val="0"/>
          <c:showVal val="1"/>
          <c:showCatName val="0"/>
          <c:showSerName val="0"/>
          <c:showPercent val="0"/>
          <c:showBubbleSize val="0"/>
        </c:dLbls>
        <c:axId val="498343033"/>
        <c:axId val="232135032"/>
      </c:scatterChart>
      <c:catAx>
        <c:axId val="368747799"/>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50000"/>
                    <a:lumOff val="50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24387838"/>
        <c:crosses val="autoZero"/>
        <c:auto val="1"/>
        <c:lblAlgn val="ctr"/>
        <c:lblOffset val="100"/>
        <c:noMultiLvlLbl val="0"/>
      </c:catAx>
      <c:valAx>
        <c:axId val="724387838"/>
        <c:scaling>
          <c:orientation val="minMax"/>
        </c:scaling>
        <c:delete val="0"/>
        <c:axPos val="l"/>
        <c:majorGridlines>
          <c:spPr>
            <a:ln w="3175" cap="flat" cmpd="sng" algn="ctr">
              <a:solidFill>
                <a:srgbClr val="DEDEDE"/>
              </a:solidFill>
              <a:round/>
            </a:ln>
            <a:effectLst/>
          </c:spPr>
        </c:majorGridlines>
        <c:numFmt formatCode="0.00_ "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50000"/>
                    <a:lumOff val="50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368747799"/>
        <c:crosses val="autoZero"/>
        <c:crossBetween val="between"/>
      </c:valAx>
      <c:valAx>
        <c:axId val="498343033"/>
        <c:scaling>
          <c:orientation val="minMax"/>
        </c:scaling>
        <c:delete val="1"/>
        <c:axPos val="t"/>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2135032"/>
        <c:crosses val="max"/>
        <c:crossBetween val="midCat"/>
      </c:valAx>
      <c:valAx>
        <c:axId val="232135032"/>
        <c:scaling>
          <c:orientation val="minMax"/>
        </c:scaling>
        <c:delete val="0"/>
        <c:axPos val="r"/>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98343033"/>
        <c:crosses val="max"/>
        <c:crossBetween val="midCat"/>
      </c:valAx>
      <c:spPr>
        <a:noFill/>
        <a:ln>
          <a:noFill/>
        </a:ln>
        <a:effectLst/>
      </c:spPr>
    </c:plotArea>
    <c:legend>
      <c:legendPos val="r"/>
      <c:layout>
        <c:manualLayout>
          <c:xMode val="edge"/>
          <c:yMode val="edge"/>
          <c:x val="0.683125452799374"/>
          <c:y val="0.10925679440849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b23084b-d99a-490d-b90e-e6fa97cf0e3e}"/>
      </c:ext>
    </c:extLst>
  </c:chart>
  <c:spPr>
    <a:solidFill>
      <a:schemeClr val="accent1">
        <a:lumMod val="20000"/>
        <a:lumOff val="80000"/>
      </a:schemeClr>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1236</Words>
  <Characters>1522</Characters>
  <Lines>0</Lines>
  <Paragraphs>0</Paragraphs>
  <TotalTime>72</TotalTime>
  <ScaleCrop>false</ScaleCrop>
  <LinksUpToDate>false</LinksUpToDate>
  <CharactersWithSpaces>1548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2022-11-24T06:05:00Z</dcterms:created>
  <dc:creator>。。</dc:creator>
  <cp:lastModifiedBy>WPS_1393417083</cp:lastModifiedBy>
  <dcterms:modified xsi:type="dcterms:W3CDTF">2025-06-26T08:16:57Z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A4293B3D238E43239D44B9642FAAF4F6_13</vt:lpwstr>
  </property>
</Properties>
</file>