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F3" w:rsidRPr="008647DB" w:rsidRDefault="00F41CF3" w:rsidP="00F41CF3">
      <w:pPr>
        <w:spacing w:line="4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赫山工信局</w:t>
      </w:r>
      <w:r w:rsidRPr="008647DB">
        <w:rPr>
          <w:rFonts w:ascii="方正小标宋简体" w:eastAsia="方正小标宋简体" w:hAnsi="仿宋" w:hint="eastAsia"/>
          <w:sz w:val="44"/>
          <w:szCs w:val="44"/>
        </w:rPr>
        <w:t>2020年部门预算公开</w:t>
      </w:r>
    </w:p>
    <w:p w:rsidR="00F41CF3" w:rsidRPr="00496AF0" w:rsidRDefault="00F41CF3" w:rsidP="00F41CF3">
      <w:pPr>
        <w:spacing w:line="440" w:lineRule="exact"/>
        <w:rPr>
          <w:rFonts w:ascii="仿宋" w:eastAsia="仿宋" w:hAnsi="仿宋"/>
          <w:sz w:val="28"/>
          <w:szCs w:val="28"/>
        </w:rPr>
      </w:pPr>
      <w:r w:rsidRPr="00496AF0">
        <w:rPr>
          <w:rFonts w:ascii="仿宋" w:eastAsia="仿宋" w:hAnsi="仿宋"/>
          <w:sz w:val="28"/>
          <w:szCs w:val="28"/>
        </w:rPr>
        <w:t xml:space="preserve"> </w:t>
      </w:r>
    </w:p>
    <w:p w:rsidR="00F41CF3" w:rsidRPr="008647DB" w:rsidRDefault="00F41CF3" w:rsidP="00F41CF3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  <w:r w:rsidRPr="008647DB">
        <w:rPr>
          <w:rFonts w:ascii="黑体" w:eastAsia="黑体" w:hAnsi="黑体" w:hint="eastAsia"/>
          <w:sz w:val="28"/>
          <w:szCs w:val="28"/>
        </w:rPr>
        <w:t>目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8647DB">
        <w:rPr>
          <w:rFonts w:ascii="黑体" w:eastAsia="黑体" w:hAnsi="黑体" w:hint="eastAsia"/>
          <w:sz w:val="28"/>
          <w:szCs w:val="28"/>
        </w:rPr>
        <w:t>录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第一部分：单位2020年部门预算说明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一、部门基本情况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1、职能职责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2、机构设置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二、部门预算单位构成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三、部门收支总体情况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四、一般公共预算拨款支出预算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五、其他重要事项的情况说明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六、名词解释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第二部分：2020年部门预算公开的表格情况</w:t>
      </w:r>
    </w:p>
    <w:p w:rsidR="00F41CF3" w:rsidRPr="009B4447" w:rsidRDefault="00F41CF3" w:rsidP="00F41CF3">
      <w:pPr>
        <w:spacing w:line="20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 xml:space="preserve"> 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第一部分：单位2020年部门预算说明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正文.......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第二部分：2020年部门预算公开的表格情况 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1、部门收支总体情况表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2、部门收入总体情况表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3、部门支出总体情况表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4、财政拨款收支总体情况表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5、一般公共预算支出情况表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6、一般公共预算基本支出情况表(纵向)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7、一般公共预算基本支出情况表（横向）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8、政府性基金预算支出情况表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9、一般公共预算“三公”经费支出情况表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10、政府采购预算表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11、部门整体支出绩效目标申报表</w:t>
      </w:r>
    </w:p>
    <w:p w:rsidR="00F41CF3" w:rsidRPr="009B4447" w:rsidRDefault="00F41CF3" w:rsidP="009B4447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12、单位项目支出绩效目标申报表</w:t>
      </w:r>
    </w:p>
    <w:p w:rsidR="00F41CF3" w:rsidRDefault="00F41CF3" w:rsidP="00A43E66">
      <w:pPr>
        <w:widowControl/>
        <w:spacing w:before="100" w:beforeAutospacing="1" w:after="100" w:afterAutospacing="1"/>
        <w:jc w:val="center"/>
        <w:outlineLvl w:val="1"/>
        <w:rPr>
          <w:rFonts w:hint="eastAsia"/>
          <w:b/>
          <w:sz w:val="48"/>
          <w:szCs w:val="48"/>
        </w:rPr>
      </w:pPr>
    </w:p>
    <w:p w:rsidR="00A43E66" w:rsidRPr="00A43E66" w:rsidRDefault="00B3790B" w:rsidP="00A43E66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43E66">
        <w:rPr>
          <w:b/>
          <w:sz w:val="48"/>
          <w:szCs w:val="48"/>
        </w:rPr>
        <w:lastRenderedPageBreak/>
        <w:t>赫山工信局</w:t>
      </w:r>
      <w:r w:rsidR="00E071FC">
        <w:rPr>
          <w:rFonts w:hint="eastAsia"/>
          <w:b/>
          <w:sz w:val="48"/>
          <w:szCs w:val="48"/>
        </w:rPr>
        <w:t>2020</w:t>
      </w:r>
      <w:r w:rsidR="00A43E66" w:rsidRPr="00A43E66">
        <w:rPr>
          <w:rFonts w:hint="eastAsia"/>
          <w:b/>
          <w:sz w:val="48"/>
          <w:szCs w:val="48"/>
        </w:rPr>
        <w:t>年部门预算公开</w:t>
      </w:r>
    </w:p>
    <w:p w:rsidR="00A43E66" w:rsidRPr="001D69BF" w:rsidRDefault="00A43E66" w:rsidP="009B4447">
      <w:pPr>
        <w:spacing w:line="440" w:lineRule="exact"/>
        <w:jc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  <w:r w:rsidRPr="009B4447">
        <w:rPr>
          <w:rFonts w:ascii="黑体" w:eastAsia="黑体" w:hAnsi="黑体" w:hint="eastAsia"/>
          <w:sz w:val="28"/>
          <w:szCs w:val="28"/>
        </w:rPr>
        <w:t>目   录</w:t>
      </w:r>
    </w:p>
    <w:p w:rsidR="00A43E66" w:rsidRPr="009B4447" w:rsidRDefault="00A43E66" w:rsidP="009B4447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9B4447">
        <w:rPr>
          <w:rFonts w:ascii="黑体" w:eastAsia="黑体" w:hAnsi="黑体"/>
          <w:sz w:val="28"/>
          <w:szCs w:val="28"/>
        </w:rPr>
        <w:t>第一部分：</w:t>
      </w:r>
      <w:r w:rsidRPr="009B4447">
        <w:rPr>
          <w:rFonts w:ascii="黑体" w:eastAsia="黑体" w:hAnsi="黑体" w:hint="eastAsia"/>
          <w:sz w:val="28"/>
          <w:szCs w:val="28"/>
        </w:rPr>
        <w:t>单位</w:t>
      </w:r>
      <w:r w:rsidR="00E071FC" w:rsidRPr="009B4447">
        <w:rPr>
          <w:rFonts w:ascii="黑体" w:eastAsia="黑体" w:hAnsi="黑体" w:hint="eastAsia"/>
          <w:sz w:val="28"/>
          <w:szCs w:val="28"/>
        </w:rPr>
        <w:t>2020</w:t>
      </w:r>
      <w:r w:rsidRPr="009B4447">
        <w:rPr>
          <w:rFonts w:ascii="黑体" w:eastAsia="黑体" w:hAnsi="黑体" w:hint="eastAsia"/>
          <w:sz w:val="28"/>
          <w:szCs w:val="28"/>
        </w:rPr>
        <w:t>年部门预算说明</w:t>
      </w:r>
    </w:p>
    <w:p w:rsidR="00F41CF3" w:rsidRDefault="00B3790B" w:rsidP="00B3790B">
      <w:pPr>
        <w:widowControl/>
        <w:spacing w:line="560" w:lineRule="exact"/>
        <w:ind w:firstLineChars="200" w:firstLine="64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一</w:t>
      </w:r>
      <w:r w:rsidR="00210F03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、</w:t>
      </w: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工信局</w:t>
      </w:r>
      <w:r w:rsidR="00F41CF3" w:rsidRPr="00496AF0">
        <w:rPr>
          <w:rFonts w:ascii="仿宋" w:eastAsia="仿宋" w:hAnsi="仿宋" w:hint="eastAsia"/>
          <w:sz w:val="28"/>
          <w:szCs w:val="28"/>
        </w:rPr>
        <w:t>基本情况</w:t>
      </w:r>
    </w:p>
    <w:p w:rsidR="00B3790B" w:rsidRPr="009B4447" w:rsidRDefault="00F41CF3" w:rsidP="00F41C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1.</w:t>
      </w:r>
      <w:r w:rsidR="00B3790B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 </w:t>
      </w:r>
      <w:r w:rsidR="00A43E6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职能职责</w:t>
      </w:r>
    </w:p>
    <w:p w:rsidR="00B3790B" w:rsidRPr="009B4447" w:rsidRDefault="00B3790B" w:rsidP="00B3790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104D1A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赫山区工业和</w:t>
      </w:r>
      <w:r w:rsidRPr="00104D1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信息化局是区人民政府工作部门，主管全区工业和信息化工作，主要职责是拟定并组织实施新型工业化总体规划、产业规划、投资规划；监测分析全区工业经济运行态势，协调解决工业经济运行中存在的突出问题；负责工业和信息化领域的法律法规和规章执行情况的监督检查；推进企业技术进步、技术创新、提升改造传统产业；拟定促进全区非公有制经济和中小企业发展的政策措施，促进中小企业发展；开展能源节约资源、综合利用和清洁生产工作；拟定信息化发展战略、专项规划及相关政策，协调解决重大问题；拟定全区信息安全发展战略、规划，参与处理网络与信息安全的重大事件，协调共用通信网、互联网、广播电视网和其他专用通信网的规划建设；促进软件业和信息服务业的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发展；实施行业管理，开展电力行政执法工作；开展人才开发与培训；负责企业帮扶、搅拌站整治、安全生产、综治维稳等工作；管理二级企事业单位的各项事宜。</w:t>
      </w:r>
    </w:p>
    <w:p w:rsidR="00A43E66" w:rsidRPr="009B4447" w:rsidRDefault="00F41CF3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</w:t>
      </w:r>
      <w:r w:rsidR="00B3790B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、</w:t>
      </w:r>
      <w:r w:rsidR="00A43E6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机构设置</w:t>
      </w:r>
    </w:p>
    <w:p w:rsidR="00B3790B" w:rsidRPr="009B4447" w:rsidRDefault="00B3790B" w:rsidP="00B3790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赫山区工信局一级预算管理的行政单位，内设办公室、人事股、财务审计股、运行监测股（推进新型工业化管理办公室）、投资服务股（招商办）、中小企业股（政务服务股）、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lastRenderedPageBreak/>
        <w:t>信息化推进股（区国防动员委员会信息化办公室）、监察室，下辖14个二级企事业单位，全系统共有干职工2300多人。</w:t>
      </w:r>
    </w:p>
    <w:p w:rsidR="00B311DC" w:rsidRPr="009B4447" w:rsidRDefault="00B3790B" w:rsidP="00B3790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二、部门预算单位构成</w:t>
      </w:r>
    </w:p>
    <w:p w:rsidR="00B3790B" w:rsidRPr="009B4447" w:rsidRDefault="00346EBE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益阳市赫山区工业和信息化局只有本级，没有其他二级预算单位，因此，</w:t>
      </w:r>
      <w:r w:rsidR="00B3790B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纳入</w:t>
      </w:r>
      <w:r w:rsidR="00E071F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</w:t>
      </w:r>
      <w:r w:rsidR="00B3790B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年部门预算编制范围的只有工信局本级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。</w:t>
      </w:r>
    </w:p>
    <w:p w:rsidR="00B3790B" w:rsidRPr="009B4447" w:rsidRDefault="00B3790B" w:rsidP="00210F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三、部门收支总体情况</w:t>
      </w:r>
    </w:p>
    <w:p w:rsidR="00F77D58" w:rsidRPr="009B4447" w:rsidRDefault="00E071FC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</w:t>
      </w:r>
      <w:r w:rsidR="00B3790B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年部门预算包括本级预算和所属单位预算在内的汇总情况，以及对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乡镇街道</w:t>
      </w:r>
      <w:r w:rsidR="00B3790B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转移支付的情况。收入既包括一般公共预算收入、政府性基金收入和国有资本经营预算收入，又包括事业事业单位经营服务等收入；支出既包括保障局机关及局属事业单位基本运行的经费，也包括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局归口管理的运行监测、推新、等专项资金。</w:t>
      </w:r>
    </w:p>
    <w:p w:rsidR="00F77D58" w:rsidRPr="009B4447" w:rsidRDefault="00F77D58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（一）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收入预算，</w:t>
      </w:r>
      <w:r w:rsidR="00E071F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年年初预算数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635</w:t>
      </w:r>
      <w:r w:rsidR="00C702C2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元，其中，一般公共预算拨款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418</w:t>
      </w:r>
      <w:r w:rsidR="00C702C2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元，其他收入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217</w:t>
      </w:r>
      <w:r w:rsidR="00C702C2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元。收入较去年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1005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减少370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</w:t>
      </w:r>
      <w:r w:rsidR="00C702C2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元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。</w:t>
      </w:r>
      <w:r w:rsidR="003F1E7F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主要是因为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商品服务支出</w:t>
      </w:r>
      <w:r w:rsidR="003F1E7F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的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减少</w:t>
      </w:r>
      <w:r w:rsidR="003F1E7F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。</w:t>
      </w:r>
    </w:p>
    <w:p w:rsidR="00130C3E" w:rsidRPr="009B4447" w:rsidRDefault="00F77D58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（二）支出预算，</w:t>
      </w:r>
      <w:r w:rsidR="00E071F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年初预算数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635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万元，其中，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工资福利支出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369</w:t>
      </w:r>
      <w:r w:rsidR="0077169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元，对个人和家庭补助</w:t>
      </w:r>
      <w:r w:rsidR="00346EB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3</w:t>
      </w:r>
      <w:r w:rsidR="0077169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元，商品和服务支出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114</w:t>
      </w:r>
      <w:r w:rsidR="00C702C2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元</w:t>
      </w:r>
      <w:r w:rsidR="00785059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，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项目支出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149</w:t>
      </w:r>
      <w:r w:rsidR="0077169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元。</w:t>
      </w:r>
      <w:r w:rsidR="00785059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支出较去年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减少370</w:t>
      </w:r>
      <w:r w:rsidR="00C702C2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元</w:t>
      </w:r>
      <w:r w:rsidR="00130C3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。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主要是因为商品服务支出的减少</w:t>
      </w:r>
      <w:r w:rsidR="003F1E7F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。</w:t>
      </w:r>
    </w:p>
    <w:p w:rsidR="00130C3E" w:rsidRPr="009B4447" w:rsidRDefault="00130C3E" w:rsidP="00210F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四、一般公共预算拨款支出预算</w:t>
      </w:r>
    </w:p>
    <w:p w:rsidR="00130C3E" w:rsidRPr="009B4447" w:rsidRDefault="00E071FC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</w:t>
      </w:r>
      <w:r w:rsidR="00130C3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年一般公共预算拨款收入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418</w:t>
      </w:r>
      <w:r w:rsidR="00130C3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万元，具体安排情况如下：</w:t>
      </w:r>
    </w:p>
    <w:p w:rsidR="00130C3E" w:rsidRPr="009B4447" w:rsidRDefault="00130C3E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lastRenderedPageBreak/>
        <w:t>（一）基本支出：</w:t>
      </w:r>
      <w:r w:rsidR="00E071F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年年初预算为</w:t>
      </w:r>
      <w:r w:rsidR="00F41CF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269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万元，是指为报账单位机构正常运转、完成日常工作任务而发生的各项支出，包括用于基本工资、津贴补贴等人员经费以及办公费、印刷费、水电费、办公设备购置等日常公用经费。</w:t>
      </w:r>
    </w:p>
    <w:p w:rsidR="00130C3E" w:rsidRPr="009B4447" w:rsidRDefault="00130C3E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（二）项目支出：</w:t>
      </w:r>
      <w:r w:rsidR="00E071F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年年初预算数为</w:t>
      </w:r>
      <w:r w:rsidR="00E071F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149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万元，是指单位为完成特定行政工作任务或事业发展目标而发生的支出，包括有关事业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发展专项、专项业务费、基本建设支出、对市县专项补助等。其中：墙改办定额补助1</w:t>
      </w:r>
      <w:r w:rsidR="00E071F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5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万元，主要用于补助墙改办；信访维稳5万元，主要用于信访维稳；运行监测费15万元，主要用于运行监测；推进新型工业化</w:t>
      </w:r>
      <w:r w:rsidR="00346EB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7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万元，主要用于推进新型工业会</w:t>
      </w:r>
      <w:r w:rsidR="00044D4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；放管服改革补助</w:t>
      </w:r>
      <w:r w:rsidR="00346EB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5</w:t>
      </w:r>
      <w:r w:rsidR="00044D4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2万元，主要用于放管服改革；煤炭留守处补贴</w:t>
      </w:r>
      <w:r w:rsidR="00346EB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5</w:t>
      </w:r>
      <w:r w:rsidR="00E071F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4</w:t>
      </w:r>
      <w:r w:rsidR="00346EB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</w:t>
      </w:r>
      <w:r w:rsidR="00E071F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，主要用于补助煤炭留守处；党建经费1万元</w:t>
      </w:r>
      <w:r w:rsidR="00044D4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，</w:t>
      </w:r>
      <w:r w:rsidR="00E071F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主要用于党建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。</w:t>
      </w:r>
    </w:p>
    <w:p w:rsidR="00F66716" w:rsidRPr="009B4447" w:rsidRDefault="00F66716" w:rsidP="00210F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五、其他重要事项的情况说明</w:t>
      </w:r>
    </w:p>
    <w:p w:rsidR="00F66716" w:rsidRPr="009B4447" w:rsidRDefault="00F66716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1.机关运行经费</w:t>
      </w:r>
    </w:p>
    <w:p w:rsidR="00F66716" w:rsidRPr="009B4447" w:rsidRDefault="00E071FC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年局本级行政事业单位的机关运行经费当年一般公共预算拨款</w:t>
      </w:r>
      <w:r w:rsidR="003F1E7F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24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万元，比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2019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年预算</w:t>
      </w:r>
      <w:r w:rsidR="00346EB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减少</w:t>
      </w:r>
      <w:r w:rsidR="003F1E7F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4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</w:t>
      </w:r>
      <w:r w:rsidR="00346EB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减少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了</w:t>
      </w:r>
      <w:r w:rsidR="003F1E7F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14.2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%。</w:t>
      </w:r>
    </w:p>
    <w:p w:rsidR="005D6270" w:rsidRPr="009B4447" w:rsidRDefault="00F66716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、“三公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”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经费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预算</w:t>
      </w:r>
    </w:p>
    <w:p w:rsidR="005D6270" w:rsidRPr="009B4447" w:rsidRDefault="00E071FC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年，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“三公”经费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预算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数</w:t>
      </w:r>
      <w:r w:rsidR="00044D4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70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万元，其中</w:t>
      </w:r>
      <w:r w:rsidR="00D457A5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公务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接待费</w:t>
      </w:r>
      <w:r w:rsidR="00F66716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70</w:t>
      </w:r>
      <w:r w:rsidR="005D6270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</w:t>
      </w:r>
      <w:r w:rsidR="00D457A5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公务用车购置及运行费</w:t>
      </w:r>
      <w:r w:rsidR="00044D4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0</w:t>
      </w:r>
      <w:r w:rsidR="00D457A5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万元（其中，公务用车运行费</w:t>
      </w:r>
      <w:r w:rsidR="00044D4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0</w:t>
      </w:r>
      <w:r w:rsidR="00D457A5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万元），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</w:t>
      </w:r>
      <w:r w:rsidR="00D457A5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年“三公”经费预算</w:t>
      </w:r>
      <w:r w:rsidR="00346EB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与</w:t>
      </w: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2019</w:t>
      </w:r>
      <w:r w:rsidR="00346EB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持平</w:t>
      </w:r>
      <w:r w:rsidR="00044D4E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。</w:t>
      </w:r>
    </w:p>
    <w:p w:rsidR="00EB6A9C" w:rsidRPr="009B4447" w:rsidRDefault="00EB6A9C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  <w:t>3、政府采购情况</w:t>
      </w:r>
    </w:p>
    <w:p w:rsidR="00EB6A9C" w:rsidRPr="009B4447" w:rsidRDefault="00E071FC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lastRenderedPageBreak/>
        <w:t>2020</w:t>
      </w:r>
      <w:r w:rsidR="00EB6A9C" w:rsidRPr="009B4447"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  <w:t>年财政部各单位政府采购预算总额</w:t>
      </w:r>
      <w:r w:rsidR="00EB6A9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0</w:t>
      </w:r>
      <w:r w:rsidR="00EB6A9C" w:rsidRPr="009B4447"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  <w:t>万元，其中：政府采购货物预算</w:t>
      </w:r>
      <w:r w:rsidR="00EB6A9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0</w:t>
      </w:r>
      <w:r w:rsidR="00EB6A9C" w:rsidRPr="009B4447"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  <w:t>万元、政府采购工程预算</w:t>
      </w:r>
      <w:r w:rsidR="00EB6A9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0</w:t>
      </w:r>
      <w:r w:rsidR="00EB6A9C" w:rsidRPr="009B4447"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  <w:t>万元、政府采购服务预算</w:t>
      </w:r>
      <w:r w:rsidR="00EB6A9C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0</w:t>
      </w:r>
      <w:r w:rsidR="00EB6A9C" w:rsidRPr="009B4447"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  <w:t>万元。</w:t>
      </w:r>
    </w:p>
    <w:p w:rsidR="00E071FC" w:rsidRPr="009B4447" w:rsidRDefault="00E071FC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4.国有资产占用使用情况</w:t>
      </w:r>
    </w:p>
    <w:p w:rsidR="00E071FC" w:rsidRPr="009B4447" w:rsidRDefault="00E071FC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截至2019年12月31日，本部门共有车辆0辆，其中：一般公务用车0辆，一般执法执勤用车0辆，特种专业技术用车0辆，其他用车0辆。单位价值50万元以上通用设备0台 ，单位价值100万元以上专用设备 0台。</w:t>
      </w:r>
    </w:p>
    <w:p w:rsidR="00E071FC" w:rsidRPr="009B4447" w:rsidRDefault="00E071FC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2020年部门预算预计采购车辆0辆，50万元以上通用设备0台 ，单位价值100万元以上专用设备 0台。</w:t>
      </w:r>
    </w:p>
    <w:p w:rsidR="00E071FC" w:rsidRPr="009B4447" w:rsidRDefault="00E071FC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5.预算绩效目标情况</w:t>
      </w:r>
    </w:p>
    <w:p w:rsidR="00E071FC" w:rsidRPr="009B4447" w:rsidRDefault="00E071FC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2020年工信局单位整体支出绩效目标635万元，其中：基本支出486万元，项目支出149万元。全部实行整体支出绩效目标管理，涉及一般公共预算当年拨款418万元。</w:t>
      </w:r>
    </w:p>
    <w:p w:rsidR="00D457A5" w:rsidRPr="009B4447" w:rsidRDefault="00D457A5" w:rsidP="00210F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六、名词解释</w:t>
      </w:r>
    </w:p>
    <w:p w:rsidR="00D457A5" w:rsidRPr="009B4447" w:rsidRDefault="00D457A5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1.机关运行经费：是指各部门的公共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D457A5" w:rsidRDefault="00D457A5" w:rsidP="009B44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2. “三公”经费：纳入</w:t>
      </w:r>
      <w:r w:rsidR="00A15461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省财政预算管理的“三公”经费，是指用一般公共预算拨款安排的公务接待费、公务用车购置及运行维护费和因公出国（境）费。其中，公务接待费反映单位按规定开支的各类公务接待支出；公务用车</w:t>
      </w:r>
      <w:r w:rsidR="00210F0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购置及</w:t>
      </w:r>
      <w:r w:rsidR="00210F03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lastRenderedPageBreak/>
        <w:t>运行费反映单位公务用车车辆购置支出（含车辆购置税），以及燃料费、维修费、保险费等支出；因公出国（境）费反映单位公务出国（境）的国际旅费、国外城市间交通</w:t>
      </w:r>
      <w:r w:rsidR="00210F03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费、食宿费等支出。</w:t>
      </w:r>
    </w:p>
    <w:p w:rsidR="00EB6A9C" w:rsidRPr="009B4447" w:rsidRDefault="00EB6A9C" w:rsidP="009B4447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9B4447">
        <w:rPr>
          <w:rFonts w:ascii="黑体" w:eastAsia="黑体" w:hAnsi="黑体"/>
          <w:sz w:val="28"/>
          <w:szCs w:val="28"/>
        </w:rPr>
        <w:t>第二部分：</w:t>
      </w:r>
      <w:r w:rsidR="00E071FC" w:rsidRPr="009B4447">
        <w:rPr>
          <w:rFonts w:ascii="黑体" w:eastAsia="黑体" w:hAnsi="黑体"/>
          <w:sz w:val="28"/>
          <w:szCs w:val="28"/>
        </w:rPr>
        <w:t>2020</w:t>
      </w:r>
      <w:r w:rsidRPr="009B4447">
        <w:rPr>
          <w:rFonts w:ascii="黑体" w:eastAsia="黑体" w:hAnsi="黑体" w:hint="eastAsia"/>
          <w:sz w:val="28"/>
          <w:szCs w:val="28"/>
        </w:rPr>
        <w:t>年部门预算需公开的表格情况</w:t>
      </w:r>
      <w:r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 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1、部门收支总体情况表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2、部门收入总体情况表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3、部门支出总体情况表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4、财政拨款收支总体情况表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5、一般公共预算支出情况表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6、一般公共预算基本支出情况表(纵向)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7、一般公共预算基本支出情况表（横向）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8、政府性基金预算支出情况表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9、一般公共预算“三公”经费支出情况表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10、政府采购预算表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11、部门整体支出绩效目标申报表</w:t>
      </w:r>
    </w:p>
    <w:p w:rsidR="00E071FC" w:rsidRPr="00E071FC" w:rsidRDefault="00E071FC" w:rsidP="00E071FC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071F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12、单位项目支出绩效目标申报表</w:t>
      </w:r>
    </w:p>
    <w:p w:rsidR="00EB6A9C" w:rsidRPr="00EB6A9C" w:rsidRDefault="00EB6A9C" w:rsidP="005D6270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</w:p>
    <w:p w:rsidR="005D6270" w:rsidRPr="005D6270" w:rsidRDefault="005D6270">
      <w:pPr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</w:p>
    <w:sectPr w:rsidR="005D6270" w:rsidRPr="005D6270" w:rsidSect="00B31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31" w:rsidRDefault="00483031" w:rsidP="00B3790B">
      <w:r>
        <w:separator/>
      </w:r>
    </w:p>
  </w:endnote>
  <w:endnote w:type="continuationSeparator" w:id="0">
    <w:p w:rsidR="00483031" w:rsidRDefault="00483031" w:rsidP="00B3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31" w:rsidRDefault="00483031" w:rsidP="00B3790B">
      <w:r>
        <w:separator/>
      </w:r>
    </w:p>
  </w:footnote>
  <w:footnote w:type="continuationSeparator" w:id="0">
    <w:p w:rsidR="00483031" w:rsidRDefault="00483031" w:rsidP="00B37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155E"/>
    <w:multiLevelType w:val="hybridMultilevel"/>
    <w:tmpl w:val="F724B49E"/>
    <w:lvl w:ilvl="0" w:tplc="11C07870">
      <w:start w:val="1"/>
      <w:numFmt w:val="japaneseCounting"/>
      <w:lvlText w:val="（%1）"/>
      <w:lvlJc w:val="left"/>
      <w:pPr>
        <w:ind w:left="2393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3" w:hanging="420"/>
      </w:pPr>
    </w:lvl>
    <w:lvl w:ilvl="2" w:tplc="0409001B" w:tentative="1">
      <w:start w:val="1"/>
      <w:numFmt w:val="lowerRoman"/>
      <w:lvlText w:val="%3."/>
      <w:lvlJc w:val="right"/>
      <w:pPr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ind w:left="2393" w:hanging="420"/>
      </w:pPr>
    </w:lvl>
    <w:lvl w:ilvl="4" w:tplc="04090019" w:tentative="1">
      <w:start w:val="1"/>
      <w:numFmt w:val="lowerLetter"/>
      <w:lvlText w:val="%5)"/>
      <w:lvlJc w:val="left"/>
      <w:pPr>
        <w:ind w:left="2813" w:hanging="420"/>
      </w:pPr>
    </w:lvl>
    <w:lvl w:ilvl="5" w:tplc="0409001B" w:tentative="1">
      <w:start w:val="1"/>
      <w:numFmt w:val="lowerRoman"/>
      <w:lvlText w:val="%6."/>
      <w:lvlJc w:val="right"/>
      <w:pPr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ind w:left="3653" w:hanging="420"/>
      </w:pPr>
    </w:lvl>
    <w:lvl w:ilvl="7" w:tplc="04090019" w:tentative="1">
      <w:start w:val="1"/>
      <w:numFmt w:val="lowerLetter"/>
      <w:lvlText w:val="%8)"/>
      <w:lvlJc w:val="left"/>
      <w:pPr>
        <w:ind w:left="4073" w:hanging="420"/>
      </w:pPr>
    </w:lvl>
    <w:lvl w:ilvl="8" w:tplc="0409001B" w:tentative="1">
      <w:start w:val="1"/>
      <w:numFmt w:val="lowerRoman"/>
      <w:lvlText w:val="%9."/>
      <w:lvlJc w:val="right"/>
      <w:pPr>
        <w:ind w:left="4493" w:hanging="420"/>
      </w:pPr>
    </w:lvl>
  </w:abstractNum>
  <w:abstractNum w:abstractNumId="1">
    <w:nsid w:val="72352C2D"/>
    <w:multiLevelType w:val="hybridMultilevel"/>
    <w:tmpl w:val="754A2A10"/>
    <w:lvl w:ilvl="0" w:tplc="369A25EE">
      <w:start w:val="1"/>
      <w:numFmt w:val="japaneseCounting"/>
      <w:lvlText w:val="（%1）"/>
      <w:lvlJc w:val="left"/>
      <w:pPr>
        <w:ind w:left="2393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3" w:hanging="420"/>
      </w:pPr>
    </w:lvl>
    <w:lvl w:ilvl="2" w:tplc="0409001B" w:tentative="1">
      <w:start w:val="1"/>
      <w:numFmt w:val="lowerRoman"/>
      <w:lvlText w:val="%3."/>
      <w:lvlJc w:val="right"/>
      <w:pPr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ind w:left="2393" w:hanging="420"/>
      </w:pPr>
    </w:lvl>
    <w:lvl w:ilvl="4" w:tplc="04090019" w:tentative="1">
      <w:start w:val="1"/>
      <w:numFmt w:val="lowerLetter"/>
      <w:lvlText w:val="%5)"/>
      <w:lvlJc w:val="left"/>
      <w:pPr>
        <w:ind w:left="2813" w:hanging="420"/>
      </w:pPr>
    </w:lvl>
    <w:lvl w:ilvl="5" w:tplc="0409001B" w:tentative="1">
      <w:start w:val="1"/>
      <w:numFmt w:val="lowerRoman"/>
      <w:lvlText w:val="%6."/>
      <w:lvlJc w:val="right"/>
      <w:pPr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ind w:left="3653" w:hanging="420"/>
      </w:pPr>
    </w:lvl>
    <w:lvl w:ilvl="7" w:tplc="04090019" w:tentative="1">
      <w:start w:val="1"/>
      <w:numFmt w:val="lowerLetter"/>
      <w:lvlText w:val="%8)"/>
      <w:lvlJc w:val="left"/>
      <w:pPr>
        <w:ind w:left="4073" w:hanging="420"/>
      </w:pPr>
    </w:lvl>
    <w:lvl w:ilvl="8" w:tplc="0409001B" w:tentative="1">
      <w:start w:val="1"/>
      <w:numFmt w:val="lowerRoman"/>
      <w:lvlText w:val="%9."/>
      <w:lvlJc w:val="right"/>
      <w:pPr>
        <w:ind w:left="44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90B"/>
    <w:rsid w:val="00044D4E"/>
    <w:rsid w:val="00057CA0"/>
    <w:rsid w:val="000A0587"/>
    <w:rsid w:val="00102200"/>
    <w:rsid w:val="00130C3E"/>
    <w:rsid w:val="00210F03"/>
    <w:rsid w:val="00346EBE"/>
    <w:rsid w:val="003E32AE"/>
    <w:rsid w:val="003F1E7F"/>
    <w:rsid w:val="00483031"/>
    <w:rsid w:val="005D6270"/>
    <w:rsid w:val="00771696"/>
    <w:rsid w:val="00785059"/>
    <w:rsid w:val="00911847"/>
    <w:rsid w:val="00923768"/>
    <w:rsid w:val="009B4447"/>
    <w:rsid w:val="00A15461"/>
    <w:rsid w:val="00A43E66"/>
    <w:rsid w:val="00B311DC"/>
    <w:rsid w:val="00B3790B"/>
    <w:rsid w:val="00C375F9"/>
    <w:rsid w:val="00C702C2"/>
    <w:rsid w:val="00C9625F"/>
    <w:rsid w:val="00D14C7C"/>
    <w:rsid w:val="00D246CD"/>
    <w:rsid w:val="00D34B99"/>
    <w:rsid w:val="00D457A5"/>
    <w:rsid w:val="00DF64A3"/>
    <w:rsid w:val="00E071FC"/>
    <w:rsid w:val="00E76287"/>
    <w:rsid w:val="00EB6A9C"/>
    <w:rsid w:val="00F41CF3"/>
    <w:rsid w:val="00F66716"/>
    <w:rsid w:val="00F7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9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90B"/>
    <w:rPr>
      <w:sz w:val="18"/>
      <w:szCs w:val="18"/>
    </w:rPr>
  </w:style>
  <w:style w:type="paragraph" w:styleId="a5">
    <w:name w:val="List Paragraph"/>
    <w:basedOn w:val="a"/>
    <w:uiPriority w:val="34"/>
    <w:qFormat/>
    <w:rsid w:val="00F77D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705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3" w:color="D0D0D0"/>
                                                <w:bottom w:val="single" w:sz="6" w:space="23" w:color="D0D0D0"/>
                                                <w:right w:val="single" w:sz="6" w:space="23" w:color="D0D0D0"/>
                                              </w:divBdr>
                                              <w:divsChild>
                                                <w:div w:id="9539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9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6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45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8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57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5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415</Words>
  <Characters>2369</Characters>
  <Application>Microsoft Office Word</Application>
  <DocSecurity>0</DocSecurity>
  <Lines>19</Lines>
  <Paragraphs>5</Paragraphs>
  <ScaleCrop>false</ScaleCrop>
  <Company>联系电话18907378181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数码世纪</dc:creator>
  <cp:keywords/>
  <dc:description/>
  <cp:lastModifiedBy>Administrator</cp:lastModifiedBy>
  <cp:revision>11</cp:revision>
  <dcterms:created xsi:type="dcterms:W3CDTF">2017-11-20T06:17:00Z</dcterms:created>
  <dcterms:modified xsi:type="dcterms:W3CDTF">2020-01-03T02:14:00Z</dcterms:modified>
</cp:coreProperties>
</file>