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eastAsia="方正小标宋_GBK"/>
          <w:b/>
          <w:bCs w:val="0"/>
          <w:kern w:val="0"/>
          <w:sz w:val="44"/>
          <w:szCs w:val="44"/>
        </w:rPr>
      </w:pPr>
      <w:r>
        <w:rPr>
          <w:rFonts w:hint="eastAsia" w:ascii="华文仿宋" w:hAnsi="华文仿宋" w:eastAsia="华文仿宋" w:cs="华文仿宋"/>
          <w:b/>
          <w:bCs w:val="0"/>
          <w:kern w:val="0"/>
          <w:sz w:val="44"/>
          <w:szCs w:val="44"/>
        </w:rPr>
        <w:t>20</w:t>
      </w:r>
      <w:r>
        <w:rPr>
          <w:rFonts w:hint="eastAsia" w:ascii="华文仿宋" w:hAnsi="华文仿宋" w:eastAsia="华文仿宋" w:cs="华文仿宋"/>
          <w:b/>
          <w:bCs w:val="0"/>
          <w:kern w:val="0"/>
          <w:sz w:val="44"/>
          <w:szCs w:val="44"/>
          <w:lang w:val="en-US" w:eastAsia="zh-CN"/>
        </w:rPr>
        <w:t>20</w:t>
      </w:r>
      <w:r>
        <w:rPr>
          <w:rFonts w:hint="eastAsia" w:ascii="华文仿宋" w:hAnsi="华文仿宋" w:eastAsia="华文仿宋" w:cs="华文仿宋"/>
          <w:b/>
          <w:bCs w:val="0"/>
          <w:kern w:val="0"/>
          <w:sz w:val="44"/>
          <w:szCs w:val="44"/>
        </w:rPr>
        <w:t>年</w:t>
      </w:r>
      <w:r>
        <w:rPr>
          <w:rFonts w:hint="eastAsia" w:ascii="华文仿宋" w:hAnsi="华文仿宋" w:eastAsia="华文仿宋" w:cs="华文仿宋"/>
          <w:b/>
          <w:bCs w:val="0"/>
          <w:kern w:val="0"/>
          <w:sz w:val="44"/>
          <w:szCs w:val="44"/>
          <w:lang w:eastAsia="zh-CN"/>
        </w:rPr>
        <w:t>赫山区城管局</w:t>
      </w:r>
      <w:r>
        <w:rPr>
          <w:rFonts w:hint="eastAsia" w:ascii="华文仿宋" w:hAnsi="华文仿宋" w:eastAsia="华文仿宋" w:cs="华文仿宋"/>
          <w:b/>
          <w:bCs w:val="0"/>
          <w:kern w:val="0"/>
          <w:sz w:val="44"/>
          <w:szCs w:val="44"/>
        </w:rPr>
        <w:t>部门预算公开说明</w:t>
      </w:r>
    </w:p>
    <w:p>
      <w:pPr>
        <w:ind w:firstLine="42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ind w:firstLine="42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目     录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第一部分:   单位20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b/>
          <w:sz w:val="32"/>
          <w:szCs w:val="32"/>
        </w:rPr>
        <w:t>年部门预算说明</w:t>
      </w:r>
    </w:p>
    <w:p>
      <w:pPr>
        <w:ind w:firstLine="643" w:firstLineChars="200"/>
        <w:rPr>
          <w:rFonts w:ascii="仿宋" w:hAnsi="仿宋" w:eastAsia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kern w:val="0"/>
          <w:sz w:val="32"/>
          <w:szCs w:val="32"/>
        </w:rPr>
        <w:t>一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color w:val="000000"/>
          <w:kern w:val="0"/>
          <w:sz w:val="32"/>
          <w:szCs w:val="32"/>
        </w:rPr>
        <w:t>部门基本概况</w:t>
      </w:r>
    </w:p>
    <w:p>
      <w:pPr>
        <w:ind w:firstLine="964" w:firstLineChars="300"/>
        <w:rPr>
          <w:rFonts w:hint="eastAsia" w:ascii="仿宋" w:hAnsi="仿宋" w:eastAsia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kern w:val="0"/>
          <w:sz w:val="32"/>
          <w:szCs w:val="32"/>
        </w:rPr>
        <w:t>1.职能职责</w:t>
      </w:r>
    </w:p>
    <w:p>
      <w:pPr>
        <w:ind w:firstLine="964" w:firstLineChars="300"/>
        <w:rPr>
          <w:rFonts w:ascii="仿宋" w:hAnsi="仿宋" w:eastAsia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kern w:val="0"/>
          <w:sz w:val="32"/>
          <w:szCs w:val="32"/>
        </w:rPr>
        <w:t>2.机构设置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kern w:val="0"/>
          <w:sz w:val="32"/>
          <w:szCs w:val="32"/>
        </w:rPr>
        <w:t>二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部门</w:t>
      </w:r>
      <w:r>
        <w:rPr>
          <w:rFonts w:ascii="仿宋" w:hAnsi="仿宋" w:eastAsia="仿宋"/>
          <w:b/>
          <w:sz w:val="32"/>
          <w:szCs w:val="32"/>
        </w:rPr>
        <w:t>预算</w:t>
      </w:r>
      <w:r>
        <w:rPr>
          <w:rFonts w:hint="eastAsia" w:ascii="仿宋" w:hAnsi="仿宋" w:eastAsia="仿宋"/>
          <w:b/>
          <w:sz w:val="32"/>
          <w:szCs w:val="32"/>
        </w:rPr>
        <w:t>单位构成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kern w:val="0"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部门收支总体情况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支出预算和一般公共拔款支出预算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</w:t>
      </w:r>
      <w:r>
        <w:rPr>
          <w:rFonts w:ascii="仿宋" w:hAnsi="仿宋" w:eastAsia="仿宋"/>
          <w:b/>
          <w:sz w:val="32"/>
          <w:szCs w:val="32"/>
        </w:rPr>
        <w:t>、其他</w:t>
      </w:r>
      <w:r>
        <w:rPr>
          <w:rFonts w:hint="eastAsia" w:ascii="仿宋" w:hAnsi="仿宋" w:eastAsia="仿宋"/>
          <w:b/>
          <w:sz w:val="32"/>
          <w:szCs w:val="32"/>
        </w:rPr>
        <w:t>重要事项的情况</w:t>
      </w:r>
      <w:r>
        <w:rPr>
          <w:rFonts w:ascii="仿宋" w:hAnsi="仿宋" w:eastAsia="仿宋"/>
          <w:b/>
          <w:sz w:val="32"/>
          <w:szCs w:val="32"/>
        </w:rPr>
        <w:t>说明</w:t>
      </w:r>
    </w:p>
    <w:p>
      <w:pPr>
        <w:spacing w:line="600" w:lineRule="exact"/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国有资产占用情况说明</w:t>
      </w:r>
    </w:p>
    <w:p>
      <w:pPr>
        <w:spacing w:line="600" w:lineRule="exact"/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重点项目预算的绩效目标等预算绩效情况说明</w:t>
      </w:r>
    </w:p>
    <w:p>
      <w:pPr>
        <w:spacing w:line="600" w:lineRule="exact"/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名词解释</w:t>
      </w:r>
    </w:p>
    <w:p>
      <w:pPr>
        <w:ind w:firstLine="643" w:firstLineChars="200"/>
        <w:rPr>
          <w:rFonts w:ascii="仿宋" w:hAnsi="仿宋" w:eastAsia="仿宋"/>
          <w:b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第二部分:   20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b/>
          <w:sz w:val="32"/>
          <w:szCs w:val="32"/>
        </w:rPr>
        <w:t>年部门预算需公开的表格情况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pStyle w:val="2"/>
      </w:pPr>
      <w:bookmarkStart w:id="0" w:name="_GoBack"/>
      <w:bookmarkEnd w:id="0"/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ascii="仿宋" w:hAnsi="仿宋" w:eastAsia="仿宋"/>
          <w:bCs/>
          <w:kern w:val="0"/>
          <w:sz w:val="32"/>
          <w:szCs w:val="32"/>
        </w:rPr>
        <w:t>第一部分：</w:t>
      </w:r>
    </w:p>
    <w:p>
      <w:pPr>
        <w:widowControl/>
        <w:spacing w:line="600" w:lineRule="exact"/>
        <w:rPr>
          <w:rFonts w:ascii="仿宋" w:hAnsi="仿宋" w:eastAsia="仿宋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赫山区城管局20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b/>
          <w:bCs/>
          <w:kern w:val="0"/>
          <w:sz w:val="32"/>
          <w:szCs w:val="32"/>
        </w:rPr>
        <w:t>年部门预算说明</w:t>
      </w:r>
    </w:p>
    <w:p>
      <w:pPr>
        <w:widowControl/>
        <w:spacing w:line="600" w:lineRule="exact"/>
        <w:jc w:val="left"/>
        <w:rPr>
          <w:rFonts w:ascii="仿宋" w:hAnsi="仿宋" w:eastAsia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30" w:firstLineChars="196"/>
        <w:jc w:val="left"/>
        <w:rPr>
          <w:rFonts w:ascii="仿宋" w:hAnsi="仿宋" w:eastAsia="仿宋"/>
          <w:b/>
          <w:bCs w:val="0"/>
          <w:kern w:val="0"/>
          <w:sz w:val="32"/>
          <w:szCs w:val="32"/>
        </w:rPr>
      </w:pPr>
      <w:r>
        <w:rPr>
          <w:rFonts w:ascii="仿宋" w:hAnsi="仿宋" w:eastAsia="仿宋"/>
          <w:b/>
          <w:bCs w:val="0"/>
          <w:kern w:val="0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1、职能职责</w:t>
      </w:r>
    </w:p>
    <w:p>
      <w:pPr>
        <w:widowControl/>
        <w:spacing w:line="600" w:lineRule="exact"/>
        <w:ind w:firstLine="480" w:firstLineChars="15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赫山区城市管理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和综合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执法局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简称区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城管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局，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是区政府工作部门，正科级，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驻青年路38号（原税务局老院办公楼）。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其主要职责是：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贯彻执行城市管理和综合执法工作的方针政策和法律法规。深化城市管理综合行政执法体制改革，加强城市管理行政执法体系建设。负责指导、协调、监督和考核全区城市管理和综合执法工作。负责职责范围内市政公用设施（不含城区供水、供气）监管、城市园林绿化设施建设维护管理工作。负责职责范围内门店招牌、侵占城市道路、城市公共空间等市容秩序的管理。负责城市环境卫生的管理。承担城区环境卫生清扫保洁，城市环境卫生基础设施建设维护管理，生活垃圾、餐厨垃圾和建筑垃圾的处理。推进垃圾分类工作。负责中心城区村（居）民违法违规建设行为的查处。负责区级规划控制区、乡镇规划控制区的查违控违拆违工作。参与联合巡查管理，参与全区查违控违拆违综合管理、监督、检查和考核工作。负责全区禁限区域燃放烟花爆竹污染的监督管理和考核。负责城区焚烧垃圾、秸杆、落叶、沥青塑料等产生烟尘污染和经营性餐饮业油烟污染的监督管理；负责社会生活噪声污染、建筑施工噪声污染、建筑施工扬尘污染、渣土扬尘污染管理。负责职责范围内交通管理方面的城市公共停车场、城市道路停车泊位收费管理。负责职责范围内设置在城市公园与广场的应急避难场所管理，城区路面与广场排渍排涝、城市道路与桥梁、园林绿化照明等应急保障处理。负责中心城区黑臭水体整治后维护管理的业务指导、监督和考核。负责职责范围内路灯的建设维护管理，以及中心城区路灯电费的管理。负责职责范围内“门前三包”责任制的监督和考核工作。负责区级智慧城市管理平台建设维护管理工作。协助乡镇开展镇区秩序整治、空间治理、供水供气监管，负责农村生活垃圾转运。负责职责范围内渣土管理。负责在区级管辖范围内行使下列行政处罚权和相关行政强制权：住房城乡建设领域违法违规建设行为的行政处罚。生态环境管理方面的社会生活噪声污染、建筑施工噪声污染、建筑施工扬尘污染、餐饮服务业油烟污染、露天烧烤污染、城市焚烧沥青塑料垃圾等烟尘和恶臭污染、露天焚烧秸秆落叶烟尘污染的行政处罚。市场监督管理方面的户外公共场所无照经营、违规设置户外广告、食品销售和流动摊点无证经营以及违法回收贩卖药品等行政处罚。公安交通管理方面的侵占城市道路、违法停放车辆等行政处罚。水利管理方面的向城市河道和水域倾倒废弃物和垃圾以及违规取土、城市河道和水域违法建筑物拆除等行政处罚。承担区城市管理委员会的日常工作。</w:t>
      </w:r>
    </w:p>
    <w:p>
      <w:pPr>
        <w:widowControl/>
        <w:numPr>
          <w:ilvl w:val="0"/>
          <w:numId w:val="1"/>
        </w:numPr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机构设置</w:t>
      </w:r>
    </w:p>
    <w:p>
      <w:pPr>
        <w:widowControl/>
        <w:spacing w:line="600" w:lineRule="exact"/>
        <w:ind w:firstLine="480" w:firstLineChars="15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赫山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区城管执法局内设办公室、督查考核股、法制股、市政公用设施管理股、财务股、人事股、城市管理指挥中心等7个（均为正股级）。所属事业单位8个：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赫山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区环境卫生服务中心，副科级公益二类事业单位；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赫山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区城区城管执法大队，下设会龙山城管中队、金银山城管中队、桃花仑城管中队、赫山城管中队；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赫山区龙岭城管执法大队，赫山区沧水铺城管执法大队，赫山区兰溪城管执法大队，赫山区规划执法大队，赫山区应急执法大队，赫山区渣土管理大队。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副科级独立核算的二级机构：赫山区环境卫生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服务中心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600" w:lineRule="exact"/>
        <w:jc w:val="left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ascii="仿宋" w:hAnsi="仿宋" w:eastAsia="仿宋"/>
          <w:b/>
          <w:bCs/>
          <w:kern w:val="0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纳入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sz w:val="32"/>
          <w:szCs w:val="32"/>
        </w:rPr>
        <w:t>年部门预算编制范围的单位包括：</w:t>
      </w:r>
    </w:p>
    <w:p>
      <w:pPr>
        <w:widowControl/>
        <w:spacing w:line="600" w:lineRule="exact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</w:t>
      </w:r>
      <w:r>
        <w:rPr>
          <w:rFonts w:hint="eastAsia" w:ascii="仿宋" w:hAnsi="仿宋" w:eastAsia="仿宋"/>
          <w:sz w:val="32"/>
          <w:szCs w:val="32"/>
        </w:rPr>
        <w:t>赫山区城管局</w:t>
      </w:r>
      <w:r>
        <w:rPr>
          <w:rFonts w:ascii="仿宋" w:hAnsi="仿宋" w:eastAsia="仿宋"/>
          <w:sz w:val="32"/>
          <w:szCs w:val="32"/>
        </w:rPr>
        <w:t>部门本级</w:t>
      </w:r>
    </w:p>
    <w:p>
      <w:pPr>
        <w:widowControl/>
        <w:spacing w:line="600" w:lineRule="exact"/>
        <w:ind w:firstLine="627" w:firstLineChars="19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2、纳入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sz w:val="32"/>
          <w:szCs w:val="32"/>
        </w:rPr>
        <w:t>年部门预算编制范围的二级预算单位包括：</w:t>
      </w:r>
      <w:r>
        <w:rPr>
          <w:rFonts w:hint="eastAsia" w:ascii="仿宋" w:hAnsi="仿宋" w:eastAsia="仿宋"/>
          <w:sz w:val="32"/>
          <w:szCs w:val="32"/>
        </w:rPr>
        <w:t>赫山区</w:t>
      </w:r>
      <w:r>
        <w:rPr>
          <w:rFonts w:hint="eastAsia" w:ascii="仿宋" w:hAnsi="仿宋" w:eastAsia="仿宋"/>
          <w:sz w:val="32"/>
          <w:szCs w:val="32"/>
          <w:lang w:eastAsia="zh-CN"/>
        </w:rPr>
        <w:t>环境卫生服务中心。</w:t>
      </w:r>
    </w:p>
    <w:p>
      <w:pPr>
        <w:widowControl/>
        <w:spacing w:line="600" w:lineRule="exact"/>
        <w:ind w:firstLine="630" w:firstLineChars="196"/>
        <w:jc w:val="left"/>
        <w:rPr>
          <w:rFonts w:ascii="仿宋" w:hAnsi="仿宋" w:eastAsia="仿宋"/>
          <w:b/>
          <w:bCs w:val="0"/>
          <w:kern w:val="0"/>
          <w:sz w:val="32"/>
          <w:szCs w:val="32"/>
        </w:rPr>
      </w:pPr>
      <w:r>
        <w:rPr>
          <w:rFonts w:ascii="仿宋" w:hAnsi="仿宋" w:eastAsia="仿宋"/>
          <w:b/>
          <w:bCs w:val="0"/>
          <w:kern w:val="0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sz w:val="32"/>
          <w:szCs w:val="32"/>
        </w:rPr>
        <w:t>年部门预算收入既包括一般公共预算</w:t>
      </w:r>
      <w:r>
        <w:rPr>
          <w:rFonts w:hint="eastAsia" w:ascii="仿宋" w:hAnsi="仿宋" w:eastAsia="仿宋"/>
          <w:sz w:val="32"/>
          <w:szCs w:val="32"/>
        </w:rPr>
        <w:t>收入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罚没收入和其他收入</w:t>
      </w:r>
      <w:r>
        <w:rPr>
          <w:rFonts w:ascii="仿宋" w:hAnsi="仿宋" w:eastAsia="仿宋"/>
          <w:sz w:val="32"/>
          <w:szCs w:val="32"/>
        </w:rPr>
        <w:t>；支出既包括保障</w:t>
      </w:r>
      <w:r>
        <w:rPr>
          <w:rFonts w:hint="eastAsia" w:ascii="仿宋" w:hAnsi="仿宋" w:eastAsia="仿宋"/>
          <w:sz w:val="32"/>
          <w:szCs w:val="32"/>
        </w:rPr>
        <w:t>局</w:t>
      </w:r>
      <w:r>
        <w:rPr>
          <w:rFonts w:ascii="仿宋" w:hAnsi="仿宋" w:eastAsia="仿宋"/>
          <w:sz w:val="32"/>
          <w:szCs w:val="32"/>
        </w:rPr>
        <w:t>机关及</w:t>
      </w:r>
      <w:r>
        <w:rPr>
          <w:rFonts w:hint="eastAsia" w:ascii="仿宋" w:hAnsi="仿宋" w:eastAsia="仿宋"/>
          <w:sz w:val="32"/>
          <w:szCs w:val="32"/>
        </w:rPr>
        <w:t>局</w:t>
      </w:r>
      <w:r>
        <w:rPr>
          <w:rFonts w:ascii="仿宋" w:hAnsi="仿宋" w:eastAsia="仿宋"/>
          <w:sz w:val="32"/>
          <w:szCs w:val="32"/>
        </w:rPr>
        <w:t>属</w:t>
      </w:r>
      <w:r>
        <w:rPr>
          <w:rFonts w:hint="eastAsia" w:ascii="仿宋" w:hAnsi="仿宋" w:eastAsia="仿宋"/>
          <w:sz w:val="32"/>
          <w:szCs w:val="32"/>
        </w:rPr>
        <w:t>各部门</w:t>
      </w:r>
      <w:r>
        <w:rPr>
          <w:rFonts w:ascii="仿宋" w:hAnsi="仿宋" w:eastAsia="仿宋"/>
          <w:sz w:val="32"/>
          <w:szCs w:val="32"/>
        </w:rPr>
        <w:t>单位基本运行的经费，也包括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/>
          <w:sz w:val="32"/>
          <w:szCs w:val="32"/>
        </w:rPr>
        <w:t>名退伍军人和40名协管员工资及五险一金的</w:t>
      </w:r>
      <w:r>
        <w:rPr>
          <w:rFonts w:ascii="仿宋" w:hAnsi="仿宋" w:eastAsia="仿宋"/>
          <w:sz w:val="32"/>
          <w:szCs w:val="32"/>
        </w:rPr>
        <w:t>专项经费。</w:t>
      </w:r>
    </w:p>
    <w:p>
      <w:pPr>
        <w:widowControl/>
        <w:spacing w:line="600" w:lineRule="exact"/>
        <w:ind w:firstLine="627" w:firstLineChars="196"/>
        <w:jc w:val="left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（一）收入预算，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sz w:val="32"/>
          <w:szCs w:val="32"/>
        </w:rPr>
        <w:t>年年初预算数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2116</w:t>
      </w:r>
      <w:r>
        <w:rPr>
          <w:rFonts w:ascii="仿宋" w:hAnsi="仿宋" w:eastAsia="仿宋"/>
          <w:sz w:val="32"/>
          <w:szCs w:val="32"/>
        </w:rPr>
        <w:t>万元，其中，一般公共预算拨款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1116</w:t>
      </w:r>
      <w:r>
        <w:rPr>
          <w:rFonts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</w:rPr>
        <w:t>专项资金收入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1000</w:t>
      </w:r>
      <w:r>
        <w:rPr>
          <w:rFonts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</w:rPr>
        <w:t>。较去年增加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650</w:t>
      </w:r>
      <w:r>
        <w:rPr>
          <w:rFonts w:hint="eastAsia" w:ascii="仿宋" w:hAnsi="仿宋" w:eastAsia="仿宋"/>
          <w:sz w:val="32"/>
          <w:szCs w:val="32"/>
        </w:rPr>
        <w:t>万元，主要是增加了</w:t>
      </w:r>
      <w:r>
        <w:rPr>
          <w:rFonts w:hint="eastAsia" w:ascii="仿宋" w:hAnsi="仿宋" w:eastAsia="仿宋"/>
          <w:sz w:val="32"/>
          <w:szCs w:val="32"/>
          <w:lang w:eastAsia="zh-CN"/>
        </w:rPr>
        <w:t>市级路灯电费下放、</w:t>
      </w:r>
      <w:r>
        <w:rPr>
          <w:rFonts w:hint="eastAsia" w:ascii="仿宋" w:hAnsi="仿宋" w:eastAsia="仿宋"/>
          <w:sz w:val="32"/>
          <w:szCs w:val="32"/>
        </w:rPr>
        <w:t>考核调资、岗位调资等。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（二）支出预算，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sz w:val="32"/>
          <w:szCs w:val="32"/>
        </w:rPr>
        <w:t>年年初预算数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2116</w:t>
      </w:r>
      <w:r>
        <w:rPr>
          <w:rFonts w:ascii="仿宋" w:hAnsi="仿宋" w:eastAsia="仿宋"/>
          <w:sz w:val="32"/>
          <w:szCs w:val="32"/>
        </w:rPr>
        <w:t>万元，其中，一般公共服务支出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1116</w:t>
      </w:r>
      <w:r>
        <w:rPr>
          <w:rFonts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</w:rPr>
        <w:t>专项资金支出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1000</w:t>
      </w:r>
      <w:r>
        <w:rPr>
          <w:rFonts w:ascii="仿宋" w:hAnsi="仿宋" w:eastAsia="仿宋"/>
          <w:sz w:val="32"/>
          <w:szCs w:val="32"/>
        </w:rPr>
        <w:t>万元。</w:t>
      </w:r>
      <w:r>
        <w:rPr>
          <w:rFonts w:hint="eastAsia" w:ascii="仿宋" w:hAnsi="仿宋" w:eastAsia="仿宋"/>
          <w:sz w:val="32"/>
          <w:szCs w:val="32"/>
        </w:rPr>
        <w:t>支出较去年增加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650</w:t>
      </w:r>
      <w:r>
        <w:rPr>
          <w:rFonts w:hint="eastAsia" w:ascii="仿宋" w:hAnsi="仿宋" w:eastAsia="仿宋"/>
          <w:sz w:val="32"/>
          <w:szCs w:val="32"/>
        </w:rPr>
        <w:t>万元，主要是增加了</w:t>
      </w:r>
      <w:r>
        <w:rPr>
          <w:rFonts w:hint="eastAsia" w:ascii="仿宋" w:hAnsi="仿宋" w:eastAsia="仿宋"/>
          <w:sz w:val="32"/>
          <w:szCs w:val="32"/>
          <w:lang w:eastAsia="zh-CN"/>
        </w:rPr>
        <w:t>市级路灯电费下放、</w:t>
      </w:r>
      <w:r>
        <w:rPr>
          <w:rFonts w:hint="eastAsia" w:ascii="仿宋" w:hAnsi="仿宋" w:eastAsia="仿宋"/>
          <w:sz w:val="32"/>
          <w:szCs w:val="32"/>
        </w:rPr>
        <w:t>考核调资、岗位调资等。</w:t>
      </w:r>
    </w:p>
    <w:p>
      <w:pPr>
        <w:widowControl/>
        <w:spacing w:line="600" w:lineRule="exact"/>
        <w:ind w:firstLine="630" w:firstLineChars="196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四、一般公共预算拨款支出预算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sz w:val="32"/>
          <w:szCs w:val="32"/>
        </w:rPr>
        <w:t>年一般公共预算拨款收入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2116</w:t>
      </w:r>
      <w:r>
        <w:rPr>
          <w:rFonts w:ascii="仿宋" w:hAnsi="仿宋" w:eastAsia="仿宋"/>
          <w:sz w:val="32"/>
          <w:szCs w:val="32"/>
        </w:rPr>
        <w:t>万元，具体安排情况如下：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（一）基本支出：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sz w:val="32"/>
          <w:szCs w:val="32"/>
        </w:rPr>
        <w:t>年年初预算数为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1116</w:t>
      </w:r>
      <w:r>
        <w:rPr>
          <w:rFonts w:ascii="仿宋" w:hAnsi="仿宋" w:eastAsia="仿宋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（二）项目支出：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sz w:val="32"/>
          <w:szCs w:val="32"/>
        </w:rPr>
        <w:t>年年初预算数为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1000</w:t>
      </w:r>
      <w:r>
        <w:rPr>
          <w:rFonts w:ascii="仿宋" w:hAnsi="仿宋" w:eastAsia="仿宋"/>
          <w:sz w:val="32"/>
          <w:szCs w:val="32"/>
        </w:rPr>
        <w:t>万元，是指</w:t>
      </w:r>
      <w:r>
        <w:rPr>
          <w:rFonts w:hint="eastAsia" w:ascii="仿宋" w:hAnsi="仿宋" w:eastAsia="仿宋"/>
          <w:sz w:val="32"/>
          <w:szCs w:val="32"/>
        </w:rPr>
        <w:t>应急大队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/>
          <w:sz w:val="32"/>
          <w:szCs w:val="32"/>
        </w:rPr>
        <w:t>人、协管40人工资及五险一金，应急大队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/>
          <w:sz w:val="32"/>
          <w:szCs w:val="32"/>
        </w:rPr>
        <w:t>人公务费</w:t>
      </w:r>
      <w:r>
        <w:rPr>
          <w:rFonts w:hint="eastAsia" w:ascii="仿宋" w:hAnsi="仿宋" w:eastAsia="仿宋"/>
          <w:sz w:val="32"/>
          <w:szCs w:val="32"/>
          <w:lang w:eastAsia="zh-CN"/>
        </w:rPr>
        <w:t>及路灯电费。</w:t>
      </w:r>
      <w:r>
        <w:rPr>
          <w:rFonts w:hint="eastAsia" w:ascii="仿宋" w:hAnsi="仿宋" w:eastAsia="仿宋"/>
          <w:sz w:val="32"/>
          <w:szCs w:val="32"/>
        </w:rPr>
        <w:t xml:space="preserve">                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五、其他重要事项的情况说明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1、机关运行经费</w:t>
      </w:r>
    </w:p>
    <w:p>
      <w:pPr>
        <w:widowControl/>
        <w:spacing w:line="600" w:lineRule="exact"/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区城管局</w:t>
      </w:r>
      <w:r>
        <w:rPr>
          <w:rFonts w:ascii="仿宋" w:hAnsi="仿宋" w:eastAsia="仿宋"/>
          <w:sz w:val="32"/>
          <w:szCs w:val="32"/>
        </w:rPr>
        <w:t>机关运行经费当年一般公共预算拨款</w:t>
      </w:r>
      <w:r>
        <w:rPr>
          <w:rFonts w:hint="eastAsia" w:ascii="仿宋" w:hAnsi="仿宋" w:eastAsia="仿宋"/>
          <w:sz w:val="32"/>
          <w:szCs w:val="32"/>
        </w:rPr>
        <w:t>151</w:t>
      </w:r>
      <w:r>
        <w:rPr>
          <w:rFonts w:ascii="仿宋" w:hAnsi="仿宋" w:eastAsia="仿宋"/>
          <w:sz w:val="32"/>
          <w:szCs w:val="32"/>
        </w:rPr>
        <w:t>万元，比</w:t>
      </w: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年预算增加</w:t>
      </w:r>
      <w:r>
        <w:rPr>
          <w:rFonts w:hint="eastAsia" w:ascii="仿宋" w:hAnsi="仿宋" w:eastAsia="仿宋"/>
          <w:sz w:val="32"/>
          <w:szCs w:val="32"/>
        </w:rPr>
        <w:t>17</w:t>
      </w:r>
      <w:r>
        <w:rPr>
          <w:rFonts w:ascii="仿宋" w:hAnsi="仿宋" w:eastAsia="仿宋"/>
          <w:sz w:val="32"/>
          <w:szCs w:val="32"/>
        </w:rPr>
        <w:t>万元，上升</w:t>
      </w:r>
      <w:r>
        <w:rPr>
          <w:rFonts w:hint="eastAsia" w:ascii="仿宋" w:hAnsi="仿宋" w:eastAsia="仿宋"/>
          <w:sz w:val="32"/>
          <w:szCs w:val="32"/>
        </w:rPr>
        <w:t>13</w:t>
      </w:r>
      <w:r>
        <w:rPr>
          <w:rFonts w:ascii="仿宋" w:hAnsi="仿宋" w:eastAsia="仿宋"/>
          <w:sz w:val="32"/>
          <w:szCs w:val="32"/>
        </w:rPr>
        <w:t>%。</w:t>
      </w:r>
      <w:r>
        <w:rPr>
          <w:rFonts w:hint="eastAsia" w:ascii="仿宋" w:hAnsi="仿宋" w:eastAsia="仿宋"/>
          <w:sz w:val="32"/>
          <w:szCs w:val="32"/>
        </w:rPr>
        <w:t>主要原因是退伍军人中有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人考为全额编制，增加了日常公用经费。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2、“三公”经费预算</w:t>
      </w:r>
    </w:p>
    <w:p>
      <w:pPr>
        <w:widowControl/>
        <w:spacing w:line="600" w:lineRule="exact"/>
        <w:ind w:firstLine="66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sz w:val="32"/>
          <w:szCs w:val="32"/>
        </w:rPr>
        <w:t>年“三公”经费预算数为</w:t>
      </w:r>
      <w:r>
        <w:rPr>
          <w:rFonts w:hint="eastAsia" w:ascii="仿宋" w:hAnsi="仿宋" w:eastAsia="仿宋"/>
          <w:sz w:val="32"/>
          <w:szCs w:val="32"/>
        </w:rPr>
        <w:t>41</w:t>
      </w:r>
      <w:r>
        <w:rPr>
          <w:rFonts w:ascii="仿宋" w:hAnsi="仿宋" w:eastAsia="仿宋"/>
          <w:sz w:val="32"/>
          <w:szCs w:val="32"/>
        </w:rPr>
        <w:t>万元，其中，公务接待费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万元，公务用车购置及运行费</w:t>
      </w:r>
      <w:r>
        <w:rPr>
          <w:rFonts w:hint="eastAsia" w:ascii="仿宋" w:hAnsi="仿宋" w:eastAsia="仿宋"/>
          <w:sz w:val="32"/>
          <w:szCs w:val="32"/>
        </w:rPr>
        <w:t>40</w:t>
      </w:r>
      <w:r>
        <w:rPr>
          <w:rFonts w:ascii="仿宋" w:hAnsi="仿宋" w:eastAsia="仿宋"/>
          <w:sz w:val="32"/>
          <w:szCs w:val="32"/>
        </w:rPr>
        <w:t>万元（其中，公务用车购置费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万元，公务用车运行费</w:t>
      </w:r>
      <w:r>
        <w:rPr>
          <w:rFonts w:hint="eastAsia" w:ascii="仿宋" w:hAnsi="仿宋" w:eastAsia="仿宋"/>
          <w:sz w:val="32"/>
          <w:szCs w:val="32"/>
        </w:rPr>
        <w:t>40</w:t>
      </w:r>
      <w:r>
        <w:rPr>
          <w:rFonts w:ascii="仿宋" w:hAnsi="仿宋" w:eastAsia="仿宋"/>
          <w:sz w:val="32"/>
          <w:szCs w:val="32"/>
        </w:rPr>
        <w:t>万元）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因公出国（境）费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万元。</w:t>
      </w:r>
      <w:r>
        <w:rPr>
          <w:rFonts w:hint="eastAsia" w:ascii="仿宋" w:hAnsi="仿宋" w:eastAsia="仿宋"/>
          <w:sz w:val="32"/>
          <w:szCs w:val="32"/>
          <w:lang w:eastAsia="zh-CN"/>
        </w:rPr>
        <w:t>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2019年持平。</w:t>
      </w:r>
    </w:p>
    <w:p>
      <w:pPr>
        <w:widowControl/>
        <w:spacing w:line="600" w:lineRule="exact"/>
        <w:ind w:firstLine="6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3、政府采购情况</w:t>
      </w:r>
    </w:p>
    <w:p>
      <w:pPr>
        <w:widowControl/>
        <w:spacing w:line="600" w:lineRule="exact"/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区城管局</w:t>
      </w:r>
      <w:r>
        <w:rPr>
          <w:rFonts w:ascii="仿宋" w:hAnsi="仿宋" w:eastAsia="仿宋"/>
          <w:sz w:val="32"/>
          <w:szCs w:val="32"/>
        </w:rPr>
        <w:t>政府采购预算总额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万元。</w:t>
      </w:r>
    </w:p>
    <w:p>
      <w:pPr>
        <w:spacing w:line="600" w:lineRule="exact"/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国有资产占用情况说明</w:t>
      </w:r>
    </w:p>
    <w:p>
      <w:pPr>
        <w:spacing w:line="60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单位车辆合计10 辆，其中：一般公务用车0辆，执法车辆10台，其他工作车辆0辆。</w:t>
      </w:r>
    </w:p>
    <w:p>
      <w:pPr>
        <w:spacing w:line="60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单价50万元（含）以上通用设备 0套</w:t>
      </w:r>
    </w:p>
    <w:p>
      <w:pPr>
        <w:spacing w:line="60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单价100万元（含）以上通用设备 0 套</w:t>
      </w:r>
    </w:p>
    <w:p>
      <w:pPr>
        <w:spacing w:line="600" w:lineRule="exact"/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重点项目预算的绩效目标等预算绩效情况说明</w:t>
      </w:r>
    </w:p>
    <w:p>
      <w:pPr>
        <w:spacing w:line="60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本单位无重点项目预算的绩效目标等预算绩效情况。</w:t>
      </w:r>
    </w:p>
    <w:p>
      <w:pPr>
        <w:spacing w:line="600" w:lineRule="exact"/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</w:t>
      </w:r>
      <w:r>
        <w:rPr>
          <w:rFonts w:ascii="仿宋" w:hAnsi="仿宋" w:eastAsia="仿宋"/>
          <w:b/>
          <w:sz w:val="32"/>
          <w:szCs w:val="32"/>
        </w:rPr>
        <w:t>、名词解释</w:t>
      </w:r>
    </w:p>
    <w:p>
      <w:pPr>
        <w:widowControl/>
        <w:spacing w:line="600" w:lineRule="exact"/>
        <w:ind w:firstLine="6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第二部分：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ascii="仿宋" w:hAnsi="仿宋" w:eastAsia="仿宋"/>
          <w:b/>
          <w:bCs/>
          <w:kern w:val="0"/>
          <w:sz w:val="32"/>
          <w:szCs w:val="32"/>
        </w:rPr>
        <w:t>部门预算需公开的表格情况</w:t>
      </w:r>
    </w:p>
    <w:p>
      <w:pPr>
        <w:widowControl/>
        <w:spacing w:line="600" w:lineRule="exact"/>
        <w:ind w:firstLine="630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1、部门收支总体情况表</w:t>
      </w:r>
    </w:p>
    <w:p>
      <w:pPr>
        <w:widowControl/>
        <w:spacing w:line="600" w:lineRule="exact"/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2、部门收入总体情况表</w:t>
      </w:r>
    </w:p>
    <w:p>
      <w:pPr>
        <w:widowControl/>
        <w:spacing w:line="600" w:lineRule="exact"/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3、部门支出总体情况表</w:t>
      </w:r>
    </w:p>
    <w:p>
      <w:pPr>
        <w:widowControl/>
        <w:spacing w:line="600" w:lineRule="exact"/>
        <w:ind w:firstLine="63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4、财政拨款收支总</w:t>
      </w:r>
      <w:r>
        <w:rPr>
          <w:rFonts w:hint="eastAsia" w:ascii="仿宋" w:hAnsi="仿宋" w:eastAsia="仿宋"/>
          <w:sz w:val="32"/>
          <w:szCs w:val="32"/>
          <w:lang w:eastAsia="zh-CN"/>
        </w:rPr>
        <w:t>体情况表</w:t>
      </w:r>
    </w:p>
    <w:p>
      <w:pPr>
        <w:widowControl/>
        <w:spacing w:line="600" w:lineRule="exact"/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5、一般公共预算支出情况表</w:t>
      </w:r>
    </w:p>
    <w:p>
      <w:pPr>
        <w:widowControl/>
        <w:spacing w:line="600" w:lineRule="exact"/>
        <w:ind w:firstLine="63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6、一般公共预算基本支出情况表</w:t>
      </w:r>
      <w:r>
        <w:rPr>
          <w:rFonts w:hint="eastAsia" w:ascii="仿宋" w:hAnsi="仿宋" w:eastAsia="仿宋"/>
          <w:sz w:val="32"/>
          <w:szCs w:val="32"/>
          <w:lang w:eastAsia="zh-CN"/>
        </w:rPr>
        <w:t>（纵向）</w:t>
      </w:r>
    </w:p>
    <w:p>
      <w:pPr>
        <w:widowControl/>
        <w:spacing w:line="600" w:lineRule="exact"/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7、一般公共预算基本支出情况表</w:t>
      </w:r>
      <w:r>
        <w:rPr>
          <w:rFonts w:hint="eastAsia" w:ascii="仿宋" w:hAnsi="仿宋" w:eastAsia="仿宋"/>
          <w:sz w:val="32"/>
          <w:szCs w:val="32"/>
          <w:lang w:eastAsia="zh-CN"/>
        </w:rPr>
        <w:t>（横向）</w:t>
      </w:r>
    </w:p>
    <w:p>
      <w:pPr>
        <w:widowControl/>
        <w:spacing w:line="600" w:lineRule="exact"/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8、政府性基金预算支出情况表</w:t>
      </w:r>
    </w:p>
    <w:p>
      <w:pPr>
        <w:widowControl/>
        <w:spacing w:line="600" w:lineRule="exact"/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9、一般公共预算“三公”经费</w:t>
      </w:r>
      <w:r>
        <w:rPr>
          <w:rFonts w:hint="eastAsia" w:ascii="仿宋" w:hAnsi="仿宋" w:eastAsia="仿宋"/>
          <w:sz w:val="32"/>
          <w:szCs w:val="32"/>
          <w:lang w:eastAsia="zh-CN"/>
        </w:rPr>
        <w:t>支出情况</w:t>
      </w:r>
      <w:r>
        <w:rPr>
          <w:rFonts w:ascii="仿宋" w:hAnsi="仿宋" w:eastAsia="仿宋"/>
          <w:sz w:val="32"/>
          <w:szCs w:val="32"/>
        </w:rPr>
        <w:t>表</w:t>
      </w:r>
    </w:p>
    <w:p>
      <w:pPr>
        <w:widowControl/>
        <w:spacing w:line="600" w:lineRule="exact"/>
        <w:ind w:firstLine="63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10、</w:t>
      </w:r>
      <w:r>
        <w:rPr>
          <w:rFonts w:hint="eastAsia" w:ascii="仿宋" w:hAnsi="仿宋" w:eastAsia="仿宋"/>
          <w:sz w:val="32"/>
          <w:szCs w:val="32"/>
          <w:lang w:eastAsia="zh-CN"/>
        </w:rPr>
        <w:t>政府采购预算表</w:t>
      </w:r>
    </w:p>
    <w:p>
      <w:pPr>
        <w:widowControl/>
        <w:spacing w:line="600" w:lineRule="exact"/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11、</w:t>
      </w:r>
      <w:r>
        <w:rPr>
          <w:rFonts w:hint="eastAsia" w:ascii="仿宋" w:hAnsi="仿宋" w:eastAsia="仿宋"/>
          <w:sz w:val="32"/>
          <w:szCs w:val="32"/>
          <w:lang w:eastAsia="zh-CN"/>
        </w:rPr>
        <w:t>部门</w:t>
      </w:r>
      <w:r>
        <w:rPr>
          <w:rFonts w:ascii="仿宋" w:hAnsi="仿宋" w:eastAsia="仿宋"/>
          <w:sz w:val="32"/>
          <w:szCs w:val="32"/>
        </w:rPr>
        <w:t>整体支出绩效目标</w:t>
      </w:r>
      <w:r>
        <w:rPr>
          <w:rFonts w:hint="eastAsia" w:ascii="仿宋" w:hAnsi="仿宋" w:eastAsia="仿宋"/>
          <w:sz w:val="32"/>
          <w:szCs w:val="32"/>
          <w:lang w:eastAsia="zh-CN"/>
        </w:rPr>
        <w:t>申报</w:t>
      </w:r>
      <w:r>
        <w:rPr>
          <w:rFonts w:ascii="仿宋" w:hAnsi="仿宋" w:eastAsia="仿宋"/>
          <w:sz w:val="32"/>
          <w:szCs w:val="32"/>
        </w:rPr>
        <w:t>表</w:t>
      </w:r>
    </w:p>
    <w:p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12、</w:t>
      </w:r>
      <w:r>
        <w:rPr>
          <w:rFonts w:hint="eastAsia" w:ascii="仿宋" w:hAnsi="仿宋" w:eastAsia="仿宋"/>
          <w:sz w:val="32"/>
          <w:szCs w:val="32"/>
          <w:lang w:eastAsia="zh-CN"/>
        </w:rPr>
        <w:t>单位</w:t>
      </w:r>
      <w:r>
        <w:rPr>
          <w:rFonts w:ascii="仿宋" w:hAnsi="仿宋" w:eastAsia="仿宋"/>
          <w:sz w:val="32"/>
          <w:szCs w:val="32"/>
        </w:rPr>
        <w:t>项目支出绩效目标</w:t>
      </w:r>
      <w:r>
        <w:rPr>
          <w:rFonts w:hint="eastAsia" w:ascii="仿宋" w:hAnsi="仿宋" w:eastAsia="仿宋"/>
          <w:sz w:val="32"/>
          <w:szCs w:val="32"/>
          <w:lang w:eastAsia="zh-CN"/>
        </w:rPr>
        <w:t>申报</w:t>
      </w:r>
      <w:r>
        <w:rPr>
          <w:rFonts w:ascii="仿宋" w:hAnsi="仿宋" w:eastAsia="仿宋"/>
          <w:sz w:val="32"/>
          <w:szCs w:val="32"/>
        </w:rPr>
        <w:t>表</w:t>
      </w:r>
    </w:p>
    <w:sectPr>
      <w:footerReference r:id="rId3" w:type="default"/>
      <w:footerReference r:id="rId4" w:type="even"/>
      <w:pgSz w:w="11906" w:h="16838"/>
      <w:pgMar w:top="1157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27A7"/>
    <w:multiLevelType w:val="multilevel"/>
    <w:tmpl w:val="062327A7"/>
    <w:lvl w:ilvl="0" w:tentative="0">
      <w:start w:val="2"/>
      <w:numFmt w:val="decimal"/>
      <w:lvlText w:val="%1、"/>
      <w:lvlJc w:val="left"/>
      <w:pPr>
        <w:ind w:left="134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67" w:hanging="420"/>
      </w:pPr>
    </w:lvl>
    <w:lvl w:ilvl="2" w:tentative="0">
      <w:start w:val="1"/>
      <w:numFmt w:val="lowerRoman"/>
      <w:lvlText w:val="%3."/>
      <w:lvlJc w:val="right"/>
      <w:pPr>
        <w:ind w:left="1887" w:hanging="420"/>
      </w:pPr>
    </w:lvl>
    <w:lvl w:ilvl="3" w:tentative="0">
      <w:start w:val="1"/>
      <w:numFmt w:val="decimal"/>
      <w:lvlText w:val="%4."/>
      <w:lvlJc w:val="left"/>
      <w:pPr>
        <w:ind w:left="2307" w:hanging="420"/>
      </w:pPr>
    </w:lvl>
    <w:lvl w:ilvl="4" w:tentative="0">
      <w:start w:val="1"/>
      <w:numFmt w:val="lowerLetter"/>
      <w:lvlText w:val="%5)"/>
      <w:lvlJc w:val="left"/>
      <w:pPr>
        <w:ind w:left="2727" w:hanging="420"/>
      </w:pPr>
    </w:lvl>
    <w:lvl w:ilvl="5" w:tentative="0">
      <w:start w:val="1"/>
      <w:numFmt w:val="lowerRoman"/>
      <w:lvlText w:val="%6."/>
      <w:lvlJc w:val="right"/>
      <w:pPr>
        <w:ind w:left="3147" w:hanging="420"/>
      </w:pPr>
    </w:lvl>
    <w:lvl w:ilvl="6" w:tentative="0">
      <w:start w:val="1"/>
      <w:numFmt w:val="decimal"/>
      <w:lvlText w:val="%7."/>
      <w:lvlJc w:val="left"/>
      <w:pPr>
        <w:ind w:left="3567" w:hanging="420"/>
      </w:pPr>
    </w:lvl>
    <w:lvl w:ilvl="7" w:tentative="0">
      <w:start w:val="1"/>
      <w:numFmt w:val="lowerLetter"/>
      <w:lvlText w:val="%8)"/>
      <w:lvlJc w:val="left"/>
      <w:pPr>
        <w:ind w:left="3987" w:hanging="420"/>
      </w:pPr>
    </w:lvl>
    <w:lvl w:ilvl="8" w:tentative="0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FB65E8A"/>
    <w:rsid w:val="000037AE"/>
    <w:rsid w:val="00046CD8"/>
    <w:rsid w:val="000517A5"/>
    <w:rsid w:val="00072CAE"/>
    <w:rsid w:val="000954F2"/>
    <w:rsid w:val="000A4FB3"/>
    <w:rsid w:val="000A6A48"/>
    <w:rsid w:val="000D0004"/>
    <w:rsid w:val="00144889"/>
    <w:rsid w:val="00154526"/>
    <w:rsid w:val="00163804"/>
    <w:rsid w:val="00175807"/>
    <w:rsid w:val="0019623B"/>
    <w:rsid w:val="001D2631"/>
    <w:rsid w:val="001D3C87"/>
    <w:rsid w:val="001F4E0D"/>
    <w:rsid w:val="00201924"/>
    <w:rsid w:val="00271133"/>
    <w:rsid w:val="00296EFB"/>
    <w:rsid w:val="002E2DF4"/>
    <w:rsid w:val="00324951"/>
    <w:rsid w:val="003524FF"/>
    <w:rsid w:val="0035770F"/>
    <w:rsid w:val="00363FF2"/>
    <w:rsid w:val="003916A3"/>
    <w:rsid w:val="003C1285"/>
    <w:rsid w:val="003E3DCB"/>
    <w:rsid w:val="003E534A"/>
    <w:rsid w:val="004108FD"/>
    <w:rsid w:val="00432AD0"/>
    <w:rsid w:val="004440F0"/>
    <w:rsid w:val="00452E9A"/>
    <w:rsid w:val="00464006"/>
    <w:rsid w:val="00485A8E"/>
    <w:rsid w:val="00486AC2"/>
    <w:rsid w:val="004C5E39"/>
    <w:rsid w:val="004D7D60"/>
    <w:rsid w:val="004F02CF"/>
    <w:rsid w:val="00512301"/>
    <w:rsid w:val="005215FE"/>
    <w:rsid w:val="00531162"/>
    <w:rsid w:val="005462E4"/>
    <w:rsid w:val="00546626"/>
    <w:rsid w:val="00546C88"/>
    <w:rsid w:val="005736B2"/>
    <w:rsid w:val="005928E1"/>
    <w:rsid w:val="00592C76"/>
    <w:rsid w:val="0059518B"/>
    <w:rsid w:val="005977DB"/>
    <w:rsid w:val="00597989"/>
    <w:rsid w:val="005D53AF"/>
    <w:rsid w:val="005F34D9"/>
    <w:rsid w:val="005F6D5D"/>
    <w:rsid w:val="00616EE4"/>
    <w:rsid w:val="00620C3E"/>
    <w:rsid w:val="00635F8C"/>
    <w:rsid w:val="00656925"/>
    <w:rsid w:val="00666654"/>
    <w:rsid w:val="006849E7"/>
    <w:rsid w:val="006A0518"/>
    <w:rsid w:val="006A1381"/>
    <w:rsid w:val="006C26FE"/>
    <w:rsid w:val="006C42C5"/>
    <w:rsid w:val="006D3CE3"/>
    <w:rsid w:val="006D6C07"/>
    <w:rsid w:val="006F29DE"/>
    <w:rsid w:val="006F392E"/>
    <w:rsid w:val="006F3E14"/>
    <w:rsid w:val="006F4033"/>
    <w:rsid w:val="00701010"/>
    <w:rsid w:val="0070113C"/>
    <w:rsid w:val="00722414"/>
    <w:rsid w:val="007417DD"/>
    <w:rsid w:val="007567CE"/>
    <w:rsid w:val="00791AEA"/>
    <w:rsid w:val="007B64E2"/>
    <w:rsid w:val="007C0383"/>
    <w:rsid w:val="007D15B0"/>
    <w:rsid w:val="007D73A4"/>
    <w:rsid w:val="00801D5A"/>
    <w:rsid w:val="00802D26"/>
    <w:rsid w:val="00832049"/>
    <w:rsid w:val="0084726C"/>
    <w:rsid w:val="00863198"/>
    <w:rsid w:val="0087313A"/>
    <w:rsid w:val="0089540C"/>
    <w:rsid w:val="008A7184"/>
    <w:rsid w:val="008B5E7A"/>
    <w:rsid w:val="008D6EC9"/>
    <w:rsid w:val="008F1444"/>
    <w:rsid w:val="008F74A3"/>
    <w:rsid w:val="00902154"/>
    <w:rsid w:val="00903EA7"/>
    <w:rsid w:val="009159E5"/>
    <w:rsid w:val="00915F95"/>
    <w:rsid w:val="00923B27"/>
    <w:rsid w:val="00926348"/>
    <w:rsid w:val="0095388A"/>
    <w:rsid w:val="009563A0"/>
    <w:rsid w:val="0096208A"/>
    <w:rsid w:val="00972EA0"/>
    <w:rsid w:val="00976E5C"/>
    <w:rsid w:val="00977604"/>
    <w:rsid w:val="0099618B"/>
    <w:rsid w:val="009C2250"/>
    <w:rsid w:val="009C5D5F"/>
    <w:rsid w:val="009D1165"/>
    <w:rsid w:val="009D78B0"/>
    <w:rsid w:val="009F04FA"/>
    <w:rsid w:val="009F505C"/>
    <w:rsid w:val="009F6459"/>
    <w:rsid w:val="00A55E85"/>
    <w:rsid w:val="00A721A2"/>
    <w:rsid w:val="00AC7F2B"/>
    <w:rsid w:val="00AD2C7E"/>
    <w:rsid w:val="00AF6D8E"/>
    <w:rsid w:val="00B0031C"/>
    <w:rsid w:val="00B02C7B"/>
    <w:rsid w:val="00B14B49"/>
    <w:rsid w:val="00B1697E"/>
    <w:rsid w:val="00B2338E"/>
    <w:rsid w:val="00B55D7A"/>
    <w:rsid w:val="00B611E3"/>
    <w:rsid w:val="00B61DEB"/>
    <w:rsid w:val="00B63F9B"/>
    <w:rsid w:val="00B65489"/>
    <w:rsid w:val="00B70D77"/>
    <w:rsid w:val="00BA1C1F"/>
    <w:rsid w:val="00BC2454"/>
    <w:rsid w:val="00BC2A62"/>
    <w:rsid w:val="00BC6343"/>
    <w:rsid w:val="00BC6754"/>
    <w:rsid w:val="00BD376E"/>
    <w:rsid w:val="00BD5DC0"/>
    <w:rsid w:val="00BE395E"/>
    <w:rsid w:val="00C0470D"/>
    <w:rsid w:val="00C057A5"/>
    <w:rsid w:val="00C11FCB"/>
    <w:rsid w:val="00C145A5"/>
    <w:rsid w:val="00C252CD"/>
    <w:rsid w:val="00C57763"/>
    <w:rsid w:val="00CB50EF"/>
    <w:rsid w:val="00CE7FC2"/>
    <w:rsid w:val="00CF141C"/>
    <w:rsid w:val="00D02A07"/>
    <w:rsid w:val="00D04CCA"/>
    <w:rsid w:val="00D04DD6"/>
    <w:rsid w:val="00D154F3"/>
    <w:rsid w:val="00D26186"/>
    <w:rsid w:val="00D43A65"/>
    <w:rsid w:val="00D50F48"/>
    <w:rsid w:val="00D854EC"/>
    <w:rsid w:val="00D92485"/>
    <w:rsid w:val="00D954BA"/>
    <w:rsid w:val="00DA51B1"/>
    <w:rsid w:val="00DA603F"/>
    <w:rsid w:val="00DC1DC4"/>
    <w:rsid w:val="00DC3DC4"/>
    <w:rsid w:val="00DC656B"/>
    <w:rsid w:val="00DD0F33"/>
    <w:rsid w:val="00DE6379"/>
    <w:rsid w:val="00DE745B"/>
    <w:rsid w:val="00E1120B"/>
    <w:rsid w:val="00E34AA8"/>
    <w:rsid w:val="00E3791B"/>
    <w:rsid w:val="00E50D2E"/>
    <w:rsid w:val="00E54CAA"/>
    <w:rsid w:val="00E562D4"/>
    <w:rsid w:val="00E718D2"/>
    <w:rsid w:val="00E955EC"/>
    <w:rsid w:val="00E95A81"/>
    <w:rsid w:val="00EA7407"/>
    <w:rsid w:val="00EB0775"/>
    <w:rsid w:val="00EB1322"/>
    <w:rsid w:val="00EB181E"/>
    <w:rsid w:val="00EB6422"/>
    <w:rsid w:val="00EE562A"/>
    <w:rsid w:val="00F1211D"/>
    <w:rsid w:val="00F23295"/>
    <w:rsid w:val="00F74AC0"/>
    <w:rsid w:val="00F77584"/>
    <w:rsid w:val="00F9003E"/>
    <w:rsid w:val="00FA2C78"/>
    <w:rsid w:val="00FA3DDB"/>
    <w:rsid w:val="00FB74E9"/>
    <w:rsid w:val="00FC7161"/>
    <w:rsid w:val="00FD0463"/>
    <w:rsid w:val="00FD3B70"/>
    <w:rsid w:val="012D4D9F"/>
    <w:rsid w:val="107F06C3"/>
    <w:rsid w:val="1FB65E8A"/>
    <w:rsid w:val="263D2F75"/>
    <w:rsid w:val="281E6773"/>
    <w:rsid w:val="3C7A0E69"/>
    <w:rsid w:val="4B1636E7"/>
    <w:rsid w:val="788F4E11"/>
    <w:rsid w:val="7A6473B2"/>
    <w:rsid w:val="7B7003C3"/>
    <w:rsid w:val="7D4D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2019&#24180;&#39044;&#31639;&#20844;&#24320;\2019&#24180;&#21306;&#22478;&#31649;&#23616;&#37096;&#38376;&#39044;&#31639;&#20844;&#24320;&#35828;&#2612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2019年区城管局部门预算公开说明</Template>
  <Pages>8</Pages>
  <Words>375</Words>
  <Characters>2142</Characters>
  <Lines>17</Lines>
  <Paragraphs>5</Paragraphs>
  <TotalTime>14</TotalTime>
  <ScaleCrop>false</ScaleCrop>
  <LinksUpToDate>false</LinksUpToDate>
  <CharactersWithSpaces>2512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2019-01-16T08:00:00Z</dcterms:created>
  <dc:creator>clear</dc:creator>
  <cp:lastModifiedBy>0ZHI0</cp:lastModifiedBy>
  <dcterms:modified xsi:type="dcterms:W3CDTF">2020-01-07T02:51:42Z</dcterms:modified>
  <dc:title>附件1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