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赫山区商务局</w:t>
      </w:r>
      <w:r>
        <w:rPr>
          <w:rFonts w:hint="eastAsia" w:ascii="宋体" w:hAnsi="宋体" w:eastAsia="宋体" w:cs="宋体"/>
          <w:sz w:val="44"/>
          <w:szCs w:val="44"/>
        </w:rPr>
        <w:t>2020年部门预算公开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第一部分：单位2020年部门预算说明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2、机构设置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第二部分：2020年部门预算公开的表格情况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第一部分：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商务局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部门2020年部门预算说明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（一）贯彻落实国家有关内外贸易、国际经济技术合作的发展方针、政策，拟定全区商贸流通中长期发展规划以及规定、办法和措施。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（二）推进流通体制改革。培育发展城乡市场，推进流通产业结构调整现代物流配送、电子商务等现代流通方式。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（三）加强流通领域市场体系建设。负责全区商业网点和市场建设的规范管理。监测分析市场运行和商品供求状况，组织实施重要消费品市场调控。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承担牵头协调整顿和规范全区市场秩序工作的责任，提出整顿和规范全区市场秩序的工作建议，推动商务领域信用建设，指导商业信用销售，建立市场诚信公共服务平台，按有关规定对特殊流通行业进行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调查研究流通行业重大问题，提出政策建议；制定全区商品流通业和商贸服务业（含餐饮业、住宿业等）的市场准则，承担行业管理工作；负责全区生猪定点屠宰的监督管理工作；对原油、成品油市场进行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六）执行国家制定的进出口商品管理办法，进出口商品目录和进出口配额招标政策，组织协调全区进出口商品配额招标；编制并组织实施一般商品的进出口年度计划；负责出口商品基地建设的指导和出口品牌培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七）负责全区对外贸易经营者的备案登记和管理工作；指导协调机电产品、高新技术产品的贸易促进工作；指导协调全区外贸企业的出口退税、出口信用保险工作；研究促进区内企业进口的政策措施，做好重要工业品、原材料进口的管理和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八）配合国家商务部、省商务厅、市商务局反倾销、反补贴、保障措施案件在区内涉案企业的产业损害调查；配合、指导、协调国外对本区出口商品的反补贴、反倾销、保障措施案件的调查应诉工作；承担全区范围内有关世贸组织知识的咨询、宣传和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九）承担全区对外经济技术合作工作。指导和监督全区对外承包工程、劳务合作、对外投资设立企业（金融企业除外）等对外经济合作业务；指导、协调和管理外经项目的设备出口；指导和管理全区对外援助和受援项目；负责承办进出口贸易、劳务输出、经济技术合作、技术培训、“三资”企业等外经贸因公临时出国（境）任务的初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十）贯彻执行国家有关承接产业转移、发展加工贸易的政策，拟订全区承接产业转移、发展加工贸易的规划和措施；负责对全区加工贸易企业进行业务指导和协调；牵头拟订服务贸易发展规划，推动服务对外承包平台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十一）负责组织协调相关企业参加商务部、省政府、省商务厅、市政府、市商务局举办的内外贸易促销活动和对外经济技术合作活动，指导、协调以赫山区名义在境内外举办的各种内外贸交易会、展览会、展销会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（十二）负责直属企业的监督管理；负责申报和管理国家和省外经、外贸、内贸流通项目资金；负责全区外贸企业改革中的重大问题，指导全区外贸企业进行改革。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（十三）承担全区商务系统统计及信息发布工作，提供信息咨询服务；指导全区流通领域信息网络和电子商务建设；指导全区商贸流通行业协会、学会等社团组织工作。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（十四）承办区人民政府交办的其他事项。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根据上述职责，区商务局其有9个内设机构，分别是：1、办公室（政务服务股）； 2、人事股（企业改制办公室）；3、财务审计股；4、外经外贸股；5、市场调节股；6、市场建设股； 7、市场秩序股（法规股）；8、综治维稳安全生产办公室； 9、纪检监察室、工会按有关规定设置。另设公益一类事业单位3个,分别是：1、区投资促进服务中心（副科级公益一类事业单位）；2、商务行政综合执法大队（公益一类事业机构）；3、益阳市赫山区行业办（股级公益一类事业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商务局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部门只有本级，没有其他二级预算单位，因此，纳入2020年部门预算编制范围的只有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商务局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部门本级。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（一）收入预算，2020年年初预算数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756.75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万元，其中，一般公共预算拨款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421.60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万元。收入较去年减少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1.99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人员减少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（二）支出预算，2020年年初预算数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756.75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工资福利支出374.43万元，一般商品服务支出291.45万元，对个人和家庭补助支出9.87万元，业务类专项支出81万元。支出较去年减少1.99万元，主要是人员减少。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2020年一般公共预算拨款收入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421.60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（一）基本支出：2020年年初预算数为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340.60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（二）项目支出：2020年年初预算数为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万元，是指单位为完成特定行政工作任务或事业发展目标而发生的支出，包括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信访维稳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5万、产业发展工作经费5万、党建经费1万、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外贸发展专项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电子商务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农贸市场保洁费支出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等。其中：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外贸发展专项</w:t>
      </w:r>
      <w:r>
        <w:rPr>
          <w:rFonts w:hint="eastAsia" w:ascii="仿宋_GB2312" w:hAnsi="仿宋_GB2312" w:eastAsia="仿宋_GB2312" w:cs="仿宋_GB2312"/>
          <w:sz w:val="30"/>
          <w:szCs w:val="30"/>
        </w:rPr>
        <w:t>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外贸发展企业的奖励</w:t>
      </w:r>
      <w:r>
        <w:rPr>
          <w:rFonts w:hint="eastAsia" w:ascii="仿宋_GB2312" w:hAnsi="仿宋_GB2312" w:eastAsia="仿宋_GB2312" w:cs="仿宋_GB2312"/>
          <w:sz w:val="30"/>
          <w:szCs w:val="30"/>
        </w:rPr>
        <w:t>等方面；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电子商务专项</w:t>
      </w:r>
      <w:r>
        <w:rPr>
          <w:rFonts w:hint="eastAsia" w:ascii="仿宋_GB2312" w:hAnsi="仿宋_GB2312" w:eastAsia="仿宋_GB2312" w:cs="仿宋_GB2312"/>
          <w:sz w:val="30"/>
          <w:szCs w:val="30"/>
        </w:rPr>
        <w:t>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万元，主要用于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电子商务企业调研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培训</w:t>
      </w:r>
      <w:r>
        <w:rPr>
          <w:rFonts w:hint="eastAsia" w:ascii="仿宋_GB2312" w:hAnsi="仿宋_GB2312" w:eastAsia="仿宋_GB2312" w:cs="仿宋_GB2312"/>
          <w:sz w:val="30"/>
          <w:szCs w:val="30"/>
        </w:rPr>
        <w:t>等方面；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农贸市场保洁费支出，主要用于农贸市场保洁费发放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五、其他重要事项的情况说明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1、机关运行经费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局机关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的机关运行经费一般公共预算拨款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32.44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万元，比2019年预算减少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1.44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万元，下降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4.25</w:t>
      </w:r>
      <w:r>
        <w:rPr>
          <w:rFonts w:hint="eastAsia" w:ascii="仿宋_GB2312" w:hAnsi="仿宋_GB2312" w:eastAsia="仿宋_GB2312" w:cs="仿宋_GB2312"/>
          <w:sz w:val="30"/>
          <w:szCs w:val="30"/>
        </w:rPr>
        <w:t>%。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主要原因是单位制定绩效管理办法，厉行节约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2020年“三公”经费预算数为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11.28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万元，其中，公务接待费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11.28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万元，公务用车购置及运行费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万元（其中，公务用车购置费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万元，公务用车运行费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万元），因公出国（境）费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万元。2020年“三公”经费预算较2019年减少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万元，主要是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严格执行公务接待制度，公务接待费用进一步减少。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局机关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采购预算总额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4.国有资产占用使用情况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截至2019年12月31日，本部门共有车辆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辆，其中：一般公务用车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辆，一般执法执勤用车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辆，特种专业技术用车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辆，其他用车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辆。单位价值50万元以上通用设备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台 ，单位价值100万元以上专用设备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2020年部门预算预计采购车辆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辆，50万元以上通用设备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台 ，单位价值100万元以上专用设备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5.预算绩效目标情况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局机关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整体支出绩效目标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756.75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万元，其中：基本支出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675.75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万元，项目支出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万元。全部实行整体支出绩效目标管理，涉及一般公共预算当年拨款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421.60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2020年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局机关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项目支出绩效目标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万元，其中：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农贸市场保洁费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全部实行项目支出绩效目标管理，涉及一般公共预算当年拨款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第二部分：部门预算公开的表格情况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1、部门收支总体情况表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2、部门收入总体情况表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3、部门支出总体情况表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5、一般公共预算支出情况表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6、一般公共预算基本支出情况表(纵向)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7、一般公共预算基本支出情况表（横向）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9、一般公共预算“三公”经费支出情况表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11、部门整体支出绩效目标申报表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12、单位项目支出绩效目标申报表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附件：2020年部门预算公开的表格情况.xls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单位名称: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益阳市赫山区商务局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945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8DD78E"/>
    <w:multiLevelType w:val="singleLevel"/>
    <w:tmpl w:val="B98DD7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56C86"/>
    <w:rsid w:val="29EB1869"/>
    <w:rsid w:val="37022CE8"/>
    <w:rsid w:val="3F963542"/>
    <w:rsid w:val="48D56C86"/>
    <w:rsid w:val="5C5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2020-01-13T06:01:00Z</dcterms:created>
  <dc:creator>Min.</dc:creator>
  <cp:lastModifiedBy>Min.</cp:lastModifiedBy>
  <cp:lastPrinted>2020-01-14T03:00:33Z</cp:lastPrinted>
  <dcterms:modified xsi:type="dcterms:W3CDTF">2020-01-14T03:01:53Z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