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ind w:left="0" w:right="0" w:firstLine="880" w:firstLineChars="200"/>
        <w:jc w:val="center"/>
        <w:textAlignment w:val="auto"/>
        <w:outlineLvl w:val="9"/>
        <w:rPr>
          <w:rFonts w:hint="eastAsia" w:ascii="黑体" w:hAnsi="黑体" w:eastAsia="黑体" w:cs="黑体"/>
          <w:b w:val="0"/>
          <w:bCs/>
          <w:color w:val="212121"/>
          <w:sz w:val="44"/>
          <w:szCs w:val="44"/>
        </w:rPr>
      </w:pPr>
      <w:r>
        <w:rPr>
          <w:rFonts w:hint="eastAsia" w:ascii="黑体" w:hAnsi="黑体" w:eastAsia="黑体" w:cs="黑体"/>
          <w:b w:val="0"/>
          <w:bCs/>
          <w:color w:val="212121"/>
          <w:sz w:val="44"/>
          <w:szCs w:val="44"/>
        </w:rPr>
        <w:t>赫山区</w:t>
      </w:r>
      <w:r>
        <w:rPr>
          <w:rFonts w:hint="eastAsia" w:ascii="黑体" w:hAnsi="黑体" w:eastAsia="黑体" w:cs="黑体"/>
          <w:b w:val="0"/>
          <w:bCs/>
          <w:color w:val="212121"/>
          <w:sz w:val="44"/>
          <w:szCs w:val="44"/>
          <w:lang w:eastAsia="zh-CN"/>
        </w:rPr>
        <w:t>供销社</w:t>
      </w:r>
    </w:p>
    <w:p>
      <w:pPr>
        <w:pStyle w:val="3"/>
        <w:keepNext w:val="0"/>
        <w:keepLines w:val="0"/>
        <w:pageBreakBefore w:val="0"/>
        <w:widowControl/>
        <w:kinsoku/>
        <w:wordWrap/>
        <w:overflowPunct/>
        <w:topLinePunct w:val="0"/>
        <w:autoSpaceDE/>
        <w:autoSpaceDN/>
        <w:bidi w:val="0"/>
        <w:adjustRightInd/>
        <w:snapToGrid/>
        <w:spacing w:line="33" w:lineRule="atLeast"/>
        <w:ind w:left="0" w:right="0" w:firstLine="88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44"/>
          <w:szCs w:val="44"/>
          <w:lang w:val="en-US" w:eastAsia="zh-CN"/>
        </w:rPr>
        <w:t>2018年度</w:t>
      </w:r>
      <w:r>
        <w:rPr>
          <w:rFonts w:hint="eastAsia" w:ascii="黑体" w:hAnsi="黑体" w:eastAsia="黑体" w:cs="黑体"/>
          <w:b w:val="0"/>
          <w:bCs/>
          <w:sz w:val="44"/>
          <w:szCs w:val="44"/>
          <w:lang w:eastAsia="zh-CN"/>
        </w:rPr>
        <w:t>部门决算公开</w:t>
      </w:r>
    </w:p>
    <w:p>
      <w:pPr>
        <w:pStyle w:val="3"/>
        <w:keepNext w:val="0"/>
        <w:keepLines w:val="0"/>
        <w:pageBreakBefore w:val="0"/>
        <w:widowControl/>
        <w:kinsoku/>
        <w:wordWrap/>
        <w:overflowPunct/>
        <w:topLinePunct w:val="0"/>
        <w:autoSpaceDE/>
        <w:autoSpaceDN/>
        <w:bidi w:val="0"/>
        <w:adjustRightInd/>
        <w:snapToGrid/>
        <w:spacing w:line="33" w:lineRule="atLeast"/>
        <w:ind w:left="0" w:right="0" w:firstLine="560" w:firstLineChars="200"/>
        <w:jc w:val="center"/>
        <w:textAlignment w:val="auto"/>
        <w:outlineLvl w:val="9"/>
        <w:rPr>
          <w:rFonts w:hint="eastAsia" w:ascii="仿宋" w:hAnsi="仿宋" w:eastAsia="仿宋" w:cs="仿宋"/>
          <w:sz w:val="28"/>
          <w:szCs w:val="28"/>
          <w:lang w:eastAsia="zh-CN"/>
        </w:rPr>
      </w:pPr>
    </w:p>
    <w:p>
      <w:pPr>
        <w:widowControl/>
        <w:jc w:val="center"/>
        <w:rPr>
          <w:rFonts w:hint="eastAsia" w:ascii="仿宋_GB2312" w:eastAsia="仿宋_GB2312"/>
          <w:b/>
          <w:bCs/>
          <w:kern w:val="0"/>
          <w:sz w:val="30"/>
          <w:szCs w:val="30"/>
        </w:rPr>
      </w:pPr>
      <w:r>
        <w:rPr>
          <w:rFonts w:hint="eastAsia" w:ascii="仿宋_GB2312" w:eastAsia="仿宋_GB2312"/>
          <w:b/>
          <w:bCs/>
          <w:kern w:val="0"/>
          <w:sz w:val="44"/>
          <w:szCs w:val="44"/>
        </w:rPr>
        <w:t>目录</w:t>
      </w: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第一部分  </w:t>
      </w:r>
      <w:r>
        <w:rPr>
          <w:rFonts w:hint="eastAsia" w:ascii="仿宋_GB2312" w:hAnsi="方正小标宋_GBK" w:eastAsia="仿宋_GB2312" w:cs="方正小标宋_GBK"/>
          <w:b/>
          <w:bCs/>
          <w:sz w:val="32"/>
          <w:szCs w:val="32"/>
          <w:lang w:eastAsia="zh-CN"/>
        </w:rPr>
        <w:t>赫山区供销社</w:t>
      </w:r>
      <w:r>
        <w:rPr>
          <w:rFonts w:hint="eastAsia" w:ascii="仿宋_GB2312" w:eastAsia="仿宋_GB2312"/>
          <w:b/>
          <w:bCs/>
          <w:kern w:val="0"/>
          <w:sz w:val="32"/>
          <w:szCs w:val="32"/>
        </w:rPr>
        <w:t>单位概况</w:t>
      </w:r>
    </w:p>
    <w:p>
      <w:pPr>
        <w:widowControl/>
        <w:rPr>
          <w:rFonts w:hint="eastAsia" w:ascii="仿宋_GB2312" w:eastAsia="仿宋_GB2312"/>
          <w:bCs/>
          <w:kern w:val="0"/>
          <w:sz w:val="32"/>
          <w:szCs w:val="32"/>
        </w:rPr>
      </w:pPr>
      <w:r>
        <w:rPr>
          <w:rFonts w:hint="eastAsia" w:ascii="仿宋_GB2312" w:eastAsia="仿宋_GB2312"/>
          <w:bCs/>
          <w:kern w:val="0"/>
          <w:sz w:val="32"/>
          <w:szCs w:val="32"/>
        </w:rPr>
        <w:t>一、主要职能</w:t>
      </w:r>
    </w:p>
    <w:p>
      <w:pPr>
        <w:widowControl/>
        <w:rPr>
          <w:rFonts w:hint="eastAsia" w:ascii="仿宋_GB2312" w:eastAsia="仿宋_GB2312"/>
          <w:bCs/>
          <w:kern w:val="0"/>
          <w:sz w:val="32"/>
          <w:szCs w:val="32"/>
        </w:rPr>
      </w:pPr>
      <w:r>
        <w:rPr>
          <w:rFonts w:hint="eastAsia" w:ascii="仿宋_GB2312" w:eastAsia="仿宋_GB2312"/>
          <w:bCs/>
          <w:kern w:val="0"/>
          <w:sz w:val="32"/>
          <w:szCs w:val="32"/>
        </w:rPr>
        <w:t>二、部门决算单位构成</w:t>
      </w: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第二部分  </w:t>
      </w:r>
      <w:r>
        <w:rPr>
          <w:rFonts w:hint="eastAsia" w:ascii="仿宋_GB2312" w:hAnsi="方正小标宋_GBK" w:eastAsia="仿宋_GB2312" w:cs="方正小标宋_GBK"/>
          <w:b/>
          <w:bCs/>
          <w:sz w:val="32"/>
          <w:szCs w:val="32"/>
          <w:lang w:eastAsia="zh-CN"/>
        </w:rPr>
        <w:t>赫山区供销社</w:t>
      </w:r>
      <w:r>
        <w:rPr>
          <w:rFonts w:hint="eastAsia" w:ascii="仿宋_GB2312" w:eastAsia="仿宋_GB2312"/>
          <w:b/>
          <w:bCs/>
          <w:kern w:val="0"/>
          <w:sz w:val="32"/>
          <w:szCs w:val="32"/>
        </w:rPr>
        <w:t>单位201</w:t>
      </w:r>
      <w:r>
        <w:rPr>
          <w:rFonts w:hint="eastAsia" w:ascii="仿宋_GB2312" w:eastAsia="仿宋_GB2312"/>
          <w:b/>
          <w:bCs/>
          <w:kern w:val="0"/>
          <w:sz w:val="32"/>
          <w:szCs w:val="32"/>
          <w:lang w:val="en-US" w:eastAsia="zh-CN"/>
        </w:rPr>
        <w:t>8</w:t>
      </w:r>
      <w:r>
        <w:rPr>
          <w:rFonts w:hint="eastAsia" w:ascii="仿宋_GB2312" w:eastAsia="仿宋_GB2312"/>
          <w:b/>
          <w:bCs/>
          <w:kern w:val="0"/>
          <w:sz w:val="32"/>
          <w:szCs w:val="32"/>
        </w:rPr>
        <w:t>年度部门决算表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一、收入支出决算总表</w:t>
      </w:r>
    </w:p>
    <w:p>
      <w:pPr>
        <w:widowControl/>
        <w:rPr>
          <w:rFonts w:hint="eastAsia" w:ascii="仿宋_GB2312" w:eastAsia="仿宋_GB2312"/>
          <w:bCs/>
          <w:kern w:val="0"/>
          <w:sz w:val="32"/>
          <w:szCs w:val="32"/>
        </w:rPr>
      </w:pPr>
      <w:r>
        <w:rPr>
          <w:rFonts w:hint="eastAsia" w:ascii="仿宋_GB2312" w:eastAsia="仿宋_GB2312"/>
          <w:bCs/>
          <w:kern w:val="0"/>
          <w:sz w:val="32"/>
          <w:szCs w:val="32"/>
        </w:rPr>
        <w:t>二、收入决算表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三、支出决算表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四、财政拨款收入支出决算总表</w:t>
      </w:r>
    </w:p>
    <w:p>
      <w:pPr>
        <w:widowControl/>
        <w:rPr>
          <w:rFonts w:hint="eastAsia" w:ascii="仿宋_GB2312" w:eastAsia="仿宋_GB2312"/>
          <w:bCs/>
          <w:kern w:val="0"/>
          <w:sz w:val="32"/>
          <w:szCs w:val="32"/>
        </w:rPr>
      </w:pPr>
      <w:r>
        <w:rPr>
          <w:rFonts w:hint="eastAsia" w:ascii="仿宋_GB2312" w:eastAsia="仿宋_GB2312"/>
          <w:bCs/>
          <w:kern w:val="0"/>
          <w:sz w:val="32"/>
          <w:szCs w:val="32"/>
        </w:rPr>
        <w:t>五、一般公共预算财政拨款支出决算表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六、一般公共预算财政拨款基本支出决算表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七、</w:t>
      </w:r>
      <w:r>
        <w:rPr>
          <w:rFonts w:hint="eastAsia" w:ascii="仿宋_GB2312" w:hAnsi="楷体" w:eastAsia="仿宋_GB2312" w:cs="楷体"/>
          <w:sz w:val="32"/>
        </w:rPr>
        <w:t>一般公共预算财政拨款“三公”经费支出决算表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八、政府性基金预算财政拨款收入支出决算表</w:t>
      </w:r>
    </w:p>
    <w:p>
      <w:pPr>
        <w:widowControl/>
        <w:rPr>
          <w:rFonts w:hint="eastAsia" w:ascii="仿宋_GB2312" w:eastAsia="仿宋_GB2312"/>
          <w:bCs/>
          <w:kern w:val="0"/>
          <w:sz w:val="32"/>
          <w:szCs w:val="32"/>
          <w:lang w:eastAsia="zh-CN"/>
        </w:rPr>
      </w:pPr>
      <w:r>
        <w:rPr>
          <w:rFonts w:hint="eastAsia" w:ascii="仿宋_GB2312" w:eastAsia="仿宋_GB2312"/>
          <w:bCs/>
          <w:kern w:val="0"/>
          <w:sz w:val="32"/>
          <w:szCs w:val="32"/>
          <w:lang w:eastAsia="zh-CN"/>
        </w:rPr>
        <w:t>九、政府采购情况公开表</w:t>
      </w: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第三部分  </w:t>
      </w:r>
      <w:r>
        <w:rPr>
          <w:rFonts w:hint="eastAsia" w:ascii="仿宋_GB2312" w:hAnsi="方正小标宋_GBK" w:eastAsia="仿宋_GB2312" w:cs="方正小标宋_GBK"/>
          <w:b/>
          <w:bCs/>
          <w:sz w:val="32"/>
          <w:szCs w:val="32"/>
          <w:lang w:eastAsia="zh-CN"/>
        </w:rPr>
        <w:t>赫山区供销社</w:t>
      </w:r>
      <w:r>
        <w:rPr>
          <w:rFonts w:hint="eastAsia" w:ascii="仿宋_GB2312" w:eastAsia="仿宋_GB2312"/>
          <w:b/>
          <w:bCs/>
          <w:kern w:val="0"/>
          <w:sz w:val="32"/>
          <w:szCs w:val="32"/>
        </w:rPr>
        <w:t>单位201</w:t>
      </w:r>
      <w:r>
        <w:rPr>
          <w:rFonts w:hint="eastAsia" w:ascii="仿宋_GB2312" w:eastAsia="仿宋_GB2312"/>
          <w:b/>
          <w:bCs/>
          <w:kern w:val="0"/>
          <w:sz w:val="32"/>
          <w:szCs w:val="32"/>
          <w:lang w:val="en-US" w:eastAsia="zh-CN"/>
        </w:rPr>
        <w:t>8</w:t>
      </w:r>
      <w:r>
        <w:rPr>
          <w:rFonts w:hint="eastAsia" w:ascii="仿宋_GB2312" w:eastAsia="仿宋_GB2312"/>
          <w:b/>
          <w:bCs/>
          <w:kern w:val="0"/>
          <w:sz w:val="32"/>
          <w:szCs w:val="32"/>
        </w:rPr>
        <w:t>年度部门决算情况说明</w:t>
      </w:r>
    </w:p>
    <w:p>
      <w:pPr>
        <w:widowControl/>
        <w:rPr>
          <w:rFonts w:hint="eastAsia" w:ascii="仿宋_GB2312" w:eastAsia="仿宋_GB2312"/>
          <w:b/>
          <w:bCs/>
          <w:kern w:val="0"/>
          <w:sz w:val="32"/>
          <w:szCs w:val="32"/>
        </w:rPr>
      </w:pPr>
      <w:r>
        <w:rPr>
          <w:rFonts w:hint="eastAsia" w:ascii="仿宋_GB2312" w:eastAsia="仿宋_GB2312"/>
          <w:b/>
          <w:bCs/>
          <w:kern w:val="0"/>
          <w:sz w:val="32"/>
          <w:szCs w:val="32"/>
        </w:rPr>
        <w:t>第四部分  名词解释</w:t>
      </w: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pStyle w:val="3"/>
        <w:keepNext w:val="0"/>
        <w:keepLines w:val="0"/>
        <w:pageBreakBefore w:val="0"/>
        <w:widowControl/>
        <w:kinsoku/>
        <w:wordWrap/>
        <w:overflowPunct/>
        <w:topLinePunct w:val="0"/>
        <w:autoSpaceDE/>
        <w:autoSpaceDN/>
        <w:bidi w:val="0"/>
        <w:adjustRightInd/>
        <w:snapToGrid/>
        <w:spacing w:line="33" w:lineRule="atLeast"/>
        <w:ind w:left="0" w:right="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color w:val="212121"/>
          <w:sz w:val="32"/>
          <w:szCs w:val="32"/>
          <w:lang w:val="en-US" w:eastAsia="zh-CN"/>
        </w:rPr>
        <w:t xml:space="preserve">第一部分  </w:t>
      </w:r>
      <w:r>
        <w:rPr>
          <w:rFonts w:hint="eastAsia" w:ascii="黑体" w:hAnsi="黑体" w:eastAsia="黑体" w:cs="黑体"/>
          <w:b/>
          <w:bCs/>
          <w:color w:val="212121"/>
          <w:sz w:val="32"/>
          <w:szCs w:val="32"/>
          <w:lang w:eastAsia="zh-CN"/>
        </w:rPr>
        <w:t>单位概况</w:t>
      </w:r>
    </w:p>
    <w:p>
      <w:pPr>
        <w:keepNext w:val="0"/>
        <w:keepLines w:val="0"/>
        <w:pageBreakBefore w:val="0"/>
        <w:kinsoku/>
        <w:wordWrap/>
        <w:overflowPunct/>
        <w:topLinePunct w:val="0"/>
        <w:autoSpaceDE/>
        <w:autoSpaceDN/>
        <w:bidi w:val="0"/>
        <w:adjustRightInd/>
        <w:snapToGrid/>
        <w:ind w:left="0" w:right="0" w:firstLine="643" w:firstLineChars="200"/>
        <w:textAlignment w:val="auto"/>
        <w:outlineLvl w:val="9"/>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一、主要职责</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赫山区</w:t>
      </w:r>
      <w:r>
        <w:rPr>
          <w:rFonts w:hint="eastAsia" w:ascii="仿宋" w:hAnsi="仿宋" w:eastAsia="仿宋" w:cs="仿宋"/>
          <w:color w:val="000000"/>
          <w:kern w:val="0"/>
          <w:sz w:val="32"/>
          <w:szCs w:val="32"/>
          <w:lang w:eastAsia="zh-CN"/>
        </w:rPr>
        <w:t>供销社为</w:t>
      </w:r>
      <w:r>
        <w:rPr>
          <w:rFonts w:hint="eastAsia" w:ascii="仿宋" w:hAnsi="仿宋" w:eastAsia="仿宋" w:cs="仿宋"/>
          <w:sz w:val="32"/>
          <w:szCs w:val="32"/>
        </w:rPr>
        <w:t>参照公务员管理的差额拨款单位，主要职责为指导农村合作经营规范发展，组织协调农业生产资料的供应和各项为农服务工作，授权承担重要农业生产资料，农副产品的储备和适时调控市场，协调有关部门关系，维护供销合作社组织及社有企业的合法权益</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ind w:left="0" w:right="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二、部门决算单位构成</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本单位只有部门本级，没有其他二级决算单位。</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本单位设办公室、人事股、财计股、资产管理股和合作指导股，定编27人，实有在职人员21人，离退休人员39人。</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ind w:left="0" w:right="0" w:firstLine="643" w:firstLineChars="200"/>
        <w:textAlignment w:val="auto"/>
        <w:outlineLvl w:val="9"/>
        <w:rPr>
          <w:rFonts w:hint="eastAsia" w:ascii="黑体" w:hAnsi="黑体" w:eastAsia="黑体" w:cs="黑体"/>
          <w:b/>
          <w:bCs/>
          <w:color w:val="212121"/>
          <w:sz w:val="32"/>
          <w:szCs w:val="32"/>
          <w:lang w:val="en-US" w:eastAsia="zh-CN"/>
        </w:rPr>
      </w:pPr>
      <w:r>
        <w:rPr>
          <w:rFonts w:hint="eastAsia" w:ascii="黑体" w:hAnsi="黑体" w:eastAsia="黑体" w:cs="黑体"/>
          <w:b/>
          <w:bCs/>
          <w:color w:val="212121"/>
          <w:sz w:val="32"/>
          <w:szCs w:val="32"/>
          <w:lang w:val="en-US" w:eastAsia="zh-CN"/>
        </w:rPr>
        <w:t xml:space="preserve"> 区供销社2018年度部门决算表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表1：收入支出决算总表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表2：收入决算表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表3：支出决算表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表4：财政拨款收入支出决算总表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表5：一般公共预算财政拨款收入支出决算表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表6：一般公共预算财政拨款基本支出决算表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表7：一般公共预算财政拨款“三公”经费支出决算表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表8：政府性基金预算财政拨款收入支出决算表</w:t>
      </w:r>
    </w:p>
    <w:p>
      <w:pPr>
        <w:keepNext w:val="0"/>
        <w:keepLines w:val="0"/>
        <w:pageBreakBefore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Cs/>
          <w:kern w:val="0"/>
          <w:sz w:val="32"/>
          <w:szCs w:val="32"/>
        </w:rPr>
        <w:t>以上区</w:t>
      </w:r>
      <w:r>
        <w:rPr>
          <w:rFonts w:hint="eastAsia" w:ascii="仿宋" w:hAnsi="仿宋" w:eastAsia="仿宋" w:cs="仿宋"/>
          <w:bCs/>
          <w:kern w:val="0"/>
          <w:sz w:val="32"/>
          <w:szCs w:val="32"/>
          <w:lang w:eastAsia="zh-CN"/>
        </w:rPr>
        <w:t>供销社</w:t>
      </w:r>
      <w:r>
        <w:rPr>
          <w:rFonts w:hint="eastAsia" w:ascii="仿宋" w:hAnsi="仿宋" w:eastAsia="仿宋" w:cs="仿宋"/>
          <w:bCs/>
          <w:kern w:val="0"/>
          <w:sz w:val="32"/>
          <w:szCs w:val="32"/>
        </w:rPr>
        <w:t>公开表格附后</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b w:val="0"/>
          <w:bCs w:val="0"/>
          <w:color w:val="212121"/>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ind w:left="0" w:right="0" w:firstLine="643" w:firstLineChars="200"/>
        <w:textAlignment w:val="auto"/>
        <w:outlineLvl w:val="9"/>
        <w:rPr>
          <w:rFonts w:hint="eastAsia" w:ascii="黑体" w:hAnsi="黑体" w:eastAsia="黑体" w:cs="黑体"/>
          <w:b/>
          <w:bCs/>
          <w:color w:val="212121"/>
          <w:sz w:val="32"/>
          <w:szCs w:val="32"/>
          <w:lang w:val="en-US" w:eastAsia="zh-CN"/>
        </w:rPr>
      </w:pPr>
      <w:r>
        <w:rPr>
          <w:rFonts w:hint="eastAsia" w:ascii="黑体" w:hAnsi="黑体" w:eastAsia="黑体" w:cs="黑体"/>
          <w:b/>
          <w:bCs/>
          <w:color w:val="212121"/>
          <w:sz w:val="32"/>
          <w:szCs w:val="32"/>
          <w:lang w:val="en-US" w:eastAsia="zh-CN"/>
        </w:rPr>
        <w:t xml:space="preserve"> </w:t>
      </w:r>
      <w:r>
        <w:rPr>
          <w:rFonts w:hint="eastAsia" w:ascii="黑体" w:hAnsi="黑体" w:eastAsia="黑体" w:cs="黑体"/>
          <w:b/>
          <w:bCs/>
          <w:color w:val="212121"/>
          <w:sz w:val="32"/>
          <w:szCs w:val="32"/>
          <w:lang w:eastAsia="zh-CN"/>
        </w:rPr>
        <w:t>区供销社</w:t>
      </w:r>
      <w:r>
        <w:rPr>
          <w:rFonts w:hint="eastAsia" w:ascii="黑体" w:hAnsi="黑体" w:eastAsia="黑体" w:cs="黑体"/>
          <w:b/>
          <w:bCs/>
          <w:color w:val="212121"/>
          <w:sz w:val="32"/>
          <w:szCs w:val="32"/>
          <w:lang w:val="en-US" w:eastAsia="zh-CN"/>
        </w:rPr>
        <w:t>2018年度部门决算情况说明</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本单位本年度收入支出决算总体情况说明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区供销社2018年度收入总计为4998747元，比上年同期减少15555230元，减少75.68%。支出总计4998747元，比上年同期减少15555230元，减少75.68%。主要原因是我社所属棉麻收储中心团洲仓库棚改项目1544万元，纳入我单位预算，如剔去此项收支金额为511.4万元，收支均比上年增长7.8%。</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关于区供销社2018年度收入决算情况说明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2018年度收入合计4998747万元，全部为财政拨款收入。</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关于区供销社2018年度支出决算情况说明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2018年度支出合计4998747万元，全部为基本支出，其中人员经费支出3375124元，日常公用经费支出1623623元。</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关于区供销社2018年度财政拨款收入支出决算总体情况说明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 xml:space="preserve">  2018年度财政拨款收入总计4998747万元，比上年同期减少15555230元，减少75.68%。财政拨款支出总计4998747万元，比上年同期减少15555230元，减少75.68%，主要原因为我社所属棉麻收储中心团洲仓库棚改项目1544万元，纳入我单位预算，如剔去此项收支，财政拨款为511.4万元，收支均比上年增长7.8%。</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关于区供销社2018年度一般公共预算财政拨款支出决算情况说明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val="0"/>
          <w:bCs w:val="0"/>
          <w:color w:val="212121"/>
          <w:sz w:val="32"/>
          <w:szCs w:val="32"/>
          <w:lang w:val="en-US" w:eastAsia="zh-CN"/>
        </w:rPr>
        <w:t>一般公共预算财政拨款支出总计4998747元，比上年同期减少15555230元，减少75.68%，原因同上。基本支出4998747元，主要是社会保障支出228789元，商品服务支出4634026元，住房保障支出135932元。</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关于区供销社2018年度一般公共预算财政拨款基本支出决算情况说明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2018年度一般公共预算财政拨款支出4998747万元，其中人员经费支出3375124元，包括基本工资889776元，津贴补贴583044元，社保保障缴费577000元，伙食补助费116222元，抚恤金685174元，生活补助64200元，住房公积金135932元，奖励金8480元，其他对个人和家庭补助支出315296元。日常公用经费支出1623623万元，主要包括办公费79806元，印刷费33532元，水电费50354元，邮电费1000元，物业管理费46300元，维修费153677元，会议费15941元，公务接待费98980元，专用材料费452798元，专用燃料费113898元，劳务费23400元，委托劳务费159600元，工会经费56441元，其他商品服务支出337896元。</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我单位没有政府性基金收入，也没有政府性基金安排的支出。</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关于我单位2018年度一般公共预算财政拨款“三公”经费支出决算的说明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2018年度“三公”经费财政拨款支出预算为115000元，支出决算为98980元，其中因公出国（境）、公务用车购置及运行预算未安排，决算数据为零。公务接待决算数为98980万元，共接待84批次，接待852人，比上年减少0.3万元，比预算数少1.6万元，接待支出主要用于系统内涉军人员、下岗失业的上访及有关部门的协调，因缩减三公经费要求，故相关开支有所减少。</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其他重要事项的情况说明</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预决算收支减少15555230元，减少75.68%，主要是我社所属棉麻收储中心团洲仓库棚改项</w:t>
      </w:r>
      <w:bookmarkStart w:id="0" w:name="_GoBack"/>
      <w:bookmarkEnd w:id="0"/>
      <w:r>
        <w:rPr>
          <w:rFonts w:hint="eastAsia" w:ascii="仿宋" w:hAnsi="仿宋" w:eastAsia="仿宋" w:cs="仿宋"/>
          <w:b w:val="0"/>
          <w:bCs w:val="0"/>
          <w:color w:val="212121"/>
          <w:sz w:val="32"/>
          <w:szCs w:val="32"/>
          <w:lang w:val="en-US" w:eastAsia="zh-CN"/>
        </w:rPr>
        <w:t>目1544万元纳入我单位预算所致。其余增加部门预决算为人员正常调资调级影响。</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机关运行经费支出4998747元，比上年减少15555230元，减少75.68%，主要是日常经费的减少。</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本部门2018年度无政府采购项目。</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国有资产占用情况。2018年因公车改革，我单位由财政国有资产股调出公务用车一辆，现单位无公务用车，同时添置电脑三台。</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预算绩效情况说明</w:t>
      </w:r>
    </w:p>
    <w:p>
      <w:pPr>
        <w:keepNext w:val="0"/>
        <w:keepLines w:val="0"/>
        <w:pageBreakBefore w:val="0"/>
        <w:numPr>
          <w:ilvl w:val="0"/>
          <w:numId w:val="0"/>
        </w:numPr>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为规范财政资金管理，提高财政资金使用效益，我社加强了对部门整体支出，特别是津补贴落实，资产管理、三公经费，预决算公开及区委、区政府年度绩效目标个性指标完成情况的评价。按照区委、区政府要求，围绕保系统安全，保系统稳定，保资产增值，保机关运转的目标，不断提升服务水平，保障有关人员待遇落实，推进供销社综合改革，全面提升供销社发展水平，较好完成了各级交办的工作任务。2017年，全系统实现销售8.7亿元，实现利润540万元，新增基层供销社2个，农民专业合作社5个，综合服务社10个，并通过做好（包括涉军人员625人在内的）全系统685人各下岗人员，867名失业人员的服务工作，基本维护了系统额安全稳定。</w:t>
      </w:r>
    </w:p>
    <w:p>
      <w:pPr>
        <w:keepNext w:val="0"/>
        <w:keepLines w:val="0"/>
        <w:pageBreakBefore w:val="0"/>
        <w:numPr>
          <w:ilvl w:val="0"/>
          <w:numId w:val="0"/>
        </w:numPr>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无其他重点绩效评价说明。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line="33" w:lineRule="atLeast"/>
        <w:ind w:left="0" w:right="0" w:rightChars="0" w:firstLine="643" w:firstLineChars="200"/>
        <w:textAlignment w:val="auto"/>
        <w:outlineLvl w:val="9"/>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eastAsia="zh-CN"/>
        </w:rPr>
        <w:t>第四部分</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lang w:eastAsia="zh-CN"/>
        </w:rPr>
        <w:t>名词解释</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 xml:space="preserve">指中央财政当年拨付的资金。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 xml:space="preserve">指事业单位开展专业业务活动及辅助活动所取得的收入。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三、经营收入：</w:t>
      </w:r>
      <w:r>
        <w:rPr>
          <w:rFonts w:hint="eastAsia" w:ascii="仿宋" w:hAnsi="仿宋" w:eastAsia="仿宋" w:cs="仿宋"/>
          <w:sz w:val="32"/>
          <w:szCs w:val="32"/>
        </w:rPr>
        <w:t xml:space="preserve">指事业单位在专业业务活动及其辅助活动之外开展非独立核算经营活动取得的收入。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四、其他收入：</w:t>
      </w:r>
      <w:r>
        <w:rPr>
          <w:rFonts w:hint="eastAsia" w:ascii="仿宋" w:hAnsi="仿宋" w:eastAsia="仿宋" w:cs="仿宋"/>
          <w:sz w:val="32"/>
          <w:szCs w:val="32"/>
        </w:rPr>
        <w:t xml:space="preserve">指除上述“财政拨款收入” 、 “事业收入” 、“经营收入”等以外的收入。主要是按规定动用的售房收入、存款利息收入等。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五、用事业基金弥补收支差额：</w:t>
      </w:r>
      <w:r>
        <w:rPr>
          <w:rFonts w:hint="eastAsia" w:ascii="仿宋" w:hAnsi="仿宋" w:eastAsia="仿宋"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六、年初结转和结余：</w:t>
      </w:r>
      <w:r>
        <w:rPr>
          <w:rFonts w:hint="eastAsia" w:ascii="仿宋" w:hAnsi="仿宋" w:eastAsia="仿宋" w:cs="仿宋"/>
          <w:sz w:val="32"/>
          <w:szCs w:val="32"/>
        </w:rPr>
        <w:t xml:space="preserve">指以前年度尚未完成、结转到本年按有关规定继续使用的资金。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指本年度或以前年度预算安排、因客观条件发生变化无法按原计划实施，需要延迟到以后年度按有关规定继续使用的资金。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指为保障机构正常运转、完成日常工</w:t>
      </w:r>
    </w:p>
    <w:p>
      <w:pPr>
        <w:keepNext w:val="0"/>
        <w:keepLines w:val="0"/>
        <w:pageBreakBefore w:val="0"/>
        <w:kinsoku/>
        <w:wordWrap/>
        <w:overflowPunct/>
        <w:topLinePunct w:val="0"/>
        <w:autoSpaceDE/>
        <w:autoSpaceDN/>
        <w:bidi w:val="0"/>
        <w:adjustRightInd/>
        <w:snapToGrid/>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作任务而发生的人员支出和公用支出。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left="0" w:right="0" w:firstLine="640" w:firstLineChars="20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left="0" w:right="0" w:firstLine="640" w:firstLineChars="20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赫山区供销合作社联合社</w:t>
      </w:r>
    </w:p>
    <w:p>
      <w:pPr>
        <w:keepNext w:val="0"/>
        <w:keepLines w:val="0"/>
        <w:pageBreakBefore w:val="0"/>
        <w:kinsoku/>
        <w:wordWrap/>
        <w:overflowPunct/>
        <w:topLinePunct w:val="0"/>
        <w:autoSpaceDE/>
        <w:autoSpaceDN/>
        <w:bidi w:val="0"/>
        <w:adjustRightInd/>
        <w:snapToGrid/>
        <w:ind w:left="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2019-01-24</w:t>
      </w:r>
    </w:p>
    <w:p>
      <w:pPr>
        <w:pStyle w:val="3"/>
        <w:keepNext w:val="0"/>
        <w:keepLines w:val="0"/>
        <w:pageBreakBefore w:val="0"/>
        <w:widowControl/>
        <w:numPr>
          <w:ilvl w:val="0"/>
          <w:numId w:val="0"/>
        </w:numPr>
        <w:kinsoku/>
        <w:wordWrap/>
        <w:overflowPunct/>
        <w:topLinePunct w:val="0"/>
        <w:autoSpaceDE/>
        <w:autoSpaceDN/>
        <w:bidi w:val="0"/>
        <w:adjustRightInd/>
        <w:snapToGrid/>
        <w:spacing w:line="33" w:lineRule="atLeast"/>
        <w:ind w:left="0" w:right="0" w:rightChars="0" w:firstLine="560"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kern w:val="0"/>
          <w:sz w:val="28"/>
          <w:szCs w:val="28"/>
        </w:rPr>
        <w:br w:type="textWrapping"/>
      </w:r>
      <w:r>
        <w:rPr>
          <w:rFonts w:hint="eastAsia" w:ascii="仿宋" w:hAnsi="仿宋" w:eastAsia="仿宋" w:cs="仿宋"/>
          <w:kern w:val="0"/>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ind w:left="0" w:right="0" w:firstLine="560" w:firstLineChars="200"/>
        <w:textAlignment w:val="auto"/>
        <w:outlineLvl w:val="9"/>
        <w:rPr>
          <w:rFonts w:hint="eastAsia" w:ascii="仿宋" w:hAnsi="仿宋" w:eastAsia="仿宋" w:cs="仿宋"/>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F791F"/>
    <w:multiLevelType w:val="singleLevel"/>
    <w:tmpl w:val="C89F791F"/>
    <w:lvl w:ilvl="0" w:tentative="0">
      <w:start w:val="1"/>
      <w:numFmt w:val="chineseCounting"/>
      <w:suff w:val="nothing"/>
      <w:lvlText w:val="%1、"/>
      <w:lvlJc w:val="left"/>
      <w:pPr>
        <w:ind w:left="642" w:leftChars="0" w:firstLine="0" w:firstLineChars="0"/>
      </w:pPr>
      <w:rPr>
        <w:rFonts w:hint="eastAsia"/>
      </w:rPr>
    </w:lvl>
  </w:abstractNum>
  <w:abstractNum w:abstractNumId="1">
    <w:nsid w:val="DBB0C303"/>
    <w:multiLevelType w:val="singleLevel"/>
    <w:tmpl w:val="DBB0C303"/>
    <w:lvl w:ilvl="0" w:tentative="0">
      <w:start w:val="3"/>
      <w:numFmt w:val="chineseCounting"/>
      <w:suff w:val="space"/>
      <w:lvlText w:val="第%1部分"/>
      <w:lvlJc w:val="left"/>
      <w:rPr>
        <w:rFonts w:hint="eastAsia"/>
      </w:rPr>
    </w:lvl>
  </w:abstractNum>
  <w:abstractNum w:abstractNumId="2">
    <w:nsid w:val="EB9D507F"/>
    <w:multiLevelType w:val="singleLevel"/>
    <w:tmpl w:val="EB9D507F"/>
    <w:lvl w:ilvl="0" w:tentative="0">
      <w:start w:val="1"/>
      <w:numFmt w:val="decimal"/>
      <w:suff w:val="nothing"/>
      <w:lvlText w:val="%1、"/>
      <w:lvlJc w:val="left"/>
    </w:lvl>
  </w:abstractNum>
  <w:abstractNum w:abstractNumId="3">
    <w:nsid w:val="3E9C88E8"/>
    <w:multiLevelType w:val="singleLevel"/>
    <w:tmpl w:val="3E9C88E8"/>
    <w:lvl w:ilvl="0" w:tentative="0">
      <w:start w:val="2"/>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82391"/>
    <w:rsid w:val="02921FDD"/>
    <w:rsid w:val="02B90B9F"/>
    <w:rsid w:val="05782391"/>
    <w:rsid w:val="0A4E4DA3"/>
    <w:rsid w:val="0A7273E2"/>
    <w:rsid w:val="0D8F2A56"/>
    <w:rsid w:val="123A54E5"/>
    <w:rsid w:val="12A76C5D"/>
    <w:rsid w:val="12B3346A"/>
    <w:rsid w:val="13DC214B"/>
    <w:rsid w:val="14E10928"/>
    <w:rsid w:val="161A064D"/>
    <w:rsid w:val="165430E9"/>
    <w:rsid w:val="200A4DB7"/>
    <w:rsid w:val="213F73B2"/>
    <w:rsid w:val="26B06F45"/>
    <w:rsid w:val="27DD0651"/>
    <w:rsid w:val="288A595E"/>
    <w:rsid w:val="28B6313C"/>
    <w:rsid w:val="29044148"/>
    <w:rsid w:val="2EA3271D"/>
    <w:rsid w:val="2ECC1B3F"/>
    <w:rsid w:val="302A7118"/>
    <w:rsid w:val="30B86635"/>
    <w:rsid w:val="30BC0927"/>
    <w:rsid w:val="3C317A8D"/>
    <w:rsid w:val="3D0A6CC4"/>
    <w:rsid w:val="3EA8344C"/>
    <w:rsid w:val="40445977"/>
    <w:rsid w:val="41816791"/>
    <w:rsid w:val="418F3FFC"/>
    <w:rsid w:val="45FE61F2"/>
    <w:rsid w:val="46DC7DB1"/>
    <w:rsid w:val="4BBE4411"/>
    <w:rsid w:val="4CA423FB"/>
    <w:rsid w:val="4F3A34E6"/>
    <w:rsid w:val="4F8955F7"/>
    <w:rsid w:val="52D336C9"/>
    <w:rsid w:val="5601161E"/>
    <w:rsid w:val="58DF2C2C"/>
    <w:rsid w:val="5B481811"/>
    <w:rsid w:val="5B68228C"/>
    <w:rsid w:val="5DC0257B"/>
    <w:rsid w:val="5E2803A1"/>
    <w:rsid w:val="5E846EAC"/>
    <w:rsid w:val="60852ED0"/>
    <w:rsid w:val="61723B12"/>
    <w:rsid w:val="62464198"/>
    <w:rsid w:val="658E7690"/>
    <w:rsid w:val="67295076"/>
    <w:rsid w:val="6937716D"/>
    <w:rsid w:val="6A52604C"/>
    <w:rsid w:val="6CF126E0"/>
    <w:rsid w:val="6F4B4742"/>
    <w:rsid w:val="70D9462C"/>
    <w:rsid w:val="7308725D"/>
    <w:rsid w:val="77B93BF8"/>
    <w:rsid w:val="7DA31C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jc w:val="left"/>
    </w:pPr>
    <w:rPr>
      <w:rFonts w:ascii="Calibri" w:hAnsi="Calibri"/>
      <w:kern w:val="0"/>
      <w:sz w:val="24"/>
    </w:rPr>
  </w:style>
  <w:style w:type="character" w:styleId="6">
    <w:name w:val="Strong"/>
    <w:basedOn w:val="5"/>
    <w:qFormat/>
    <w:uiPriority w:val="0"/>
    <w:rPr>
      <w:rFonts w:cs="Times New Roman"/>
      <w:b/>
      <w:bCs/>
    </w:rPr>
  </w:style>
  <w:style w:type="paragraph" w:customStyle="1" w:styleId="7">
    <w:name w:val="样式1"/>
    <w:basedOn w:val="1"/>
    <w:qFormat/>
    <w:uiPriority w:val="0"/>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2017-02-06T03:07:00Z</dcterms:created>
  <dc:creator>Administrator</dc:creator>
  <cp:lastModifiedBy>D"Danシ</cp:lastModifiedBy>
  <dcterms:modified xsi:type="dcterms:W3CDTF">2020-01-19T02:49:01Z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