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60" w:lineRule="exact"/>
        <w:ind w:left="0" w:right="0"/>
        <w:jc w:val="center"/>
        <w:outlineLvl w:val="2"/>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333333"/>
          <w:kern w:val="0"/>
          <w:sz w:val="44"/>
          <w:szCs w:val="44"/>
          <w:shd w:val="clear" w:fill="FFFFFF"/>
          <w:lang w:val="en-US" w:eastAsia="zh-CN" w:bidi="ar"/>
        </w:rPr>
        <w:t>2019年衡龙桥镇人民政府部门预算公开</w:t>
      </w:r>
    </w:p>
    <w:p>
      <w:pPr>
        <w:widowControl/>
        <w:spacing w:line="60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rPr>
        <w:t>目录</w:t>
      </w:r>
    </w:p>
    <w:p>
      <w:pPr>
        <w:widowControl/>
        <w:spacing w:line="600" w:lineRule="exact"/>
        <w:jc w:val="left"/>
        <w:rPr>
          <w:rFonts w:hint="eastAsia" w:ascii="黑体" w:hAnsi="黑体" w:eastAsia="黑体" w:cs="黑体"/>
          <w:bCs/>
          <w:kern w:val="0"/>
          <w:sz w:val="28"/>
          <w:szCs w:val="28"/>
        </w:rPr>
      </w:pPr>
      <w:r>
        <w:rPr>
          <w:rFonts w:hint="eastAsia" w:ascii="黑体" w:hAnsi="黑体" w:eastAsia="黑体" w:cs="黑体"/>
          <w:bCs/>
          <w:kern w:val="0"/>
          <w:sz w:val="32"/>
          <w:szCs w:val="32"/>
        </w:rPr>
        <w:t>第一部分：单位20</w:t>
      </w:r>
      <w:r>
        <w:rPr>
          <w:rFonts w:hint="eastAsia" w:ascii="黑体" w:hAnsi="黑体" w:eastAsia="黑体" w:cs="黑体"/>
          <w:bCs/>
          <w:kern w:val="0"/>
          <w:sz w:val="32"/>
          <w:szCs w:val="32"/>
          <w:lang w:val="en-US" w:eastAsia="zh-CN"/>
        </w:rPr>
        <w:t>19</w:t>
      </w:r>
      <w:r>
        <w:rPr>
          <w:rFonts w:hint="eastAsia" w:ascii="黑体" w:hAnsi="黑体" w:eastAsia="黑体" w:cs="黑体"/>
          <w:bCs/>
          <w:kern w:val="0"/>
          <w:sz w:val="32"/>
          <w:szCs w:val="32"/>
        </w:rPr>
        <w:t>年部门预算说明</w:t>
      </w:r>
    </w:p>
    <w:p>
      <w:pPr>
        <w:widowControl/>
        <w:spacing w:line="600" w:lineRule="exact"/>
        <w:jc w:val="left"/>
        <w:rPr>
          <w:rFonts w:hint="eastAsia" w:ascii="黑体" w:hAnsi="黑体" w:eastAsia="黑体" w:cs="黑体"/>
          <w:bCs/>
          <w:kern w:val="0"/>
          <w:sz w:val="28"/>
          <w:szCs w:val="28"/>
        </w:rPr>
      </w:pPr>
      <w:r>
        <w:rPr>
          <w:rFonts w:hint="eastAsia" w:ascii="黑体" w:hAnsi="黑体" w:eastAsia="黑体" w:cs="黑体"/>
          <w:bCs/>
          <w:kern w:val="0"/>
          <w:sz w:val="28"/>
          <w:szCs w:val="28"/>
        </w:rPr>
        <w:t>一、部门基本情况</w:t>
      </w:r>
    </w:p>
    <w:p>
      <w:pPr>
        <w:widowControl/>
        <w:spacing w:line="600" w:lineRule="exact"/>
        <w:jc w:val="left"/>
        <w:rPr>
          <w:rFonts w:hint="eastAsia" w:ascii="黑体" w:hAnsi="黑体" w:eastAsia="黑体" w:cs="黑体"/>
          <w:bCs/>
          <w:kern w:val="0"/>
          <w:sz w:val="28"/>
          <w:szCs w:val="28"/>
        </w:rPr>
      </w:pPr>
      <w:r>
        <w:rPr>
          <w:rFonts w:hint="eastAsia" w:ascii="黑体" w:hAnsi="黑体" w:eastAsia="黑体" w:cs="黑体"/>
          <w:bCs/>
          <w:kern w:val="0"/>
          <w:sz w:val="28"/>
          <w:szCs w:val="28"/>
        </w:rPr>
        <w:t>二、部门预算单位构成</w:t>
      </w:r>
    </w:p>
    <w:p>
      <w:pPr>
        <w:widowControl/>
        <w:spacing w:line="600" w:lineRule="exact"/>
        <w:jc w:val="left"/>
        <w:rPr>
          <w:rFonts w:hint="eastAsia" w:ascii="黑体" w:hAnsi="黑体" w:eastAsia="黑体" w:cs="黑体"/>
          <w:bCs/>
          <w:kern w:val="0"/>
          <w:sz w:val="28"/>
          <w:szCs w:val="28"/>
        </w:rPr>
      </w:pPr>
      <w:r>
        <w:rPr>
          <w:rFonts w:hint="eastAsia" w:ascii="黑体" w:hAnsi="黑体" w:eastAsia="黑体" w:cs="黑体"/>
          <w:bCs/>
          <w:kern w:val="0"/>
          <w:sz w:val="28"/>
          <w:szCs w:val="28"/>
        </w:rPr>
        <w:t>三、部门收支总体情况</w:t>
      </w:r>
    </w:p>
    <w:p>
      <w:pPr>
        <w:widowControl/>
        <w:spacing w:line="600" w:lineRule="exact"/>
        <w:jc w:val="left"/>
        <w:rPr>
          <w:rFonts w:hint="eastAsia" w:ascii="黑体" w:hAnsi="黑体" w:eastAsia="黑体" w:cs="黑体"/>
          <w:bCs/>
          <w:kern w:val="0"/>
          <w:sz w:val="28"/>
          <w:szCs w:val="28"/>
        </w:rPr>
      </w:pPr>
      <w:r>
        <w:rPr>
          <w:rFonts w:hint="eastAsia" w:ascii="黑体" w:hAnsi="黑体" w:eastAsia="黑体" w:cs="黑体"/>
          <w:bCs/>
          <w:kern w:val="0"/>
          <w:sz w:val="28"/>
          <w:szCs w:val="28"/>
        </w:rPr>
        <w:t>四、一般公共预算拨款支出预算</w:t>
      </w:r>
    </w:p>
    <w:p>
      <w:pPr>
        <w:widowControl/>
        <w:spacing w:line="600" w:lineRule="exact"/>
        <w:jc w:val="left"/>
        <w:rPr>
          <w:rFonts w:hint="eastAsia" w:ascii="黑体" w:hAnsi="黑体" w:eastAsia="黑体" w:cs="黑体"/>
          <w:bCs/>
          <w:kern w:val="0"/>
          <w:sz w:val="28"/>
          <w:szCs w:val="28"/>
        </w:rPr>
      </w:pPr>
      <w:r>
        <w:rPr>
          <w:rFonts w:hint="eastAsia" w:ascii="黑体" w:hAnsi="黑体" w:eastAsia="黑体" w:cs="黑体"/>
          <w:bCs/>
          <w:kern w:val="0"/>
          <w:sz w:val="28"/>
          <w:szCs w:val="28"/>
        </w:rPr>
        <w:t>五、其他重要事项的情况说明</w:t>
      </w:r>
    </w:p>
    <w:p>
      <w:pPr>
        <w:widowControl/>
        <w:spacing w:line="600" w:lineRule="exact"/>
        <w:jc w:val="left"/>
        <w:rPr>
          <w:rFonts w:hint="eastAsia" w:ascii="黑体" w:hAnsi="黑体" w:eastAsia="黑体" w:cs="黑体"/>
          <w:bCs/>
          <w:kern w:val="0"/>
          <w:sz w:val="28"/>
          <w:szCs w:val="28"/>
        </w:rPr>
      </w:pPr>
      <w:r>
        <w:rPr>
          <w:rFonts w:hint="eastAsia" w:ascii="黑体" w:hAnsi="黑体" w:eastAsia="黑体" w:cs="黑体"/>
          <w:bCs/>
          <w:kern w:val="0"/>
          <w:sz w:val="28"/>
          <w:szCs w:val="28"/>
        </w:rPr>
        <w:t>六、名词解释</w:t>
      </w:r>
    </w:p>
    <w:p>
      <w:pPr>
        <w:widowControl/>
        <w:spacing w:line="600" w:lineRule="exact"/>
        <w:jc w:val="left"/>
        <w:rPr>
          <w:rFonts w:hint="eastAsia" w:ascii="黑体" w:hAnsi="黑体" w:eastAsia="黑体" w:cs="黑体"/>
          <w:bCs/>
          <w:kern w:val="0"/>
          <w:sz w:val="32"/>
          <w:szCs w:val="32"/>
        </w:rPr>
      </w:pPr>
      <w:r>
        <w:rPr>
          <w:rFonts w:hint="eastAsia" w:ascii="黑体" w:hAnsi="黑体" w:eastAsia="黑体" w:cs="黑体"/>
          <w:bCs/>
          <w:kern w:val="0"/>
          <w:sz w:val="32"/>
          <w:szCs w:val="32"/>
        </w:rPr>
        <w:t>第二部分：20</w:t>
      </w:r>
      <w:r>
        <w:rPr>
          <w:rFonts w:hint="eastAsia" w:ascii="黑体" w:hAnsi="黑体" w:eastAsia="黑体" w:cs="黑体"/>
          <w:bCs/>
          <w:kern w:val="0"/>
          <w:sz w:val="32"/>
          <w:szCs w:val="32"/>
          <w:lang w:val="en-US" w:eastAsia="zh-CN"/>
        </w:rPr>
        <w:t>19</w:t>
      </w:r>
      <w:r>
        <w:rPr>
          <w:rFonts w:hint="eastAsia" w:ascii="黑体" w:hAnsi="黑体" w:eastAsia="黑体" w:cs="黑体"/>
          <w:bCs/>
          <w:kern w:val="0"/>
          <w:sz w:val="32"/>
          <w:szCs w:val="32"/>
        </w:rPr>
        <w:t>年部门预算公开的表格情况</w:t>
      </w: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黑体" w:hAnsi="宋体" w:eastAsia="黑体" w:cs="黑体"/>
          <w:color w:val="333333"/>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60" w:lineRule="exact"/>
        <w:ind w:left="0" w:right="0"/>
        <w:jc w:val="left"/>
        <w:rPr>
          <w:rFonts w:hint="eastAsia" w:ascii="仿宋" w:hAnsi="仿宋" w:eastAsia="仿宋" w:cs="仿宋"/>
          <w:sz w:val="30"/>
          <w:szCs w:val="30"/>
          <w:lang w:val="en-US" w:eastAsia="zh-CN"/>
        </w:rPr>
      </w:pPr>
      <w:r>
        <w:rPr>
          <w:rFonts w:hint="eastAsia" w:ascii="仿宋" w:hAnsi="仿宋" w:eastAsia="仿宋" w:cs="仿宋"/>
          <w:color w:val="333333"/>
          <w:kern w:val="0"/>
          <w:sz w:val="30"/>
          <w:szCs w:val="30"/>
          <w:shd w:val="clear" w:fill="FFFFFF"/>
          <w:lang w:val="en-US" w:eastAsia="zh-CN" w:bidi="ar"/>
        </w:rPr>
        <w:t>第一部分：益阳市衡龙桥镇人民政府2019年部门预算说明</w:t>
      </w:r>
    </w:p>
    <w:p>
      <w:pPr>
        <w:widowControl/>
        <w:spacing w:line="600" w:lineRule="exact"/>
        <w:jc w:val="left"/>
        <w:rPr>
          <w:rFonts w:hint="eastAsia" w:ascii="仿宋" w:hAnsi="仿宋" w:eastAsia="仿宋" w:cs="仿宋"/>
          <w:bCs/>
          <w:kern w:val="0"/>
          <w:sz w:val="30"/>
          <w:szCs w:val="30"/>
        </w:rPr>
      </w:pPr>
      <w:r>
        <w:rPr>
          <w:rFonts w:hint="eastAsia" w:ascii="仿宋" w:hAnsi="仿宋" w:eastAsia="仿宋" w:cs="仿宋"/>
          <w:bCs/>
          <w:kern w:val="0"/>
          <w:sz w:val="30"/>
          <w:szCs w:val="30"/>
        </w:rPr>
        <w:t>一、部门基本概况</w:t>
      </w:r>
    </w:p>
    <w:p>
      <w:pPr>
        <w:shd w:val="clear" w:color="auto" w:fill="FFFFFF"/>
        <w:autoSpaceDE w:val="0"/>
        <w:spacing w:line="560" w:lineRule="exact"/>
        <w:ind w:firstLine="600" w:firstLineChars="200"/>
        <w:jc w:val="left"/>
        <w:rPr>
          <w:rFonts w:hint="eastAsia" w:ascii="仿宋" w:hAnsi="仿宋" w:eastAsia="仿宋" w:cs="仿宋"/>
          <w:kern w:val="0"/>
          <w:sz w:val="30"/>
          <w:szCs w:val="30"/>
        </w:rPr>
      </w:pPr>
      <w:r>
        <w:rPr>
          <w:rFonts w:hint="eastAsia" w:ascii="仿宋" w:hAnsi="仿宋" w:eastAsia="仿宋" w:cs="仿宋"/>
          <w:sz w:val="30"/>
          <w:szCs w:val="30"/>
        </w:rPr>
        <w:t>衡龙桥</w:t>
      </w:r>
      <w:r>
        <w:rPr>
          <w:rFonts w:hint="eastAsia" w:ascii="仿宋" w:hAnsi="仿宋" w:eastAsia="仿宋" w:cs="仿宋"/>
          <w:color w:val="333333"/>
          <w:sz w:val="30"/>
          <w:szCs w:val="30"/>
        </w:rPr>
        <w:t>镇人民政府系正科级行政机关。单位办公地址为</w:t>
      </w:r>
      <w:r>
        <w:rPr>
          <w:rFonts w:hint="eastAsia" w:ascii="仿宋" w:hAnsi="仿宋" w:eastAsia="仿宋" w:cs="仿宋"/>
          <w:sz w:val="30"/>
          <w:szCs w:val="30"/>
        </w:rPr>
        <w:t>衡龙桥</w:t>
      </w:r>
      <w:r>
        <w:rPr>
          <w:rFonts w:hint="eastAsia" w:ascii="仿宋" w:hAnsi="仿宋" w:eastAsia="仿宋" w:cs="仿宋"/>
          <w:color w:val="333333"/>
          <w:sz w:val="30"/>
          <w:szCs w:val="30"/>
        </w:rPr>
        <w:t>镇</w:t>
      </w:r>
      <w:r>
        <w:rPr>
          <w:rFonts w:hint="eastAsia" w:ascii="仿宋" w:hAnsi="仿宋" w:eastAsia="仿宋" w:cs="仿宋"/>
          <w:sz w:val="30"/>
          <w:szCs w:val="30"/>
        </w:rPr>
        <w:t>衡龙桥村</w:t>
      </w:r>
      <w:r>
        <w:rPr>
          <w:rFonts w:hint="eastAsia" w:ascii="仿宋" w:hAnsi="仿宋" w:eastAsia="仿宋" w:cs="仿宋"/>
          <w:color w:val="333333"/>
          <w:sz w:val="30"/>
          <w:szCs w:val="30"/>
        </w:rPr>
        <w:t>。根据赫山区机构编制委员会办公室《关于印发&lt;赫山区乡镇机关职能配置、内设机构和人员编制〉规定的通知》文件精神，本单位主要职责为：1、执行本级人民代表大会决议和上级国家行政机关的决定和命令，发布决定和命令;落实国家政策，严格依法行政；2、</w:t>
      </w:r>
      <w:r>
        <w:rPr>
          <w:rFonts w:hint="eastAsia" w:ascii="仿宋" w:hAnsi="仿宋" w:eastAsia="仿宋" w:cs="仿宋"/>
          <w:sz w:val="30"/>
          <w:szCs w:val="30"/>
        </w:rPr>
        <w:t>制定并组织实施村镇建设规划，部署重点工程建设，地方道路建设及公共设施，水利设施的管理，负责土地、林木、 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w:t>
      </w:r>
      <w:r>
        <w:rPr>
          <w:rFonts w:hint="eastAsia" w:ascii="仿宋" w:hAnsi="仿宋" w:eastAsia="仿宋" w:cs="仿宋"/>
          <w:color w:val="333333"/>
          <w:sz w:val="30"/>
          <w:szCs w:val="30"/>
        </w:rPr>
        <w:t>6、办理上级人民政府交办的其他事项。</w:t>
      </w:r>
    </w:p>
    <w:p>
      <w:pPr>
        <w:shd w:val="clear" w:color="auto" w:fill="FFFFFF"/>
        <w:autoSpaceDE w:val="0"/>
        <w:spacing w:line="560" w:lineRule="exact"/>
        <w:ind w:firstLine="600" w:firstLineChars="200"/>
        <w:jc w:val="left"/>
        <w:rPr>
          <w:rFonts w:hint="eastAsia" w:ascii="仿宋" w:hAnsi="仿宋" w:eastAsia="仿宋" w:cs="仿宋"/>
          <w:sz w:val="30"/>
          <w:szCs w:val="30"/>
        </w:rPr>
      </w:pPr>
      <w:r>
        <w:rPr>
          <w:rFonts w:hint="eastAsia" w:ascii="仿宋" w:hAnsi="仿宋" w:eastAsia="仿宋" w:cs="仿宋"/>
          <w:color w:val="333333"/>
          <w:sz w:val="30"/>
          <w:szCs w:val="30"/>
        </w:rPr>
        <w:t>本单位内设15个机构，其中包括行政机构3个，分别为：共产党机关、行政机关、人大机关，事业单位12个，分别为经济发展办，农技站、民政与劳动保障站、水管站、卫计办，国保所、文化站，综治办、重点工程办、农清办、爱卫办、扶贫办等。截止2018年10月31日</w:t>
      </w:r>
      <w:r>
        <w:rPr>
          <w:rFonts w:hint="eastAsia" w:ascii="仿宋" w:hAnsi="仿宋" w:eastAsia="仿宋" w:cs="仿宋"/>
          <w:sz w:val="30"/>
          <w:szCs w:val="30"/>
        </w:rPr>
        <w:t>本单位编制人数94人，实有在职人员78人，离休人员1名，退休人员79人，分流人员84人，共计242人。</w:t>
      </w:r>
    </w:p>
    <w:p>
      <w:pPr>
        <w:widowControl/>
        <w:spacing w:line="600" w:lineRule="exact"/>
        <w:jc w:val="left"/>
        <w:rPr>
          <w:rFonts w:hint="eastAsia" w:ascii="仿宋" w:hAnsi="仿宋" w:eastAsia="仿宋" w:cs="仿宋"/>
          <w:kern w:val="0"/>
          <w:sz w:val="30"/>
          <w:szCs w:val="30"/>
        </w:rPr>
      </w:pPr>
      <w:r>
        <w:rPr>
          <w:rFonts w:hint="eastAsia" w:ascii="仿宋" w:hAnsi="仿宋" w:eastAsia="仿宋" w:cs="仿宋"/>
          <w:kern w:val="0"/>
          <w:sz w:val="30"/>
          <w:szCs w:val="30"/>
        </w:rPr>
        <w:t>二、部门预算单位构成</w:t>
      </w:r>
    </w:p>
    <w:p>
      <w:pPr>
        <w:widowControl/>
        <w:spacing w:line="600" w:lineRule="exact"/>
        <w:ind w:firstLine="588" w:firstLineChars="196"/>
        <w:rPr>
          <w:rFonts w:hint="eastAsia" w:ascii="仿宋" w:hAnsi="仿宋" w:eastAsia="仿宋" w:cs="仿宋"/>
          <w:sz w:val="30"/>
          <w:szCs w:val="30"/>
        </w:rPr>
      </w:pPr>
      <w:r>
        <w:rPr>
          <w:rFonts w:hint="eastAsia" w:ascii="仿宋" w:hAnsi="仿宋" w:eastAsia="仿宋" w:cs="仿宋"/>
          <w:sz w:val="30"/>
          <w:szCs w:val="30"/>
        </w:rPr>
        <w:t>益阳市赫山区衡龙桥镇人民政府只有本级，没有其他二级预算单位，因此，纳入2019年部门预算编制范围的只有益阳市赫山区衡龙桥镇人民政府部门本级。</w:t>
      </w:r>
    </w:p>
    <w:p>
      <w:pPr>
        <w:widowControl/>
        <w:spacing w:line="600" w:lineRule="exact"/>
        <w:jc w:val="left"/>
        <w:rPr>
          <w:rFonts w:hint="eastAsia" w:ascii="仿宋" w:hAnsi="仿宋" w:eastAsia="仿宋" w:cs="仿宋"/>
          <w:bCs/>
          <w:kern w:val="0"/>
          <w:sz w:val="30"/>
          <w:szCs w:val="30"/>
        </w:rPr>
      </w:pPr>
      <w:r>
        <w:rPr>
          <w:rFonts w:hint="eastAsia" w:ascii="仿宋" w:hAnsi="仿宋" w:eastAsia="仿宋" w:cs="仿宋"/>
          <w:bCs/>
          <w:kern w:val="0"/>
          <w:sz w:val="30"/>
          <w:szCs w:val="30"/>
        </w:rPr>
        <w:t>三、部门收支总体情况</w:t>
      </w:r>
    </w:p>
    <w:p>
      <w:pPr>
        <w:widowControl/>
        <w:spacing w:line="600" w:lineRule="exact"/>
        <w:ind w:firstLine="600" w:firstLineChars="200"/>
        <w:rPr>
          <w:rFonts w:hint="eastAsia" w:ascii="仿宋" w:hAnsi="仿宋" w:eastAsia="仿宋" w:cs="仿宋"/>
          <w:bCs/>
          <w:kern w:val="0"/>
          <w:sz w:val="30"/>
          <w:szCs w:val="30"/>
        </w:rPr>
      </w:pPr>
      <w:r>
        <w:rPr>
          <w:rFonts w:hint="eastAsia" w:ascii="仿宋" w:hAnsi="仿宋" w:eastAsia="仿宋" w:cs="仿宋"/>
          <w:sz w:val="30"/>
          <w:szCs w:val="30"/>
        </w:rPr>
        <w:t>2019年部门预算包括收入预算和支出预算。收入包括一般公共预算收入、纳入专户管理的非税收入、上级补助收入和其他收入；支出既包括机关事业单位基本运行的经费，也包括村级运行经费、社区经费、人大代表活动及平台建设经费、农村清洁工程及村级组织服务群众经费等专项经费。</w:t>
      </w:r>
    </w:p>
    <w:p>
      <w:pPr>
        <w:widowControl/>
        <w:spacing w:line="600" w:lineRule="exact"/>
        <w:ind w:firstLine="588" w:firstLineChars="196"/>
        <w:jc w:val="left"/>
        <w:rPr>
          <w:rFonts w:hint="eastAsia" w:ascii="仿宋" w:hAnsi="仿宋" w:eastAsia="仿宋" w:cs="仿宋"/>
          <w:bCs/>
          <w:kern w:val="0"/>
          <w:sz w:val="30"/>
          <w:szCs w:val="30"/>
        </w:rPr>
      </w:pPr>
      <w:r>
        <w:rPr>
          <w:rFonts w:hint="eastAsia" w:ascii="仿宋" w:hAnsi="仿宋" w:eastAsia="仿宋" w:cs="仿宋"/>
          <w:sz w:val="30"/>
          <w:szCs w:val="30"/>
        </w:rPr>
        <w:t>（一）收入预算，2019年年初预算数1940.98万元，其中，一般公共预算拨款1618.48万元，纳入专户管理的非税收入15万元，上级补助收入307.5万元。收入较去年减少30.5万元，主要原因一是上级财政机关按照中央八项规定精神和厉行节约的要求减少了我单位公用经费拨款16万元，二是生育政策的调整导致我单位社会抚养费收入征收计划减少13万元。</w:t>
      </w:r>
    </w:p>
    <w:p>
      <w:pPr>
        <w:widowControl/>
        <w:spacing w:line="600" w:lineRule="exact"/>
        <w:ind w:firstLine="588" w:firstLineChars="196"/>
        <w:jc w:val="left"/>
        <w:rPr>
          <w:rFonts w:hint="eastAsia" w:ascii="仿宋" w:hAnsi="仿宋" w:eastAsia="仿宋" w:cs="仿宋"/>
          <w:bCs/>
          <w:kern w:val="0"/>
          <w:sz w:val="30"/>
          <w:szCs w:val="30"/>
        </w:rPr>
      </w:pPr>
      <w:r>
        <w:rPr>
          <w:rFonts w:hint="eastAsia" w:ascii="仿宋" w:hAnsi="仿宋" w:eastAsia="仿宋" w:cs="仿宋"/>
          <w:sz w:val="30"/>
          <w:szCs w:val="30"/>
        </w:rPr>
        <w:t>（二）支出预算，2019年年初预算数1940.98万元，其中，一般公共服务1657.98万元，农林水支出283万元。支出较去年减少30.5 万元，主要是日常公用经费运行支出预算的减少。</w:t>
      </w:r>
    </w:p>
    <w:p>
      <w:pPr>
        <w:widowControl/>
        <w:spacing w:line="600" w:lineRule="exact"/>
        <w:ind w:firstLine="660"/>
        <w:jc w:val="left"/>
        <w:rPr>
          <w:rFonts w:hint="eastAsia" w:ascii="仿宋" w:hAnsi="仿宋" w:eastAsia="仿宋" w:cs="仿宋"/>
          <w:sz w:val="30"/>
          <w:szCs w:val="30"/>
        </w:rPr>
      </w:pPr>
      <w:r>
        <w:rPr>
          <w:rFonts w:hint="eastAsia" w:ascii="仿宋" w:hAnsi="仿宋" w:eastAsia="仿宋" w:cs="仿宋"/>
          <w:sz w:val="30"/>
          <w:szCs w:val="30"/>
        </w:rPr>
        <w:t>四、一般公共预算拨款支出预算</w:t>
      </w:r>
    </w:p>
    <w:p>
      <w:pPr>
        <w:widowControl/>
        <w:spacing w:line="600" w:lineRule="exact"/>
        <w:ind w:firstLine="660"/>
        <w:jc w:val="left"/>
        <w:rPr>
          <w:rFonts w:hint="eastAsia" w:ascii="仿宋" w:hAnsi="仿宋" w:eastAsia="仿宋" w:cs="仿宋"/>
          <w:sz w:val="30"/>
          <w:szCs w:val="30"/>
        </w:rPr>
      </w:pPr>
      <w:r>
        <w:rPr>
          <w:rFonts w:hint="eastAsia" w:ascii="仿宋" w:hAnsi="仿宋" w:eastAsia="仿宋" w:cs="仿宋"/>
          <w:sz w:val="30"/>
          <w:szCs w:val="30"/>
        </w:rPr>
        <w:t>2019年一般公共预算支出1940.98万元，具体安排情况如下：</w:t>
      </w:r>
    </w:p>
    <w:p>
      <w:pPr>
        <w:widowControl/>
        <w:spacing w:line="600" w:lineRule="exact"/>
        <w:ind w:firstLine="660"/>
        <w:jc w:val="left"/>
        <w:rPr>
          <w:rFonts w:hint="eastAsia" w:ascii="仿宋" w:hAnsi="仿宋" w:eastAsia="仿宋" w:cs="仿宋"/>
          <w:sz w:val="30"/>
          <w:szCs w:val="30"/>
        </w:rPr>
      </w:pPr>
      <w:r>
        <w:rPr>
          <w:rFonts w:hint="eastAsia" w:ascii="仿宋" w:hAnsi="仿宋" w:eastAsia="仿宋" w:cs="仿宋"/>
          <w:sz w:val="30"/>
          <w:szCs w:val="30"/>
        </w:rPr>
        <w:t>（一）基本支出：2019年年初预算数为1472.11万元，是指为保障单位机构正常运转、完成日常工作任务而发生的各项支出，包括用于基本工资、津贴补贴等人员经费以及办公费、印刷费、水电费、办公设备购置等日常公用经费。</w:t>
      </w:r>
    </w:p>
    <w:p>
      <w:pPr>
        <w:widowControl/>
        <w:spacing w:line="600" w:lineRule="exact"/>
        <w:ind w:firstLine="660"/>
        <w:jc w:val="left"/>
        <w:rPr>
          <w:rFonts w:hint="eastAsia" w:ascii="仿宋" w:hAnsi="仿宋" w:eastAsia="仿宋" w:cs="仿宋"/>
          <w:sz w:val="30"/>
          <w:szCs w:val="30"/>
        </w:rPr>
      </w:pPr>
      <w:r>
        <w:rPr>
          <w:rFonts w:hint="eastAsia" w:ascii="仿宋" w:hAnsi="仿宋" w:eastAsia="仿宋" w:cs="仿宋"/>
          <w:sz w:val="30"/>
          <w:szCs w:val="30"/>
        </w:rPr>
        <w:t>（二）项目支出：2019年年初预算数为468.87万元，是指单位为完成特定行政工作任务或事业发展目标而发生的支出。其中村级运转经费支出283.32万元，主要用于保障下辖12个村的正常运转；社区经费支出14万元，安全生产监管经费支出5万元，共青团经费2万元，村账乡代理经费2万元，人大经费4万元，信访维稳经费8万元，妇联工作经费2万元，民兵应急分队经费1万元，党代表工作经费1.1万元，纪检经费0.5万元用于保障以上部门开展工作的运转经费；农村清洁工程经费65.88万元，村级服务群众经费12万元，用于农村清洁工程支出；化债支出55万元，其他支出12.37万元，用于化债及政府其他经费支出。</w:t>
      </w:r>
    </w:p>
    <w:p>
      <w:pPr>
        <w:widowControl/>
        <w:spacing w:line="600" w:lineRule="exact"/>
        <w:ind w:firstLine="660"/>
        <w:jc w:val="left"/>
        <w:rPr>
          <w:rFonts w:hint="eastAsia" w:ascii="仿宋" w:hAnsi="仿宋" w:eastAsia="仿宋" w:cs="仿宋"/>
          <w:sz w:val="30"/>
          <w:szCs w:val="30"/>
        </w:rPr>
      </w:pPr>
      <w:r>
        <w:rPr>
          <w:rFonts w:hint="eastAsia" w:ascii="仿宋" w:hAnsi="仿宋" w:eastAsia="仿宋" w:cs="仿宋"/>
          <w:sz w:val="30"/>
          <w:szCs w:val="30"/>
        </w:rPr>
        <w:t>五、其他重要事项的情况说明</w:t>
      </w:r>
    </w:p>
    <w:p>
      <w:pPr>
        <w:widowControl/>
        <w:spacing w:line="600" w:lineRule="exact"/>
        <w:ind w:firstLine="660"/>
        <w:jc w:val="left"/>
        <w:rPr>
          <w:rFonts w:hint="eastAsia" w:ascii="仿宋" w:hAnsi="仿宋" w:eastAsia="仿宋" w:cs="仿宋"/>
          <w:sz w:val="30"/>
          <w:szCs w:val="30"/>
        </w:rPr>
      </w:pPr>
      <w:r>
        <w:rPr>
          <w:rFonts w:hint="eastAsia" w:ascii="仿宋" w:hAnsi="仿宋" w:eastAsia="仿宋" w:cs="仿宋"/>
          <w:sz w:val="30"/>
          <w:szCs w:val="30"/>
        </w:rPr>
        <w:t>1、机关运行经费</w:t>
      </w:r>
    </w:p>
    <w:p>
      <w:pPr>
        <w:widowControl/>
        <w:spacing w:line="600" w:lineRule="exact"/>
        <w:ind w:firstLine="660"/>
        <w:rPr>
          <w:rFonts w:eastAsia="仿宋_GB2312"/>
          <w:sz w:val="32"/>
          <w:szCs w:val="32"/>
        </w:rPr>
      </w:pPr>
      <w:r>
        <w:rPr>
          <w:rFonts w:hint="eastAsia" w:eastAsia="仿宋_GB2312"/>
          <w:sz w:val="32"/>
          <w:szCs w:val="32"/>
        </w:rPr>
        <w:t>2019</w:t>
      </w:r>
      <w:r>
        <w:rPr>
          <w:rFonts w:eastAsia="仿宋_GB2312"/>
          <w:sz w:val="32"/>
          <w:szCs w:val="32"/>
        </w:rPr>
        <w:t>年</w:t>
      </w:r>
      <w:r>
        <w:rPr>
          <w:rFonts w:hint="eastAsia" w:eastAsia="仿宋_GB2312"/>
          <w:sz w:val="32"/>
          <w:szCs w:val="32"/>
        </w:rPr>
        <w:t>本</w:t>
      </w:r>
      <w:r>
        <w:rPr>
          <w:rFonts w:eastAsia="仿宋_GB2312"/>
          <w:sz w:val="32"/>
          <w:szCs w:val="32"/>
        </w:rPr>
        <w:t>单位的机关运行经费当年一般公共预算拨款</w:t>
      </w:r>
      <w:r>
        <w:rPr>
          <w:rFonts w:eastAsia="仿宋_GB2312"/>
          <w:sz w:val="32"/>
          <w:szCs w:val="32"/>
          <w:u w:val="single"/>
        </w:rPr>
        <w:t xml:space="preserve">  </w:t>
      </w:r>
      <w:r>
        <w:rPr>
          <w:rFonts w:hint="eastAsia" w:eastAsia="仿宋_GB2312"/>
          <w:sz w:val="32"/>
          <w:szCs w:val="32"/>
          <w:u w:val="single"/>
        </w:rPr>
        <w:t>43</w:t>
      </w:r>
      <w:r>
        <w:rPr>
          <w:rFonts w:eastAsia="仿宋_GB2312"/>
          <w:sz w:val="32"/>
          <w:szCs w:val="32"/>
        </w:rPr>
        <w:t>万元，</w:t>
      </w:r>
      <w:r>
        <w:rPr>
          <w:rFonts w:hint="eastAsia" w:eastAsia="仿宋_GB2312"/>
          <w:sz w:val="32"/>
          <w:szCs w:val="32"/>
        </w:rPr>
        <w:t>比2018年减少2.95万元，较上年减少2.2%。</w:t>
      </w:r>
    </w:p>
    <w:p>
      <w:pPr>
        <w:widowControl/>
        <w:spacing w:line="600" w:lineRule="exact"/>
        <w:ind w:firstLine="660"/>
        <w:rPr>
          <w:rFonts w:eastAsia="仿宋_GB2312"/>
          <w:sz w:val="32"/>
          <w:szCs w:val="32"/>
        </w:rPr>
      </w:pPr>
      <w:r>
        <w:rPr>
          <w:rFonts w:eastAsia="仿宋_GB2312"/>
          <w:sz w:val="32"/>
          <w:szCs w:val="32"/>
        </w:rPr>
        <w:t>2、“三公”经费预算</w:t>
      </w:r>
    </w:p>
    <w:p>
      <w:pPr>
        <w:widowControl/>
        <w:spacing w:line="600" w:lineRule="exact"/>
        <w:ind w:firstLine="660"/>
        <w:rPr>
          <w:rFonts w:eastAsia="仿宋_GB2312"/>
          <w:sz w:val="32"/>
          <w:szCs w:val="32"/>
        </w:rPr>
      </w:pPr>
      <w:r>
        <w:rPr>
          <w:rFonts w:hint="eastAsia" w:eastAsia="仿宋_GB2312"/>
          <w:sz w:val="32"/>
          <w:szCs w:val="32"/>
        </w:rPr>
        <w:t>根据中央八项规定精神和厉行节约的要求，我单位2019</w:t>
      </w:r>
      <w:r>
        <w:rPr>
          <w:rFonts w:eastAsia="仿宋_GB2312"/>
          <w:sz w:val="32"/>
          <w:szCs w:val="32"/>
        </w:rPr>
        <w:t>年“三公”经费预算数为</w:t>
      </w:r>
      <w:r>
        <w:rPr>
          <w:rFonts w:eastAsia="仿宋_GB2312"/>
          <w:sz w:val="32"/>
          <w:szCs w:val="32"/>
          <w:u w:val="single"/>
        </w:rPr>
        <w:t xml:space="preserve"> </w:t>
      </w:r>
      <w:r>
        <w:rPr>
          <w:rFonts w:hint="eastAsia" w:eastAsia="仿宋_GB2312"/>
          <w:sz w:val="32"/>
          <w:szCs w:val="32"/>
          <w:u w:val="single"/>
        </w:rPr>
        <w:t>93.5</w:t>
      </w:r>
      <w:r>
        <w:rPr>
          <w:rFonts w:eastAsia="仿宋_GB2312"/>
          <w:sz w:val="32"/>
          <w:szCs w:val="32"/>
          <w:u w:val="single"/>
        </w:rPr>
        <w:t xml:space="preserve">  </w:t>
      </w:r>
      <w:r>
        <w:rPr>
          <w:rFonts w:eastAsia="仿宋_GB2312"/>
          <w:sz w:val="32"/>
          <w:szCs w:val="32"/>
        </w:rPr>
        <w:t>万元，其中，公务接待费</w:t>
      </w:r>
      <w:r>
        <w:rPr>
          <w:rFonts w:eastAsia="仿宋_GB2312"/>
          <w:sz w:val="32"/>
          <w:szCs w:val="32"/>
          <w:u w:val="single"/>
        </w:rPr>
        <w:t xml:space="preserve">  </w:t>
      </w:r>
      <w:r>
        <w:rPr>
          <w:rFonts w:hint="eastAsia" w:eastAsia="仿宋_GB2312"/>
          <w:sz w:val="32"/>
          <w:szCs w:val="32"/>
          <w:u w:val="single"/>
        </w:rPr>
        <w:t>79.5</w:t>
      </w:r>
      <w:r>
        <w:rPr>
          <w:rFonts w:eastAsia="仿宋_GB2312"/>
          <w:sz w:val="32"/>
          <w:szCs w:val="32"/>
          <w:u w:val="single"/>
        </w:rPr>
        <w:t xml:space="preserve"> </w:t>
      </w:r>
      <w:r>
        <w:rPr>
          <w:rFonts w:eastAsia="仿宋_GB2312"/>
          <w:sz w:val="32"/>
          <w:szCs w:val="32"/>
        </w:rPr>
        <w:t>万元，公务用车购置及运行费</w:t>
      </w:r>
      <w:r>
        <w:rPr>
          <w:rFonts w:eastAsia="仿宋_GB2312"/>
          <w:sz w:val="32"/>
          <w:szCs w:val="32"/>
          <w:u w:val="single"/>
        </w:rPr>
        <w:t xml:space="preserve">   </w:t>
      </w:r>
      <w:r>
        <w:rPr>
          <w:rFonts w:hint="eastAsia" w:eastAsia="仿宋_GB2312"/>
          <w:sz w:val="32"/>
          <w:szCs w:val="32"/>
          <w:u w:val="single"/>
        </w:rPr>
        <w:t>14</w:t>
      </w:r>
      <w:r>
        <w:rPr>
          <w:rFonts w:eastAsia="仿宋_GB2312"/>
          <w:sz w:val="32"/>
          <w:szCs w:val="32"/>
        </w:rPr>
        <w:t xml:space="preserve">万元（其中，公务用车购置费 </w:t>
      </w:r>
      <w:r>
        <w:rPr>
          <w:rFonts w:hint="eastAsia" w:eastAsia="仿宋_GB2312"/>
          <w:sz w:val="32"/>
          <w:szCs w:val="32"/>
        </w:rPr>
        <w:t>0</w:t>
      </w:r>
      <w:r>
        <w:rPr>
          <w:rFonts w:eastAsia="仿宋_GB2312"/>
          <w:sz w:val="32"/>
          <w:szCs w:val="32"/>
        </w:rPr>
        <w:t>万元，公务用车运行费</w:t>
      </w:r>
      <w:r>
        <w:rPr>
          <w:rFonts w:hint="eastAsia" w:eastAsia="仿宋_GB2312"/>
          <w:sz w:val="32"/>
          <w:szCs w:val="32"/>
        </w:rPr>
        <w:t>14</w:t>
      </w:r>
      <w:r>
        <w:rPr>
          <w:rFonts w:eastAsia="仿宋_GB2312"/>
          <w:sz w:val="32"/>
          <w:szCs w:val="32"/>
        </w:rPr>
        <w:t>万元），因公出国（境）费</w:t>
      </w:r>
      <w:r>
        <w:rPr>
          <w:rFonts w:eastAsia="仿宋_GB2312"/>
          <w:sz w:val="32"/>
          <w:szCs w:val="32"/>
          <w:u w:val="single"/>
        </w:rPr>
        <w:t xml:space="preserve">  </w:t>
      </w:r>
      <w:r>
        <w:rPr>
          <w:rFonts w:hint="eastAsia" w:eastAsia="仿宋_GB2312"/>
          <w:sz w:val="32"/>
          <w:szCs w:val="32"/>
          <w:u w:val="single"/>
        </w:rPr>
        <w:t>0</w:t>
      </w:r>
      <w:r>
        <w:rPr>
          <w:rFonts w:eastAsia="仿宋_GB2312"/>
          <w:sz w:val="32"/>
          <w:szCs w:val="32"/>
          <w:u w:val="single"/>
        </w:rPr>
        <w:t xml:space="preserve">  </w:t>
      </w:r>
      <w:r>
        <w:rPr>
          <w:rFonts w:eastAsia="仿宋_GB2312"/>
          <w:sz w:val="32"/>
          <w:szCs w:val="32"/>
        </w:rPr>
        <w:t>万元。</w:t>
      </w:r>
      <w:r>
        <w:rPr>
          <w:rFonts w:hint="eastAsia" w:eastAsia="仿宋_GB2312"/>
          <w:sz w:val="32"/>
          <w:szCs w:val="32"/>
        </w:rPr>
        <w:t>2019</w:t>
      </w:r>
      <w:r>
        <w:rPr>
          <w:rFonts w:eastAsia="仿宋_GB2312"/>
          <w:sz w:val="32"/>
          <w:szCs w:val="32"/>
        </w:rPr>
        <w:t>年“三公”经费预算较</w:t>
      </w:r>
      <w:r>
        <w:rPr>
          <w:rFonts w:hint="eastAsia" w:eastAsia="仿宋_GB2312"/>
          <w:sz w:val="32"/>
          <w:szCs w:val="32"/>
        </w:rPr>
        <w:t>2018</w:t>
      </w:r>
      <w:r>
        <w:rPr>
          <w:rFonts w:eastAsia="仿宋_GB2312"/>
          <w:sz w:val="32"/>
          <w:szCs w:val="32"/>
        </w:rPr>
        <w:t>年减少</w:t>
      </w:r>
      <w:r>
        <w:rPr>
          <w:rFonts w:eastAsia="仿宋_GB2312"/>
          <w:sz w:val="32"/>
          <w:szCs w:val="32"/>
          <w:u w:val="single"/>
        </w:rPr>
        <w:t xml:space="preserve">  </w:t>
      </w:r>
      <w:r>
        <w:rPr>
          <w:rFonts w:hint="eastAsia" w:eastAsia="仿宋_GB2312"/>
          <w:sz w:val="32"/>
          <w:szCs w:val="32"/>
          <w:u w:val="single"/>
        </w:rPr>
        <w:t>1</w:t>
      </w:r>
      <w:r>
        <w:rPr>
          <w:rFonts w:eastAsia="仿宋_GB2312"/>
          <w:sz w:val="32"/>
          <w:szCs w:val="32"/>
          <w:u w:val="single"/>
        </w:rPr>
        <w:t xml:space="preserve"> </w:t>
      </w:r>
      <w:r>
        <w:rPr>
          <w:rFonts w:eastAsia="仿宋_GB2312"/>
          <w:sz w:val="32"/>
          <w:szCs w:val="32"/>
        </w:rPr>
        <w:t>万元，</w:t>
      </w:r>
      <w:r>
        <w:rPr>
          <w:rFonts w:hint="eastAsia" w:eastAsia="仿宋_GB2312"/>
          <w:sz w:val="32"/>
          <w:szCs w:val="32"/>
        </w:rPr>
        <w:t>较上年减少1.1%。</w:t>
      </w:r>
    </w:p>
    <w:p>
      <w:pPr>
        <w:widowControl/>
        <w:spacing w:line="600" w:lineRule="exact"/>
        <w:ind w:firstLine="640" w:firstLineChars="200"/>
        <w:rPr>
          <w:rFonts w:eastAsia="仿宋_GB2312"/>
          <w:sz w:val="32"/>
          <w:szCs w:val="32"/>
        </w:rPr>
      </w:pPr>
      <w:r>
        <w:rPr>
          <w:rFonts w:eastAsia="仿宋_GB2312"/>
          <w:sz w:val="32"/>
          <w:szCs w:val="32"/>
        </w:rPr>
        <w:t>3、政府采购情况</w:t>
      </w:r>
    </w:p>
    <w:p>
      <w:pPr>
        <w:widowControl/>
        <w:spacing w:line="600" w:lineRule="exact"/>
        <w:ind w:firstLine="660"/>
        <w:rPr>
          <w:rFonts w:hint="eastAsia" w:eastAsia="仿宋_GB2312"/>
          <w:sz w:val="32"/>
          <w:szCs w:val="32"/>
        </w:rPr>
      </w:pPr>
      <w:r>
        <w:rPr>
          <w:rFonts w:hint="eastAsia" w:eastAsia="仿宋_GB2312"/>
          <w:sz w:val="32"/>
          <w:szCs w:val="32"/>
        </w:rPr>
        <w:t>因我单位政府采购基本为零星采购，次数较少，金额一般不超过10万元/次，故2019</w:t>
      </w:r>
      <w:r>
        <w:rPr>
          <w:rFonts w:eastAsia="仿宋_GB2312"/>
          <w:sz w:val="32"/>
          <w:szCs w:val="32"/>
        </w:rPr>
        <w:t>年</w:t>
      </w:r>
      <w:r>
        <w:rPr>
          <w:rFonts w:hint="eastAsia" w:eastAsia="仿宋_GB2312"/>
          <w:sz w:val="32"/>
          <w:szCs w:val="32"/>
        </w:rPr>
        <w:t>本</w:t>
      </w:r>
      <w:r>
        <w:rPr>
          <w:rFonts w:eastAsia="仿宋_GB2312"/>
          <w:sz w:val="32"/>
          <w:szCs w:val="32"/>
        </w:rPr>
        <w:t>部门政府采购预算总额</w:t>
      </w:r>
      <w:r>
        <w:rPr>
          <w:rFonts w:eastAsia="仿宋_GB2312"/>
          <w:sz w:val="32"/>
          <w:szCs w:val="32"/>
          <w:u w:val="single"/>
        </w:rPr>
        <w:t xml:space="preserve">  </w:t>
      </w:r>
      <w:r>
        <w:rPr>
          <w:rFonts w:hint="eastAsia" w:eastAsia="仿宋_GB2312"/>
          <w:sz w:val="32"/>
          <w:szCs w:val="32"/>
          <w:u w:val="single"/>
        </w:rPr>
        <w:t>0</w:t>
      </w:r>
      <w:r>
        <w:rPr>
          <w:rFonts w:eastAsia="仿宋_GB2312"/>
          <w:sz w:val="32"/>
          <w:szCs w:val="32"/>
          <w:u w:val="single"/>
        </w:rPr>
        <w:t xml:space="preserve"> </w:t>
      </w:r>
      <w:r>
        <w:rPr>
          <w:rFonts w:eastAsia="仿宋_GB2312"/>
          <w:sz w:val="32"/>
          <w:szCs w:val="32"/>
        </w:rPr>
        <w:t>万元</w:t>
      </w:r>
      <w:r>
        <w:rPr>
          <w:rFonts w:hint="eastAsia" w:eastAsia="仿宋_GB2312"/>
          <w:sz w:val="32"/>
          <w:szCs w:val="32"/>
        </w:rPr>
        <w:t>。</w:t>
      </w:r>
    </w:p>
    <w:p>
      <w:pPr>
        <w:widowControl/>
        <w:numPr>
          <w:ilvl w:val="0"/>
          <w:numId w:val="1"/>
        </w:numPr>
        <w:spacing w:line="600" w:lineRule="exact"/>
        <w:ind w:firstLine="66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国有资产占有使用情况</w:t>
      </w:r>
    </w:p>
    <w:p>
      <w:pPr>
        <w:widowControl/>
        <w:numPr>
          <w:ilvl w:val="0"/>
          <w:numId w:val="0"/>
        </w:numPr>
        <w:spacing w:line="600" w:lineRule="exact"/>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截至2018年12月31日，本单位共有公车2辆，其中一般公务用车2辆，无50万元以上通用设备,无100万元以上专用设备。</w:t>
      </w:r>
    </w:p>
    <w:p>
      <w:pPr>
        <w:widowControl/>
        <w:spacing w:line="600" w:lineRule="exact"/>
        <w:ind w:firstLine="640" w:firstLineChars="200"/>
        <w:rPr>
          <w:rFonts w:hint="eastAsia" w:eastAsia="仿宋_GB2312"/>
          <w:sz w:val="32"/>
          <w:szCs w:val="32"/>
        </w:rPr>
      </w:pPr>
      <w:r>
        <w:rPr>
          <w:rFonts w:hint="eastAsia" w:eastAsia="仿宋_GB2312"/>
          <w:sz w:val="32"/>
          <w:szCs w:val="32"/>
          <w:lang w:val="en-US" w:eastAsia="zh-CN"/>
        </w:rPr>
        <w:t>5</w:t>
      </w:r>
      <w:r>
        <w:rPr>
          <w:rFonts w:hint="eastAsia" w:eastAsia="仿宋_GB2312"/>
          <w:sz w:val="32"/>
          <w:szCs w:val="32"/>
        </w:rPr>
        <w:t>、重点项目预算的绩效目标情况说明</w:t>
      </w:r>
    </w:p>
    <w:p>
      <w:pPr>
        <w:widowControl/>
        <w:spacing w:line="600" w:lineRule="exact"/>
        <w:ind w:firstLine="660"/>
        <w:rPr>
          <w:rFonts w:eastAsia="仿宋_GB2312"/>
          <w:sz w:val="32"/>
          <w:szCs w:val="32"/>
        </w:rPr>
      </w:pPr>
      <w:r>
        <w:rPr>
          <w:rFonts w:hint="eastAsia" w:eastAsia="仿宋_GB2312"/>
          <w:sz w:val="32"/>
          <w:szCs w:val="32"/>
        </w:rPr>
        <w:t xml:space="preserve"> 因年初预算是中没有安排重点项目，故无重点项目预算的绩效目标情况说明。</w:t>
      </w:r>
    </w:p>
    <w:p>
      <w:pPr>
        <w:widowControl/>
        <w:spacing w:line="600" w:lineRule="exact"/>
        <w:ind w:firstLine="660"/>
        <w:rPr>
          <w:rFonts w:eastAsia="黑体"/>
          <w:sz w:val="32"/>
          <w:szCs w:val="32"/>
        </w:rPr>
      </w:pPr>
      <w:r>
        <w:rPr>
          <w:rFonts w:eastAsia="黑体"/>
          <w:sz w:val="32"/>
          <w:szCs w:val="32"/>
        </w:rPr>
        <w:t>六、名词解释</w:t>
      </w:r>
      <w:bookmarkStart w:id="0" w:name="_GoBack"/>
      <w:bookmarkEnd w:id="0"/>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600" w:lineRule="exact"/>
        <w:jc w:val="left"/>
        <w:rPr>
          <w:rFonts w:eastAsia="黑体"/>
          <w:sz w:val="32"/>
          <w:szCs w:val="32"/>
        </w:rPr>
      </w:pPr>
    </w:p>
    <w:p>
      <w:pPr>
        <w:widowControl/>
        <w:spacing w:line="600" w:lineRule="exact"/>
        <w:jc w:val="left"/>
        <w:rPr>
          <w:rFonts w:eastAsia="黑体"/>
          <w:sz w:val="32"/>
          <w:szCs w:val="32"/>
        </w:rPr>
      </w:pPr>
    </w:p>
    <w:p>
      <w:pPr>
        <w:widowControl/>
        <w:spacing w:line="600" w:lineRule="exact"/>
        <w:jc w:val="left"/>
        <w:rPr>
          <w:rFonts w:eastAsia="黑体"/>
          <w:sz w:val="32"/>
          <w:szCs w:val="32"/>
        </w:rPr>
      </w:pPr>
    </w:p>
    <w:p>
      <w:pPr>
        <w:widowControl/>
        <w:spacing w:line="700" w:lineRule="exact"/>
        <w:ind w:firstLine="862" w:firstLineChars="196"/>
        <w:jc w:val="left"/>
        <w:textAlignment w:val="center"/>
        <w:rPr>
          <w:rFonts w:ascii="微软雅黑" w:hAnsi="微软雅黑" w:eastAsia="微软雅黑" w:cs="微软雅黑"/>
          <w:color w:val="000000"/>
          <w:sz w:val="44"/>
          <w:szCs w:val="44"/>
        </w:rPr>
      </w:pPr>
      <w:r>
        <w:rPr>
          <w:rFonts w:ascii="Times New Roman" w:hAnsi="Times New Roman" w:eastAsia="黑体" w:cs="Times New Roman"/>
          <w:bCs/>
          <w:color w:val="000000"/>
          <w:kern w:val="0"/>
          <w:sz w:val="44"/>
          <w:szCs w:val="44"/>
          <w:shd w:val="clear" w:color="auto" w:fill="FFFFFF"/>
        </w:rPr>
        <w:t> </w:t>
      </w:r>
    </w:p>
    <w:p>
      <w:pPr>
        <w:widowControl/>
        <w:spacing w:line="700" w:lineRule="exact"/>
        <w:jc w:val="left"/>
        <w:textAlignment w:val="center"/>
        <w:rPr>
          <w:rFonts w:ascii="Times New Roman" w:hAnsi="微软雅黑" w:eastAsia="黑体" w:cs="黑体"/>
          <w:bCs/>
          <w:color w:val="000000"/>
          <w:kern w:val="0"/>
          <w:sz w:val="44"/>
          <w:szCs w:val="44"/>
          <w:shd w:val="clear" w:color="auto" w:fill="FFFFFF"/>
        </w:rPr>
      </w:pPr>
    </w:p>
    <w:p>
      <w:pPr>
        <w:widowControl/>
        <w:spacing w:line="700" w:lineRule="exact"/>
        <w:jc w:val="left"/>
        <w:textAlignment w:val="center"/>
        <w:rPr>
          <w:rFonts w:ascii="微软雅黑" w:hAnsi="微软雅黑" w:eastAsia="微软雅黑" w:cs="微软雅黑"/>
          <w:color w:val="000000"/>
          <w:sz w:val="32"/>
          <w:szCs w:val="32"/>
        </w:rPr>
      </w:pPr>
      <w:r>
        <w:rPr>
          <w:rFonts w:ascii="Times New Roman" w:hAnsi="微软雅黑" w:eastAsia="黑体" w:cs="黑体"/>
          <w:color w:val="000000"/>
          <w:kern w:val="0"/>
          <w:sz w:val="32"/>
          <w:szCs w:val="32"/>
          <w:shd w:val="clear" w:color="auto" w:fill="FFFFFF"/>
        </w:rPr>
        <w:t>第二部分：</w:t>
      </w:r>
    </w:p>
    <w:p>
      <w:pPr>
        <w:widowControl/>
        <w:spacing w:line="700" w:lineRule="exact"/>
        <w:ind w:firstLine="660"/>
        <w:jc w:val="center"/>
        <w:textAlignment w:val="center"/>
        <w:rPr>
          <w:rFonts w:ascii="微软雅黑" w:hAnsi="微软雅黑" w:eastAsia="微软雅黑" w:cs="微软雅黑"/>
          <w:color w:val="000000"/>
          <w:sz w:val="32"/>
          <w:szCs w:val="32"/>
        </w:rPr>
      </w:pPr>
      <w:r>
        <w:rPr>
          <w:rFonts w:ascii="仿宋_GB2312" w:hAnsi="微软雅黑" w:eastAsia="仿宋_GB2312" w:cs="仿宋_GB2312"/>
          <w:b/>
          <w:color w:val="000000"/>
          <w:kern w:val="0"/>
          <w:sz w:val="32"/>
          <w:szCs w:val="32"/>
          <w:shd w:val="clear" w:color="auto" w:fill="FFFFFF"/>
        </w:rPr>
        <w:t>201</w:t>
      </w:r>
      <w:r>
        <w:rPr>
          <w:rFonts w:hint="eastAsia" w:ascii="仿宋_GB2312" w:hAnsi="微软雅黑" w:eastAsia="仿宋_GB2312" w:cs="仿宋_GB2312"/>
          <w:b/>
          <w:color w:val="000000"/>
          <w:kern w:val="0"/>
          <w:sz w:val="32"/>
          <w:szCs w:val="32"/>
          <w:shd w:val="clear" w:color="auto" w:fill="FFFFFF"/>
        </w:rPr>
        <w:t>9年部门预算需公开的表格情况 </w:t>
      </w:r>
    </w:p>
    <w:p>
      <w:pPr>
        <w:widowControl/>
        <w:spacing w:line="700" w:lineRule="exact"/>
        <w:jc w:val="left"/>
        <w:textAlignment w:val="center"/>
        <w:rPr>
          <w:rFonts w:ascii="微软雅黑" w:hAnsi="微软雅黑" w:eastAsia="微软雅黑" w:cs="微软雅黑"/>
          <w:color w:val="000000"/>
          <w:sz w:val="32"/>
          <w:szCs w:val="32"/>
        </w:rPr>
      </w:pPr>
      <w:r>
        <w:rPr>
          <w:rFonts w:hint="eastAsia" w:ascii="仿宋_GB2312" w:hAnsi="微软雅黑" w:eastAsia="仿宋_GB2312" w:cs="仿宋_GB2312"/>
          <w:color w:val="000000"/>
          <w:kern w:val="0"/>
          <w:sz w:val="32"/>
          <w:szCs w:val="32"/>
          <w:shd w:val="clear" w:color="auto" w:fill="FFFFFF"/>
        </w:rPr>
        <w:t>1、部门收支总体情况表</w:t>
      </w:r>
    </w:p>
    <w:p>
      <w:pPr>
        <w:widowControl/>
        <w:spacing w:line="700" w:lineRule="exact"/>
        <w:jc w:val="left"/>
        <w:textAlignment w:val="center"/>
        <w:rPr>
          <w:rFonts w:ascii="微软雅黑" w:hAnsi="微软雅黑" w:eastAsia="微软雅黑" w:cs="微软雅黑"/>
          <w:color w:val="000000"/>
          <w:sz w:val="32"/>
          <w:szCs w:val="32"/>
        </w:rPr>
      </w:pPr>
      <w:r>
        <w:rPr>
          <w:rFonts w:hint="eastAsia" w:ascii="仿宋_GB2312" w:hAnsi="微软雅黑" w:eastAsia="仿宋_GB2312" w:cs="仿宋_GB2312"/>
          <w:color w:val="000000"/>
          <w:kern w:val="0"/>
          <w:sz w:val="32"/>
          <w:szCs w:val="32"/>
          <w:shd w:val="clear" w:color="auto" w:fill="FFFFFF"/>
        </w:rPr>
        <w:t>2、部门收入总体情况表</w:t>
      </w:r>
    </w:p>
    <w:p>
      <w:pPr>
        <w:widowControl/>
        <w:spacing w:line="700" w:lineRule="exact"/>
        <w:jc w:val="left"/>
        <w:textAlignment w:val="center"/>
        <w:rPr>
          <w:rFonts w:ascii="微软雅黑" w:hAnsi="微软雅黑" w:eastAsia="微软雅黑" w:cs="微软雅黑"/>
          <w:color w:val="000000"/>
          <w:sz w:val="32"/>
          <w:szCs w:val="32"/>
        </w:rPr>
      </w:pPr>
      <w:r>
        <w:rPr>
          <w:rFonts w:hint="eastAsia" w:ascii="仿宋_GB2312" w:hAnsi="微软雅黑" w:eastAsia="仿宋_GB2312" w:cs="仿宋_GB2312"/>
          <w:color w:val="000000"/>
          <w:kern w:val="0"/>
          <w:sz w:val="32"/>
          <w:szCs w:val="32"/>
          <w:shd w:val="clear" w:color="auto" w:fill="FFFFFF"/>
        </w:rPr>
        <w:t>3、部门支出总体情况表</w:t>
      </w:r>
    </w:p>
    <w:p>
      <w:pPr>
        <w:widowControl/>
        <w:spacing w:line="700" w:lineRule="exact"/>
        <w:jc w:val="left"/>
        <w:textAlignment w:val="center"/>
        <w:rPr>
          <w:rFonts w:ascii="微软雅黑" w:hAnsi="微软雅黑" w:eastAsia="微软雅黑" w:cs="微软雅黑"/>
          <w:color w:val="000000"/>
          <w:sz w:val="32"/>
          <w:szCs w:val="32"/>
        </w:rPr>
      </w:pPr>
      <w:r>
        <w:rPr>
          <w:rFonts w:hint="eastAsia" w:ascii="仿宋_GB2312" w:hAnsi="微软雅黑" w:eastAsia="仿宋_GB2312" w:cs="仿宋_GB2312"/>
          <w:color w:val="000000"/>
          <w:kern w:val="0"/>
          <w:sz w:val="32"/>
          <w:szCs w:val="32"/>
          <w:shd w:val="clear" w:color="auto" w:fill="FFFFFF"/>
        </w:rPr>
        <w:t>4、财政拨款收支总体情况表</w:t>
      </w:r>
    </w:p>
    <w:p>
      <w:pPr>
        <w:widowControl/>
        <w:spacing w:line="700" w:lineRule="exact"/>
        <w:jc w:val="left"/>
        <w:textAlignment w:val="center"/>
        <w:rPr>
          <w:rFonts w:ascii="微软雅黑" w:hAnsi="微软雅黑" w:eastAsia="微软雅黑" w:cs="微软雅黑"/>
          <w:color w:val="000000"/>
          <w:sz w:val="32"/>
          <w:szCs w:val="32"/>
        </w:rPr>
      </w:pPr>
      <w:r>
        <w:rPr>
          <w:rFonts w:hint="eastAsia" w:ascii="仿宋_GB2312" w:hAnsi="微软雅黑" w:eastAsia="仿宋_GB2312" w:cs="仿宋_GB2312"/>
          <w:color w:val="000000"/>
          <w:kern w:val="0"/>
          <w:sz w:val="32"/>
          <w:szCs w:val="32"/>
          <w:shd w:val="clear" w:color="auto" w:fill="FFFFFF"/>
        </w:rPr>
        <w:t>5、一般公共预算支出情况表</w:t>
      </w:r>
    </w:p>
    <w:p>
      <w:pPr>
        <w:widowControl/>
        <w:spacing w:line="700" w:lineRule="exact"/>
        <w:jc w:val="left"/>
        <w:textAlignment w:val="center"/>
        <w:rPr>
          <w:rFonts w:ascii="微软雅黑" w:hAnsi="微软雅黑" w:eastAsia="微软雅黑" w:cs="微软雅黑"/>
          <w:color w:val="000000"/>
          <w:sz w:val="32"/>
          <w:szCs w:val="32"/>
        </w:rPr>
      </w:pPr>
      <w:r>
        <w:rPr>
          <w:rFonts w:hint="eastAsia" w:ascii="仿宋_GB2312" w:hAnsi="微软雅黑" w:eastAsia="仿宋_GB2312" w:cs="仿宋_GB2312"/>
          <w:color w:val="000000"/>
          <w:kern w:val="0"/>
          <w:sz w:val="32"/>
          <w:szCs w:val="32"/>
          <w:shd w:val="clear" w:color="auto" w:fill="FFFFFF"/>
        </w:rPr>
        <w:t>6、一般公共预算基本支出情况表</w:t>
      </w:r>
    </w:p>
    <w:p>
      <w:pPr>
        <w:widowControl/>
        <w:spacing w:line="700" w:lineRule="exact"/>
        <w:jc w:val="left"/>
        <w:textAlignment w:val="center"/>
        <w:rPr>
          <w:rFonts w:ascii="微软雅黑" w:hAnsi="微软雅黑" w:eastAsia="微软雅黑" w:cs="微软雅黑"/>
          <w:color w:val="000000"/>
          <w:sz w:val="32"/>
          <w:szCs w:val="32"/>
        </w:rPr>
      </w:pPr>
      <w:r>
        <w:rPr>
          <w:rFonts w:hint="eastAsia" w:ascii="仿宋_GB2312" w:hAnsi="微软雅黑" w:eastAsia="仿宋_GB2312" w:cs="仿宋_GB2312"/>
          <w:color w:val="000000"/>
          <w:kern w:val="0"/>
          <w:sz w:val="32"/>
          <w:szCs w:val="32"/>
          <w:shd w:val="clear" w:color="auto" w:fill="FFFFFF"/>
        </w:rPr>
        <w:t>7、一般公共预算“三公”经费支出情况表</w:t>
      </w:r>
    </w:p>
    <w:p>
      <w:pPr>
        <w:widowControl/>
        <w:spacing w:line="700" w:lineRule="exact"/>
        <w:jc w:val="left"/>
        <w:textAlignment w:val="center"/>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8、政府性基金预算支出情况表</w:t>
      </w:r>
    </w:p>
    <w:p>
      <w:pPr>
        <w:widowControl/>
        <w:spacing w:line="700" w:lineRule="exact"/>
        <w:jc w:val="left"/>
        <w:textAlignment w:val="center"/>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9. </w:t>
      </w:r>
      <w:r>
        <w:rPr>
          <w:rFonts w:hint="eastAsia" w:ascii="仿宋_GB2312" w:hAnsi="仿宋_GB2312" w:eastAsia="仿宋_GB2312" w:cs="仿宋_GB2312"/>
          <w:color w:val="000000"/>
          <w:kern w:val="0"/>
          <w:sz w:val="32"/>
          <w:szCs w:val="32"/>
          <w:shd w:val="clear" w:color="auto" w:fill="FFFFFF"/>
        </w:rPr>
        <w:t>政府采购预算表</w:t>
      </w:r>
    </w:p>
    <w:p>
      <w:pPr>
        <w:widowControl/>
        <w:spacing w:line="700" w:lineRule="exact"/>
        <w:jc w:val="left"/>
        <w:textAlignment w:val="center"/>
        <w:rPr>
          <w:rFonts w:ascii="仿宋_GB2312" w:hAnsi="仿宋_GB2312"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10.</w:t>
      </w:r>
      <w:r>
        <w:rPr>
          <w:rFonts w:ascii="Times New Roman" w:hAnsi="Times New Roman" w:eastAsia="黑体" w:cs="Times New Roman"/>
          <w:color w:val="000000"/>
          <w:kern w:val="0"/>
          <w:sz w:val="32"/>
          <w:szCs w:val="32"/>
          <w:shd w:val="clear" w:color="auto" w:fill="FFFFFF"/>
        </w:rPr>
        <w:t> </w:t>
      </w:r>
      <w:r>
        <w:rPr>
          <w:rFonts w:hint="eastAsia" w:ascii="仿宋_GB2312" w:hAnsi="仿宋_GB2312" w:eastAsia="仿宋_GB2312" w:cs="仿宋_GB2312"/>
          <w:color w:val="000000"/>
          <w:kern w:val="0"/>
          <w:sz w:val="32"/>
          <w:szCs w:val="32"/>
          <w:shd w:val="clear" w:color="auto" w:fill="FFFFFF"/>
        </w:rPr>
        <w:t>部门整体支出绩效目标申报表</w:t>
      </w:r>
    </w:p>
    <w:p>
      <w:pPr>
        <w:widowControl/>
        <w:spacing w:line="700" w:lineRule="exact"/>
        <w:jc w:val="left"/>
        <w:textAlignment w:val="center"/>
        <w:rPr>
          <w:rFonts w:ascii="微软雅黑" w:hAnsi="微软雅黑" w:eastAsia="微软雅黑" w:cs="微软雅黑"/>
          <w:color w:val="000000"/>
          <w:sz w:val="32"/>
          <w:szCs w:val="32"/>
        </w:rPr>
      </w:pPr>
    </w:p>
    <w:p>
      <w:pPr>
        <w:widowControl/>
        <w:spacing w:line="700" w:lineRule="exact"/>
        <w:jc w:val="left"/>
        <w:textAlignment w:val="center"/>
        <w:rPr>
          <w:rFonts w:ascii="仿宋_GB2312" w:hAnsi="微软雅黑" w:eastAsia="仿宋_GB2312" w:cs="仿宋_GB2312"/>
          <w:color w:val="4C4C4C"/>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 </w:t>
      </w:r>
      <w:r>
        <w:fldChar w:fldCharType="begin"/>
      </w:r>
      <w:r>
        <w:instrText xml:space="preserve"> HYPERLINK "2018年部门预算需公开的表格情况.xls" </w:instrText>
      </w:r>
      <w:r>
        <w:fldChar w:fldCharType="separate"/>
      </w:r>
      <w:r>
        <w:rPr>
          <w:rStyle w:val="15"/>
          <w:rFonts w:hint="eastAsia" w:ascii="仿宋_GB2312" w:hAnsi="微软雅黑" w:eastAsia="仿宋_GB2312" w:cs="仿宋_GB2312"/>
          <w:sz w:val="32"/>
          <w:szCs w:val="32"/>
          <w:shd w:val="clear" w:color="auto" w:fill="FFFFFF"/>
        </w:rPr>
        <w:t>附件：</w:t>
      </w:r>
      <w:r>
        <w:rPr>
          <w:rStyle w:val="15"/>
          <w:rFonts w:hint="eastAsia" w:ascii="仿宋_GB2312" w:hAnsi="微软雅黑" w:eastAsia="仿宋_GB2312" w:cs="仿宋_GB2312"/>
          <w:sz w:val="32"/>
          <w:szCs w:val="32"/>
          <w:shd w:val="clear" w:color="auto" w:fill="FFFFFF"/>
        </w:rPr>
        <w:fldChar w:fldCharType="end"/>
      </w:r>
      <w:r>
        <w:rPr>
          <w:rFonts w:hint="eastAsia" w:ascii="仿宋_GB2312" w:hAnsi="微软雅黑" w:eastAsia="仿宋_GB2312" w:cs="仿宋_GB2312"/>
          <w:color w:val="4C4C4C"/>
          <w:kern w:val="0"/>
          <w:sz w:val="32"/>
          <w:szCs w:val="32"/>
          <w:shd w:val="clear" w:color="auto" w:fill="FFFFFF"/>
        </w:rPr>
        <w:t xml:space="preserve"> </w:t>
      </w:r>
      <w:r>
        <w:fldChar w:fldCharType="begin"/>
      </w:r>
      <w:r>
        <w:instrText xml:space="preserve"> HYPERLINK "3.2018年部门预算需公开的表格情况.xls" </w:instrText>
      </w:r>
      <w:r>
        <w:fldChar w:fldCharType="separate"/>
      </w:r>
      <w:r>
        <w:rPr>
          <w:rStyle w:val="15"/>
          <w:rFonts w:ascii="仿宋_GB2312" w:hAnsi="微软雅黑" w:eastAsia="仿宋_GB2312" w:cs="仿宋_GB2312"/>
          <w:kern w:val="0"/>
          <w:sz w:val="32"/>
          <w:szCs w:val="32"/>
          <w:shd w:val="clear" w:color="auto" w:fill="FFFFFF"/>
        </w:rPr>
        <w:t>201</w:t>
      </w:r>
      <w:r>
        <w:rPr>
          <w:rStyle w:val="15"/>
          <w:rFonts w:hint="eastAsia" w:ascii="仿宋_GB2312" w:hAnsi="微软雅黑" w:eastAsia="仿宋_GB2312" w:cs="仿宋_GB2312"/>
          <w:kern w:val="0"/>
          <w:sz w:val="32"/>
          <w:szCs w:val="32"/>
          <w:shd w:val="clear" w:color="auto" w:fill="FFFFFF"/>
        </w:rPr>
        <w:t>9</w:t>
      </w:r>
      <w:r>
        <w:rPr>
          <w:rStyle w:val="15"/>
          <w:rFonts w:ascii="仿宋_GB2312" w:hAnsi="微软雅黑" w:eastAsia="仿宋_GB2312" w:cs="仿宋_GB2312"/>
          <w:kern w:val="0"/>
          <w:sz w:val="32"/>
          <w:szCs w:val="32"/>
          <w:shd w:val="clear" w:color="auto" w:fill="FFFFFF"/>
        </w:rPr>
        <w:t>年部门预算需公开的表格情况.xls</w:t>
      </w:r>
      <w:r>
        <w:rPr>
          <w:rStyle w:val="15"/>
          <w:rFonts w:ascii="仿宋_GB2312" w:hAnsi="微软雅黑" w:eastAsia="仿宋_GB2312" w:cs="仿宋_GB2312"/>
          <w:kern w:val="0"/>
          <w:sz w:val="32"/>
          <w:szCs w:val="32"/>
          <w:shd w:val="clear" w:color="auto" w:fill="FFFFFF"/>
        </w:rPr>
        <w:fldChar w:fldCharType="end"/>
      </w:r>
    </w:p>
    <w:p>
      <w:pPr>
        <w:widowControl/>
        <w:spacing w:line="700" w:lineRule="exact"/>
        <w:jc w:val="left"/>
        <w:textAlignment w:val="center"/>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                             </w:t>
      </w:r>
    </w:p>
    <w:p>
      <w:pPr>
        <w:widowControl/>
        <w:spacing w:line="700" w:lineRule="exact"/>
        <w:jc w:val="left"/>
        <w:textAlignment w:val="center"/>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 xml:space="preserve">                       衡龙桥镇人民政府</w:t>
      </w:r>
    </w:p>
    <w:p>
      <w:pPr>
        <w:widowControl/>
        <w:spacing w:line="700" w:lineRule="exact"/>
        <w:jc w:val="left"/>
        <w:textAlignment w:val="center"/>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 xml:space="preserve">                       2019年1月14日                                                                                        </w:t>
      </w:r>
    </w:p>
    <w:p>
      <w:pPr>
        <w:widowControl/>
        <w:spacing w:line="700" w:lineRule="exact"/>
        <w:jc w:val="left"/>
        <w:textAlignment w:val="center"/>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 xml:space="preserve">                    </w:t>
      </w:r>
    </w:p>
    <w:p>
      <w:pPr>
        <w:widowControl/>
        <w:spacing w:line="700" w:lineRule="exact"/>
        <w:ind w:firstLine="660"/>
        <w:jc w:val="center"/>
        <w:textAlignment w:val="center"/>
        <w:rPr>
          <w:rFonts w:ascii="微软雅黑" w:hAnsi="微软雅黑" w:eastAsia="微软雅黑" w:cs="微软雅黑"/>
          <w:color w:val="000000"/>
          <w:sz w:val="32"/>
          <w:szCs w:val="32"/>
        </w:rPr>
      </w:pPr>
      <w:r>
        <w:rPr>
          <w:rFonts w:hint="eastAsia" w:ascii="仿宋_GB2312" w:hAnsi="微软雅黑" w:eastAsia="仿宋_GB2312" w:cs="仿宋_GB2312"/>
          <w:b/>
          <w:color w:val="000000"/>
          <w:kern w:val="0"/>
          <w:sz w:val="32"/>
          <w:szCs w:val="32"/>
          <w:shd w:val="clear" w:color="auto" w:fill="FFFFFF"/>
        </w:rPr>
        <w:t> </w:t>
      </w:r>
    </w:p>
    <w:sectPr>
      <w:pgSz w:w="11906" w:h="16838"/>
      <w:pgMar w:top="1440" w:right="127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672620"/>
    <w:multiLevelType w:val="singleLevel"/>
    <w:tmpl w:val="EE67262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D8B5A44"/>
    <w:rsid w:val="000078C3"/>
    <w:rsid w:val="000128F8"/>
    <w:rsid w:val="0003572C"/>
    <w:rsid w:val="00071A29"/>
    <w:rsid w:val="000A0159"/>
    <w:rsid w:val="0010336B"/>
    <w:rsid w:val="00104181"/>
    <w:rsid w:val="0011600D"/>
    <w:rsid w:val="001374DA"/>
    <w:rsid w:val="00157231"/>
    <w:rsid w:val="00191E2D"/>
    <w:rsid w:val="001A4E31"/>
    <w:rsid w:val="001D69BF"/>
    <w:rsid w:val="002118D5"/>
    <w:rsid w:val="00237ADE"/>
    <w:rsid w:val="00283483"/>
    <w:rsid w:val="002B4A2B"/>
    <w:rsid w:val="002D277F"/>
    <w:rsid w:val="00351B5E"/>
    <w:rsid w:val="00383F73"/>
    <w:rsid w:val="003E11A2"/>
    <w:rsid w:val="00455738"/>
    <w:rsid w:val="004C7D36"/>
    <w:rsid w:val="00510CDE"/>
    <w:rsid w:val="00532A77"/>
    <w:rsid w:val="005723C9"/>
    <w:rsid w:val="00635731"/>
    <w:rsid w:val="006444E8"/>
    <w:rsid w:val="00654E97"/>
    <w:rsid w:val="006D6633"/>
    <w:rsid w:val="00727623"/>
    <w:rsid w:val="0079212C"/>
    <w:rsid w:val="00853C43"/>
    <w:rsid w:val="00895246"/>
    <w:rsid w:val="008A7D53"/>
    <w:rsid w:val="008B62B1"/>
    <w:rsid w:val="008E1626"/>
    <w:rsid w:val="008F0F6A"/>
    <w:rsid w:val="009151B1"/>
    <w:rsid w:val="009C283B"/>
    <w:rsid w:val="009E643F"/>
    <w:rsid w:val="00A64D03"/>
    <w:rsid w:val="00AC54C5"/>
    <w:rsid w:val="00B32F10"/>
    <w:rsid w:val="00B34955"/>
    <w:rsid w:val="00B853C3"/>
    <w:rsid w:val="00BA31AB"/>
    <w:rsid w:val="00BA45F6"/>
    <w:rsid w:val="00BE0A15"/>
    <w:rsid w:val="00BE289A"/>
    <w:rsid w:val="00C3552C"/>
    <w:rsid w:val="00C661BA"/>
    <w:rsid w:val="00CB3022"/>
    <w:rsid w:val="00CB3915"/>
    <w:rsid w:val="00CC42B7"/>
    <w:rsid w:val="00D43AB9"/>
    <w:rsid w:val="00D47075"/>
    <w:rsid w:val="00D96C3F"/>
    <w:rsid w:val="00DB1AFC"/>
    <w:rsid w:val="00DD3BC1"/>
    <w:rsid w:val="00DF37DF"/>
    <w:rsid w:val="00E134C9"/>
    <w:rsid w:val="00E57035"/>
    <w:rsid w:val="00E673D0"/>
    <w:rsid w:val="00E85B87"/>
    <w:rsid w:val="00EC4533"/>
    <w:rsid w:val="00EE23C8"/>
    <w:rsid w:val="00F07EC4"/>
    <w:rsid w:val="00F13DB6"/>
    <w:rsid w:val="00F75B6B"/>
    <w:rsid w:val="00FA351F"/>
    <w:rsid w:val="00FD3F92"/>
    <w:rsid w:val="00FE44B7"/>
    <w:rsid w:val="1C5A62BF"/>
    <w:rsid w:val="20173A52"/>
    <w:rsid w:val="2F6F6519"/>
    <w:rsid w:val="499E3FE0"/>
    <w:rsid w:val="4D8B5A44"/>
    <w:rsid w:val="65B9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微软雅黑" w:hAnsi="微软雅黑" w:eastAsia="微软雅黑" w:cs="Times New Roman"/>
      <w:b/>
      <w:color w:val="000000"/>
      <w:kern w:val="44"/>
      <w:sz w:val="2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semiHidden/>
    <w:unhideWhenUsed/>
    <w:qFormat/>
    <w:uiPriority w:val="0"/>
    <w:pPr>
      <w:jc w:val="left"/>
      <w:outlineLvl w:val="3"/>
    </w:pPr>
    <w:rPr>
      <w:rFonts w:ascii="微软雅黑" w:hAnsi="微软雅黑" w:eastAsia="微软雅黑" w:cs="Times New Roman"/>
      <w:b/>
      <w:color w:val="000000"/>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24"/>
    <w:qFormat/>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character" w:styleId="10">
    <w:name w:val="FollowedHyperlink"/>
    <w:basedOn w:val="9"/>
    <w:qFormat/>
    <w:uiPriority w:val="0"/>
    <w:rPr>
      <w:color w:val="4C4C4C"/>
      <w:u w:val="none"/>
    </w:rPr>
  </w:style>
  <w:style w:type="character" w:styleId="11">
    <w:name w:val="Emphasis"/>
    <w:basedOn w:val="9"/>
    <w:qFormat/>
    <w:uiPriority w:val="0"/>
  </w:style>
  <w:style w:type="character" w:styleId="12">
    <w:name w:val="HTML Definition"/>
    <w:basedOn w:val="9"/>
    <w:qFormat/>
    <w:uiPriority w:val="0"/>
  </w:style>
  <w:style w:type="character" w:styleId="13">
    <w:name w:val="HTML Acronym"/>
    <w:basedOn w:val="9"/>
    <w:qFormat/>
    <w:uiPriority w:val="0"/>
  </w:style>
  <w:style w:type="character" w:styleId="14">
    <w:name w:val="HTML Variable"/>
    <w:basedOn w:val="9"/>
    <w:qFormat/>
    <w:uiPriority w:val="0"/>
  </w:style>
  <w:style w:type="character" w:styleId="15">
    <w:name w:val="Hyperlink"/>
    <w:basedOn w:val="9"/>
    <w:qFormat/>
    <w:uiPriority w:val="0"/>
    <w:rPr>
      <w:color w:val="4C4C4C"/>
      <w:u w:val="none"/>
    </w:rPr>
  </w:style>
  <w:style w:type="character" w:styleId="16">
    <w:name w:val="HTML Code"/>
    <w:basedOn w:val="9"/>
    <w:uiPriority w:val="0"/>
    <w:rPr>
      <w:rFonts w:hint="eastAsia" w:ascii="微软雅黑" w:hAnsi="微软雅黑" w:eastAsia="微软雅黑" w:cs="微软雅黑"/>
      <w:color w:val="000000"/>
      <w:sz w:val="21"/>
      <w:szCs w:val="21"/>
    </w:rPr>
  </w:style>
  <w:style w:type="character" w:styleId="17">
    <w:name w:val="HTML Cite"/>
    <w:basedOn w:val="9"/>
    <w:qFormat/>
    <w:uiPriority w:val="0"/>
  </w:style>
  <w:style w:type="character" w:customStyle="1" w:styleId="18">
    <w:name w:val="font"/>
    <w:basedOn w:val="9"/>
    <w:qFormat/>
    <w:uiPriority w:val="0"/>
  </w:style>
  <w:style w:type="character" w:customStyle="1" w:styleId="19">
    <w:name w:val="font1"/>
    <w:basedOn w:val="9"/>
    <w:qFormat/>
    <w:uiPriority w:val="0"/>
  </w:style>
  <w:style w:type="character" w:customStyle="1" w:styleId="20">
    <w:name w:val="noline"/>
    <w:basedOn w:val="9"/>
    <w:qFormat/>
    <w:uiPriority w:val="0"/>
  </w:style>
  <w:style w:type="character" w:customStyle="1" w:styleId="21">
    <w:name w:val="place"/>
    <w:basedOn w:val="9"/>
    <w:qFormat/>
    <w:uiPriority w:val="0"/>
    <w:rPr>
      <w:rFonts w:hint="eastAsia" w:ascii="微软雅黑" w:hAnsi="微软雅黑" w:eastAsia="微软雅黑" w:cs="微软雅黑"/>
      <w:color w:val="888888"/>
      <w:sz w:val="25"/>
      <w:szCs w:val="25"/>
    </w:rPr>
  </w:style>
  <w:style w:type="character" w:customStyle="1" w:styleId="22">
    <w:name w:val="bsharetext"/>
    <w:basedOn w:val="9"/>
    <w:qFormat/>
    <w:uiPriority w:val="0"/>
  </w:style>
  <w:style w:type="character" w:customStyle="1" w:styleId="23">
    <w:name w:val="页眉 Char"/>
    <w:basedOn w:val="9"/>
    <w:link w:val="7"/>
    <w:qFormat/>
    <w:uiPriority w:val="0"/>
    <w:rPr>
      <w:rFonts w:asciiTheme="minorHAnsi" w:hAnsiTheme="minorHAnsi" w:eastAsiaTheme="minorEastAsia" w:cstheme="minorBidi"/>
      <w:kern w:val="2"/>
      <w:sz w:val="18"/>
      <w:szCs w:val="18"/>
    </w:rPr>
  </w:style>
  <w:style w:type="character" w:customStyle="1" w:styleId="24">
    <w:name w:val="页脚 Char"/>
    <w:basedOn w:val="9"/>
    <w:link w:val="6"/>
    <w:qFormat/>
    <w:uiPriority w:val="0"/>
    <w:rPr>
      <w:rFonts w:asciiTheme="minorHAnsi" w:hAnsiTheme="minorHAnsi" w:eastAsiaTheme="minorEastAsia" w:cstheme="minorBidi"/>
      <w:kern w:val="2"/>
      <w:sz w:val="18"/>
      <w:szCs w:val="18"/>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F4988-1D60-4748-B085-3B217624FF6E}">
  <ds:schemaRefs/>
</ds:datastoreItem>
</file>

<file path=docProps/app.xml><?xml version="1.0" encoding="utf-8"?>
<Properties xmlns="http://schemas.openxmlformats.org/officeDocument/2006/extended-properties" xmlns:vt="http://schemas.openxmlformats.org/officeDocument/2006/docPropsVTypes">
  <Template>Normal</Template>
  <Pages>6</Pages>
  <Words>411</Words>
  <Characters>2345</Characters>
  <Lines>19</Lines>
  <Paragraphs>5</Paragraphs>
  <TotalTime>1</TotalTime>
  <ScaleCrop>false</ScaleCrop>
  <LinksUpToDate>false</LinksUpToDate>
  <CharactersWithSpaces>2751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2018-01-09T03:49:00Z</dcterms:created>
  <dc:creator>Administrator</dc:creator>
  <cp:lastModifiedBy>霞霞</cp:lastModifiedBy>
  <dcterms:modified xsi:type="dcterms:W3CDTF">2020-01-04T01:21:54Z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