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36"/>
          <w:szCs w:val="36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333333"/>
          <w:position w:val="0"/>
          <w:sz w:val="36"/>
          <w:szCs w:val="36"/>
          <w:rFonts w:ascii="黑体" w:eastAsia="Calibri" w:hAnsi="Calibri" w:hint="default"/>
        </w:rPr>
        <w:autoSpaceDE w:val="1"/>
        <w:autoSpaceDN w:val="1"/>
      </w:pPr>
      <w:r>
        <w:rPr>
          <w:b w:val="1"/>
          <w:color w:val="333333"/>
          <w:position w:val="0"/>
          <w:sz w:val="36"/>
          <w:szCs w:val="36"/>
          <w:rFonts w:ascii="黑体" w:eastAsia="Calibri" w:hAnsi="Calibri" w:hint="default"/>
        </w:rPr>
        <w:t>赫山区泉交河镇人民政府2018年度部门决算公开</w:t>
      </w:r>
    </w:p>
    <w:p>
      <w:pPr>
        <w:numPr>
          <w:ilvl w:val="0"/>
          <w:numId w:val="0"/>
        </w:numPr>
        <w:jc w:val="center"/>
        <w:shd w:val="clear" w:color="000000" w:fill="FFFFFF"/>
        <w:spacing w:lineRule="atLeast" w:line="338" w:before="0" w:after="160"/>
        <w:ind w:right="0" w:firstLine="351"/>
        <w:rPr>
          <w:b w:val="1"/>
          <w:color w:val="333333"/>
          <w:position w:val="0"/>
          <w:sz w:val="36"/>
          <w:szCs w:val="36"/>
          <w:rFonts w:ascii="黑体" w:eastAsia="Calibri" w:hAnsi="Calibri" w:hint="default"/>
        </w:rPr>
        <w:autoSpaceDE w:val="1"/>
        <w:autoSpaceDN w:val="1"/>
      </w:pPr>
      <w:r>
        <w:rPr>
          <w:b w:val="1"/>
          <w:color w:val="333333"/>
          <w:position w:val="0"/>
          <w:sz w:val="36"/>
          <w:szCs w:val="36"/>
          <w:rFonts w:ascii="黑体" w:eastAsia="Calibri" w:hAnsi="Calibri" w:hint="default"/>
        </w:rPr>
        <w:t xml:space="preserve">目  录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黑体" w:eastAsia="Calibri" w:hAnsi="Calibri" w:hint="default"/>
        </w:rPr>
        <w:t>第一部分：</w:t>
      </w:r>
      <w:r>
        <w:rPr>
          <w:spacing w:val="0"/>
          <w:b w:val="0"/>
          <w:color w:val="333333"/>
          <w:position w:val="0"/>
          <w:sz w:val="32"/>
          <w:szCs w:val="32"/>
          <w:smallCaps w:val="0"/>
          <w:rFonts w:ascii="黑体" w:eastAsia="Calibri" w:hAnsi="Calibri" w:hint="default"/>
        </w:rPr>
        <w:t>泉交河镇</w:t>
      </w:r>
      <w:r>
        <w:rPr>
          <w:color w:val="333333"/>
          <w:position w:val="0"/>
          <w:sz w:val="32"/>
          <w:szCs w:val="32"/>
          <w:rFonts w:ascii="黑体" w:eastAsia="Calibri" w:hAnsi="Calibri" w:hint="default"/>
        </w:rPr>
        <w:t>人民政府概况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20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一、</w:t>
      </w:r>
      <w:r>
        <w:rPr>
          <w:color w:val="333333"/>
          <w:position w:val="0"/>
          <w:sz w:val="14"/>
          <w:szCs w:val="14"/>
          <w:rFonts w:ascii="Times New Roman" w:eastAsia="楷体" w:hAnsi="楷体" w:hint="default"/>
        </w:rPr>
        <w:t> </w:t>
      </w: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主要职能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20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二、部门决算单位构成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黑体" w:eastAsia="Calibri" w:hAnsi="Calibri" w:hint="default"/>
        </w:rPr>
        <w:t>第二部分：</w:t>
      </w:r>
      <w:r>
        <w:rPr>
          <w:spacing w:val="0"/>
          <w:b w:val="0"/>
          <w:color w:val="333333"/>
          <w:position w:val="0"/>
          <w:sz w:val="32"/>
          <w:szCs w:val="32"/>
          <w:smallCaps w:val="0"/>
          <w:rFonts w:ascii="黑体" w:eastAsia="Calibri" w:hAnsi="Calibri" w:hint="default"/>
        </w:rPr>
        <w:t>泉交河镇</w:t>
      </w:r>
      <w:r>
        <w:rPr>
          <w:color w:val="333333"/>
          <w:position w:val="0"/>
          <w:sz w:val="32"/>
          <w:szCs w:val="32"/>
          <w:rFonts w:ascii="黑体" w:eastAsia="Calibri" w:hAnsi="Calibri" w:hint="default"/>
        </w:rPr>
        <w:t>人民政府2018年度部门决算表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一、收入支出决算总表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二、收入决算表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三、支出决算表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四、财政拨款收入支出决算总表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五、一般公共预算财政拨款收入支出决算表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六、一般公共预算财政拨款基本支出决算表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七、一般公共预算财政拨款“三公”经费支出决算表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32"/>
          <w:szCs w:val="32"/>
          <w:rFonts w:ascii="楷体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八、政府性基金预算财政拨款收入支出决算表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九、政府采购情况表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黑体" w:eastAsia="Calibri" w:hAnsi="Calibri" w:hint="default"/>
        </w:rPr>
        <w:t xml:space="preserve">第三部分 </w:t>
      </w:r>
      <w:r>
        <w:rPr>
          <w:spacing w:val="0"/>
          <w:b w:val="0"/>
          <w:color w:val="333333"/>
          <w:position w:val="0"/>
          <w:sz w:val="32"/>
          <w:szCs w:val="32"/>
          <w:smallCaps w:val="0"/>
          <w:rFonts w:ascii="黑体" w:eastAsia="Calibri" w:hAnsi="Calibri" w:hint="default"/>
        </w:rPr>
        <w:t>泉交河镇</w:t>
      </w:r>
      <w:r>
        <w:rPr>
          <w:color w:val="333333"/>
          <w:position w:val="0"/>
          <w:sz w:val="32"/>
          <w:szCs w:val="32"/>
          <w:rFonts w:ascii="黑体" w:eastAsia="Calibri" w:hAnsi="Calibri" w:hint="default"/>
        </w:rPr>
        <w:t>人民政府2018年度部门决算情况说明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黑体" w:eastAsia="Calibri" w:hAnsi="Calibri" w:hint="default"/>
        </w:rPr>
        <w:t xml:space="preserve">第四部分 名词解释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 xml:space="preserve">第一部分  泉交河镇人民政府概况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0"/>
          <w:szCs w:val="30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宋体" w:eastAsia="宋体" w:hAnsi="宋体" w:hint="default"/>
        </w:rPr>
        <w:t> 一、主要职能</w:t>
      </w:r>
    </w:p>
    <w:p>
      <w:pPr>
        <w:bidi w:val="0"/>
        <w:numPr>
          <w:ilvl w:val="0"/>
          <w:numId w:val="0"/>
        </w:numPr>
        <w:jc w:val="both"/>
        <w:spacing w:lineRule="exact" w:line="700" w:before="0" w:after="0"/>
        <w:pageBreakBefore w:val="0"/>
        <w:ind w:right="0" w:firstLine="360"/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泉交河镇人民政府（简称本单位）系正科级行政单位，负责全镇社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会农业、安全、计生、环境卫生、综合治理、信访、统计、扶贫开发、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卫教文、社会保障等一系列工作。其主要职能如下：</w:t>
      </w:r>
    </w:p>
    <w:p>
      <w:pPr>
        <w:bidi w:val="0"/>
        <w:numPr>
          <w:ilvl w:val="0"/>
          <w:numId w:val="0"/>
        </w:numPr>
        <w:jc w:val="both"/>
        <w:spacing w:lineRule="exact" w:line="700" w:before="0" w:after="0"/>
        <w:pageBreakBefore w:val="0"/>
        <w:ind w:right="0" w:firstLine="360"/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1.执行本级人民代表大会决议和上级国家行政机关的决定和命令，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发布决定和命令；落实国家政策，严格依法行政。</w:t>
      </w:r>
    </w:p>
    <w:p>
      <w:pPr>
        <w:bidi w:val="0"/>
        <w:numPr>
          <w:ilvl w:val="0"/>
          <w:numId w:val="0"/>
        </w:numPr>
        <w:jc w:val="both"/>
        <w:spacing w:lineRule="exact" w:line="700" w:before="0" w:after="0"/>
        <w:pageBreakBefore w:val="0"/>
        <w:ind w:right="0" w:firstLine="360"/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2. 执行本乡镇区域内的经济和社会发展计划、预算，管理本乡镇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区域内的经济、教育、科学、文化、体育事业和财政、民政、公安、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司法行政、计划生育等行政工作；发展乡村经济、文化和社会事业，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提供公共服务。</w:t>
      </w:r>
    </w:p>
    <w:p>
      <w:pPr>
        <w:bidi w:val="0"/>
        <w:numPr>
          <w:ilvl w:val="0"/>
          <w:numId w:val="0"/>
        </w:numPr>
        <w:jc w:val="both"/>
        <w:spacing w:lineRule="exact" w:line="700" w:before="0" w:after="0"/>
        <w:pageBreakBefore w:val="0"/>
        <w:ind w:right="0" w:firstLine="360"/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3、保护社会主义全民所有制的财产和劳动群众集体所有制的财产，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保护公民私人所有的合法财产，维护社会稳定，保障公民的人身权利、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民主权利和其他权利。</w:t>
      </w:r>
    </w:p>
    <w:p>
      <w:pPr>
        <w:bidi w:val="0"/>
        <w:numPr>
          <w:ilvl w:val="0"/>
          <w:numId w:val="0"/>
        </w:numPr>
        <w:jc w:val="both"/>
        <w:spacing w:lineRule="exact" w:line="700" w:before="0" w:after="0"/>
        <w:pageBreakBefore w:val="0"/>
        <w:ind w:right="0" w:firstLine="360"/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4、保护各种经济组织的合法权益。</w:t>
      </w:r>
    </w:p>
    <w:p>
      <w:pPr>
        <w:bidi w:val="0"/>
        <w:numPr>
          <w:ilvl w:val="0"/>
          <w:numId w:val="0"/>
        </w:numPr>
        <w:jc w:val="both"/>
        <w:spacing w:lineRule="exact" w:line="700" w:before="0" w:after="0"/>
        <w:pageBreakBefore w:val="0"/>
        <w:ind w:right="0" w:firstLine="360"/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5、保障少数民族的合法权利和尊重少数民族的风俗习惯。</w:t>
      </w:r>
    </w:p>
    <w:p>
      <w:pPr>
        <w:bidi w:val="0"/>
        <w:numPr>
          <w:ilvl w:val="0"/>
          <w:numId w:val="0"/>
        </w:numPr>
        <w:jc w:val="both"/>
        <w:spacing w:lineRule="exact" w:line="700" w:before="0" w:after="0"/>
        <w:pageBreakBefore w:val="0"/>
        <w:ind w:right="0" w:firstLine="360"/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6、保障宪法和法律赋予妇女的男女平等、同工同酬和婚姻自由等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各项权利。</w:t>
      </w:r>
    </w:p>
    <w:p>
      <w:pPr>
        <w:bidi w:val="0"/>
        <w:numPr>
          <w:ilvl w:val="0"/>
          <w:numId w:val="0"/>
        </w:numPr>
        <w:jc w:val="both"/>
        <w:spacing w:lineRule="exact" w:line="700" w:before="0" w:after="0"/>
        <w:pageBreakBefore w:val="0"/>
        <w:ind w:right="0" w:firstLine="360"/>
        <w:rPr>
          <w:color w:val="434343"/>
          <w:position w:val="0"/>
          <w:sz w:val="28"/>
          <w:szCs w:val="28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7、办理上级人民政府交办的其他事项</w:t>
      </w:r>
    </w:p>
    <w:p>
      <w:pPr>
        <w:numPr>
          <w:ilvl w:val="0"/>
          <w:numId w:val="0"/>
        </w:numPr>
        <w:jc w:val="both"/>
        <w:spacing w:lineRule="exact" w:line="700" w:before="0" w:after="160"/>
        <w:ind w:right="0" w:firstLine="420"/>
        <w:rPr>
          <w:color w:val="434343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700" w:before="0" w:after="160"/>
        <w:ind w:right="0" w:firstLine="420"/>
        <w:rPr>
          <w:color w:val="434343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二、部门预算单位构成</w:t>
      </w:r>
    </w:p>
    <w:p>
      <w:pPr>
        <w:bidi w:val="0"/>
        <w:numPr>
          <w:ilvl w:val="0"/>
          <w:numId w:val="0"/>
        </w:numPr>
        <w:jc w:val="both"/>
        <w:spacing w:lineRule="exact" w:line="600" w:before="0" w:after="0"/>
        <w:pageBreakBefore w:val="0"/>
        <w:ind w:right="0" w:firstLine="480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泉交河镇人民政府系正科级行政单位，内设党政办、村镇建设站、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计生办、民政办、水管站、农技站、重点办、司法所、食药监站、安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监站等站所机构。截止2018年12月31，本单位经区编委核定的编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制人数为45人（其中行政编制43人，事业编制2人）。年末实有人数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249人（其中财政拨款开支34人，财政补助开支人数215人）。纳入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2018年部门决算的二级预算单位包括：泉交河镇人民政府本级，没有</w:t>
      </w:r>
      <w:r>
        <w:rPr>
          <w:rStyle w:val="PO1"/>
          <w:spacing w:val="0"/>
          <w:color w:val="auto"/>
          <w:position w:val="0"/>
          <w:sz w:val="28"/>
          <w:szCs w:val="28"/>
          <w:rFonts w:ascii="宋体" w:eastAsia="宋体" w:hAnsi="宋体" w:hint="default"/>
        </w:rPr>
        <w:t>其他二级预算单位，因此，纳入2018年部门决算编制范围的只有本级。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560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b w:val="1"/>
          <w:color w:val="333333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333333"/>
          <w:position w:val="0"/>
          <w:sz w:val="36"/>
          <w:szCs w:val="36"/>
          <w:rFonts w:ascii="宋体" w:eastAsia="宋体" w:hAnsi="宋体" w:hint="default"/>
        </w:rPr>
        <w:t xml:space="preserve">第二部分 泉交河镇人民政府2018年度部门决算表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一、收入支出决算总表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二、收入决算表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三、支出决算表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四、财政拨款收入支出决算总表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五、一般公共预算财政拨款收入支出决算表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六、一般公共预算财政拨款基本支出决算表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七、一般公共预算财政拨款“三公”经费支出决算表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32"/>
          <w:szCs w:val="32"/>
          <w:rFonts w:ascii="楷体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八、政府性基金预算财政拨款收入支出决算表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8" w:before="0" w:after="160"/>
        <w:ind w:right="0" w:firstLine="351"/>
        <w:rPr>
          <w:color w:val="333333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楷体" w:eastAsia="Calibri" w:hAnsi="Calibri" w:hint="default"/>
        </w:rPr>
        <w:t>九、政府采购情况表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color w:val="auto"/>
          <w:position w:val="0"/>
          <w:sz w:val="32"/>
          <w:szCs w:val="32"/>
          <w:rFonts w:ascii="仿宋_GB2312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 xml:space="preserve">                 第三部分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泉交河镇人民政府2018年度部门决算情况说明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一、收入支出决算总体情况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 2018年度收、支总计4,221.81万元，与2017年相比，收、支总计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增加114.85万元，增长2.8%。主要原因是：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人员工资性收支有所增加，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农林水方面的收支增加。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二、收入决算情况说明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 2018年收入3,383.45万元，其中：一般公共预算拨款收入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3192.21万元，比上年减少19.81%。占本年总收入100%。政府性基金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预算财政拨款收入191.24万元，比上年增加51.78%。占本年总收入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5.65%。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三、支出决算情况说明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本年支出合计3,676.59万元，其中：基本支出1,745.28万元，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占本年总支出47.47%。项目支出1931.31万元，占本年总支出52.53%。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 xml:space="preserve">四、财政拨款收入支出决算总体情况说明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 2018年度财政拨款收、支总计4221.81万元，与2017年相比，财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政拨款收、支总计各增加114.85万元，增长2.8%。主要原因是：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人员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工资性收支有所增加，农林水方面的收支增加。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五、一般公共预算财政拨款支出决算情况说明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28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（一）一般公共预算拨款支出总体情况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2018年度财政拨款支出3485.35万元，占本年支出合计的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94.8%。与2017年度相比，比上年增加343万元，增加10.91%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，主要原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因是:农林水支出大幅增加，住房保障支出有所增加，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医疗卫生与计划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生育支出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增加。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（二）一般公共预算拨款支出决算结构情况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1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一般公共预算拨款支出3485.35万元，主要用于以下方面：一般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公共服务支出852.88万元，占24.47%。科学技术支出4.8万元，占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0.14%。文化体育与传媒支出248.95万元，占7.14%。社会保障和就业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支出135.08万元，占3.88%。医疗卫生与计划生育支出24.16万元，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占0.69%。节能环保支出33万元，占0.95%。城乡社区支出120万元，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占3.44%。农林水支出2006.93万元，占57.58%。商业服务业等支出2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万元，占0.06%。住房保障支出57.55万元，占1.65%。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1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（三）一般公共预算拨款支出决算具体情况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 2018年度财政拨款支出年初预算为1071.36万元，支出决算为</w:t>
      </w:r>
      <w:r>
        <w:rPr>
          <w:spacing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3,485.35万元，完成年初预算的325%。支出决算大于年初预算的主要</w:t>
      </w:r>
      <w:r>
        <w:rPr>
          <w:spacing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原因是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有些项目的经费由区级财政管理没有纳入乡一级的年初预算，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所以造成了决算数大于预算数。其中：一般公共服务支出852.88万元，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主要用于政府办公室及相关机构事务与财政事务支出；文化体育传媒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支出248.95万元，主要用于文化体育传媒支出；社会保障和就业支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出135.08万元，主要用于死亡抚恤、临时救助、自然灾害灾后重建补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助支出；节能环保支出33万元，主要用于水体污染防治与其他污染防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治支出；城乡社区支出120万元，主要用于征地和拆迁补偿、土地开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发、农村基础设施建设及农业土地开发资金及对应专项债务收入安排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支出等；农林水支出2006.93万元，主要用于农村公益事业、水利工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程运行信维护、防汛、扶贫、农村综合改革及其他农林水支出。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按经济分类：工资福利支出1136.73万元，比上年增加68.24%。商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品和服务支出529.01万元，比上年增加24.67%。对个人和家庭的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补助39.16万元，比上年减少90.15%。其他资本性支出40.37万元，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比上年增加92.95%。项目支出1740.07万元，比上年增加7.13%。其中：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商品和服务支出1511.07万元，比上年增加322.7%。其他资本性支出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229万元，上年无其他资本性支出。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1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六、一般公共预算财政拨款基本支出决算情况说明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 xml:space="preserve"> 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益阳市泉交河镇人民政府2018年度一般公共预算财政拨款基本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支出1,745.28万元。其中: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人员经费1,175.9万元，主要包括：按国家规定支出的基本工资、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津贴补贴、其他社会保障缴费、伙食补助费、机关事业单位基本养老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保险缴费、其他工资福利支出、离休费、退休费、抚恤金、生活补助、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医疗费、住房公积金、提租补贴、购房补贴、采暖补贴、物业服务补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贴、其他对个人和家庭的补助支出；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公用经费569.38万元，主要包括：办公费、印刷费、咨询费、手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续费、水费、电费、邮电费、取暖费、物业管理费、差旅费、因公出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国（境）费用、维修（护）费、租赁费、会议费、培训费、公务接待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费、专用材料费、劳务费、委托业务费、工会经费、福利费、公务用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车运行维护费、其他交通费用、税金及附加费用、其他商品和服务支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出、办公设备购置、专用设备购置、其他资本性支出。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七、一般公共预算财政拨款“三公”经费决算情况说明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（一）“三公”经费财政拨款支出决算总体情况说明。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2018年度“三公”经费财政拨款支出预算数为43万元，支出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决算数为31.71万元,完成预算的73.74%，决算数小于预算数的主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要原因是认真贯彻落实中央“八项规定”精神和厉行节约要求，从严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控制“三公”经费开支，全年实际支出比预算有所节约。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（二）“三公”经费财政拨款支出决算具体情况说明。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2018年度“三公”经费财政拨款支出决算中，具体情况如下：公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务用车运行维护费决算数为4.9万元，占15.45%。公务用车保有量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2辆,公务接待费决算数为26.81万元，占84.55%。公务接待500批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次7000人次。2018年“三公”经费决算比2017年减少43.19万元，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我单位按照中央、省委、省政府等要求，厉行节约，继续严控“三公”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经费。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八、政府性基金预算收入支出决算情况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2018年本单位没有使用政府性基金预算拨款安排的支出。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2018年政府性基金本年收入191.24万元,占本年收入合计的5.65%。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比上年增加51.78%，本年支出191.24万元,占本年支出合计的5.2%。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比上年增加51.78%，项目支出191.24万元,比上年增加51.78%，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九、预算绩效情况说明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56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（一）绩效管理工作开展情况</w:t>
      </w:r>
    </w:p>
    <w:p>
      <w:pPr>
        <w:numPr>
          <w:ilvl w:val="0"/>
          <w:numId w:val="0"/>
        </w:numPr>
        <w:jc w:val="left"/>
        <w:shd w:val="clear" w:fill="FFFFFF"/>
        <w:spacing w:lineRule="atLeast" w:line="540" w:before="150" w:after="0"/>
        <w:ind w:right="0" w:firstLine="48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　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1.强化财政支出管理，确保全镇经济社会稳定。按照保工资，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保运转，保基本民生的原则，科学运筹资金，确保政府机关各项工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作正常运转。</w:t>
      </w:r>
    </w:p>
    <w:p>
      <w:pPr>
        <w:bidi w:val="0"/>
        <w:numPr>
          <w:ilvl w:val="0"/>
          <w:numId w:val="0"/>
        </w:numPr>
        <w:jc w:val="both"/>
        <w:shd w:val="clear" w:color="000000" w:fill="FFFFFF"/>
        <w:spacing w:lineRule="atLeast" w:line="560" w:before="0" w:after="0"/>
        <w:pageBreakBefore w:val="0"/>
        <w:ind w:right="0" w:firstLine="608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2.开展了惠农及民生政策宣传活动，切实把各项民生政策宣传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到位、落实到位。共计发放各类补贴资金1062.58万元。注重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民生保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障，服务群众</w:t>
      </w:r>
    </w:p>
    <w:p>
      <w:pPr>
        <w:bidi w:val="0"/>
        <w:numPr>
          <w:ilvl w:val="0"/>
          <w:numId w:val="0"/>
        </w:numPr>
        <w:jc w:val="both"/>
        <w:shd w:val="clear" w:color="000000" w:fill="FFFFFF"/>
        <w:spacing w:lineRule="atLeast" w:line="560" w:before="0" w:after="0"/>
        <w:pageBreakBefore w:val="0"/>
        <w:ind w:right="0" w:firstLine="608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3.全面做好扶贫资金拨付工作，扶贫资金93.5万元全部拨付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到位。</w:t>
      </w:r>
    </w:p>
    <w:p>
      <w:pPr>
        <w:numPr>
          <w:ilvl w:val="0"/>
          <w:numId w:val="0"/>
        </w:numPr>
        <w:jc w:val="left"/>
        <w:shd w:val="clear" w:fill="FFFFFF"/>
        <w:spacing w:lineRule="atLeast" w:line="540" w:before="150" w:after="0"/>
        <w:ind w:right="0" w:firstLine="48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（二）部门决算中项目绩效自评结果</w:t>
      </w:r>
    </w:p>
    <w:p>
      <w:pPr>
        <w:numPr>
          <w:ilvl w:val="0"/>
          <w:numId w:val="0"/>
        </w:numPr>
        <w:jc w:val="left"/>
        <w:shd w:val="clear" w:fill="FFFFFF"/>
        <w:spacing w:lineRule="atLeast" w:line="540" w:before="150" w:after="0"/>
        <w:ind w:right="0" w:firstLine="48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　　2018年本单位在绩效管理中不断优化经济发展环境，加强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项目建设；十分注重民生保障，服务人民群众；狠抓社会管理，多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方发力做到全面防范安全生产事故、及时调解纠纷、牢固“防违控违”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工作、全面推进城乡统筹工作；不断完善科教文卫，全面发展。但也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绩效管理中发现了一些问题，对此，将在平时工作中进一步加强对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绩效目标监控的重视，定期对预算执行情况进行监督，使绩效目标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监控与政府工作、财务工作挂钩，做到及时监控，及时控制。</w:t>
      </w:r>
    </w:p>
    <w:p>
      <w:pPr>
        <w:numPr>
          <w:ilvl w:val="0"/>
          <w:numId w:val="0"/>
        </w:numPr>
        <w:jc w:val="left"/>
        <w:shd w:val="clear" w:fill="FFFFFF"/>
        <w:spacing w:lineRule="atLeast" w:line="540" w:before="150" w:after="0"/>
        <w:ind w:right="0" w:firstLine="48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（三）以部门为主体开展的重点绩效评价结果</w:t>
      </w:r>
    </w:p>
    <w:p>
      <w:pPr>
        <w:numPr>
          <w:ilvl w:val="0"/>
          <w:numId w:val="0"/>
        </w:numPr>
        <w:jc w:val="left"/>
        <w:shd w:val="clear" w:fill="FFFFFF"/>
        <w:spacing w:lineRule="atLeast" w:line="540" w:before="150" w:after="0"/>
        <w:ind w:right="0" w:firstLine="48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　　2018年我镇整体支出情况良好，资金主要用于保证机关正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常运转、干职工工资、民生保障等重点绩效方面，对于项目资金，从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立项、审批、设计、财评、建设、验收、审计全程监管，并由专人具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体负责项目实施，取得了较好的经济效益和社会效益。</w:t>
      </w:r>
    </w:p>
    <w:p>
      <w:pPr>
        <w:numPr>
          <w:ilvl w:val="0"/>
          <w:numId w:val="0"/>
        </w:numPr>
        <w:jc w:val="left"/>
        <w:shd w:val="clear" w:fill="FFFFFF"/>
        <w:spacing w:lineRule="atLeast" w:line="540" w:before="150" w:after="0"/>
        <w:ind w:right="0" w:firstLine="48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十、其他重要事项情况说明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0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（一）机关（事业）运行经费支出情况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2018年益阳市泉交河镇人民政府机关（事业）运行经费财政拨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款决算569.38万元。比2017年增加124.14万元。主要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原因是：2018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年人员经费增加，交通费以及委托业务费有所增加，加上随着物价的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上涨，相应的机关运转经费有所上升。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0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（二）政府采购支出情情况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84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本年度政府采购无实际采购额。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0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（三）国有资产占有情况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本单位年末共有车辆2辆。年末无单价50万元以上通用设备。</w:t>
      </w:r>
      <w:r>
        <w:rPr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年末无单价100万元以上通用设备。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 xml:space="preserve">第四部分 名词解释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562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一、财政拨款收入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：指中央财政当年拨付的资金。 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562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二、事业收入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：指事业单位开展专业业务活动及辅助活动所取得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的收入。 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643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三、经营收入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：指事业单位在专业业务活动及其辅助活动之外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开展非独立核算经营活动取得的收入。 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643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四、其他收入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：指除上述“财政拨款收入” 、 “事业收入” 、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“经营收入”等以外的收入。主要是按规定动用的售房收入、存款利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息收入等。 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643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五、用事业基金弥补收支差额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：指事业单位在当年的“财政拨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款收入”、“事业收入”、“经营收入”、“其他收入”不足以安排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当年支出的情况下，使用以前年度积累的事业基金（事业单位当年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收支相抵后按国家规定提取、用于弥补以后年度收支差额的基金）弥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补本年度收支缺口的资金。 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643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六、年初结转和结余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：指以前年度尚未完成、结转到本年按有关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规定继续使用的资金。 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643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七、结余分配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：指事业单位按规定提取的职工福利基金、事业基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金和缴纳的所得税，以及建设单位按规定应交回的基本建设竣工项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目结余资金。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643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八、年末结转和结余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：指本年度或以前年度预算安排、因客观条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件发生变化无法按原计划实施，需要延迟到以后年度按有关规定继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续使用的资金。 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643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九、基本支出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：指为保障机构正常运转、完成日常工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作任务而发生的人员支出和公用支出。 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643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十、项目支出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：指在基本支出之外为完成特定行政任务和事业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发展目标所发生的支出。 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643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十一、经营支出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：指事业单位在专业业务活动及其辅助活动之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外开展非独立核算经营活动发生的支出。 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643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十二、“三公”经费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：纳入中央财政预决算管理的“三公”经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费，是指中央部门用财政拨款安排的因公出国（境）费、公务用车购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置及运行费和公务接待费。其中，因公出国（境）费反映单位公务出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国（境）的国际旅费、国外城市间交通费、住宿费、伙食费、培训费、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公杂费等支出；公务用车购置及运行费反映单位公务用车车辆购置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支出（含车辆购置税）及租用费、燃料费、维修费、过路过桥费、保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险费、安全奖励费用等支出；公务接待费反映单位按规定开支的各类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公务接待（含外宾接待）支出。 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643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十三、机关运行经费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：为保障行政单位（含参照公务员法管理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的事业单位）运行用于购买货物和服务的各项资金，包括办公及印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刷费、邮电费、差旅费、会议费、福利费、日常维修费、专用材料及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一般设备购置费、办公用房水电费、办公用房取暖费、办公用房物业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管理费、公务用车运行维护费以及其他费用。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643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Times New Roman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点点点典*^o^*</dc:creator>
  <cp:lastModifiedBy/>
  <dcterms:modified xsi:type="dcterms:W3CDTF">2019-09-09T03:21:31Z</dcterms:modified>
</cp:coreProperties>
</file>