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仿宋_GB2312" w:eastAsia="仿宋_GB2312"/>
          <w:sz w:val="32"/>
        </w:rPr>
      </w:pPr>
    </w:p>
    <w:p>
      <w:pPr>
        <w:spacing w:line="540" w:lineRule="exact"/>
        <w:jc w:val="center"/>
        <w:rPr>
          <w:rFonts w:ascii="仿宋_GB2312" w:eastAsia="仿宋_GB2312"/>
          <w:sz w:val="32"/>
        </w:rPr>
      </w:pPr>
    </w:p>
    <w:p>
      <w:pPr>
        <w:spacing w:line="540" w:lineRule="exact"/>
        <w:jc w:val="center"/>
        <w:rPr>
          <w:rFonts w:ascii="仿宋_GB2312" w:eastAsia="仿宋_GB2312"/>
          <w:sz w:val="32"/>
        </w:rPr>
      </w:pPr>
    </w:p>
    <w:p>
      <w:pPr>
        <w:spacing w:line="600" w:lineRule="exact"/>
        <w:rPr>
          <w:rFonts w:ascii="仿宋_GB2312" w:eastAsia="仿宋_GB2312"/>
          <w:sz w:val="32"/>
        </w:rPr>
      </w:pPr>
    </w:p>
    <w:p>
      <w:pPr>
        <w:spacing w:line="600" w:lineRule="exact"/>
        <w:rPr>
          <w:rFonts w:ascii="仿宋_GB2312" w:eastAsia="仿宋_GB2312"/>
          <w:sz w:val="32"/>
        </w:rPr>
      </w:pPr>
    </w:p>
    <w:p>
      <w:pPr>
        <w:spacing w:line="600" w:lineRule="exact"/>
        <w:rPr>
          <w:rFonts w:ascii="仿宋_GB2312" w:eastAsia="仿宋_GB2312"/>
          <w:sz w:val="32"/>
        </w:rPr>
      </w:pPr>
    </w:p>
    <w:p>
      <w:pPr>
        <w:spacing w:line="600" w:lineRule="exact"/>
        <w:jc w:val="center"/>
        <w:rPr>
          <w:rFonts w:ascii="仿宋_GB2312" w:eastAsia="仿宋_GB2312"/>
          <w:sz w:val="32"/>
        </w:rPr>
      </w:pPr>
    </w:p>
    <w:p>
      <w:pPr>
        <w:snapToGrid w:val="0"/>
        <w:spacing w:line="600" w:lineRule="exact"/>
        <w:jc w:val="center"/>
        <w:rPr>
          <w:rFonts w:hint="eastAsia" w:ascii="仿宋" w:hAnsi="仿宋" w:eastAsia="仿宋"/>
          <w:sz w:val="32"/>
          <w:szCs w:val="32"/>
          <w:lang w:eastAsia="zh-CN"/>
        </w:rPr>
      </w:pPr>
      <w:r>
        <w:rPr>
          <w:rFonts w:hint="eastAsia" w:ascii="仿宋" w:hAnsi="仿宋" w:eastAsia="仿宋"/>
          <w:sz w:val="32"/>
          <w:szCs w:val="32"/>
          <w:lang w:val="en-US" w:eastAsia="zh-CN"/>
        </w:rPr>
        <w:t xml:space="preserve">   </w:t>
      </w:r>
    </w:p>
    <w:p>
      <w:pPr>
        <w:spacing w:line="600" w:lineRule="exact"/>
        <w:jc w:val="center"/>
        <w:rPr>
          <w:rFonts w:ascii="仿宋_GB2312" w:eastAsia="仿宋_GB2312"/>
          <w:sz w:val="2"/>
        </w:rPr>
      </w:pPr>
    </w:p>
    <w:p>
      <w:pPr>
        <w:spacing w:line="600" w:lineRule="exact"/>
        <w:jc w:val="center"/>
        <w:rPr>
          <w:rFonts w:ascii="仿宋_GB2312" w:eastAsia="仿宋_GB2312"/>
          <w:sz w:val="2"/>
        </w:rPr>
      </w:pPr>
    </w:p>
    <w:p>
      <w:pPr>
        <w:pageBreakBefore w:val="0"/>
        <w:widowControl w:val="0"/>
        <w:kinsoku/>
        <w:wordWrap/>
        <w:overflowPunct/>
        <w:topLinePunct w:val="0"/>
        <w:autoSpaceDE/>
        <w:autoSpaceDN/>
        <w:bidi w:val="0"/>
        <w:adjustRightInd/>
        <w:snapToGrid/>
        <w:spacing w:line="64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益阳市赫山区畜牧水产事务中心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关于冷凯云等三人非法捕捞水产品案对</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eastAsiaTheme="minorEastAsia"/>
          <w:lang w:val="en-US" w:eastAsia="zh-CN"/>
        </w:rPr>
      </w:pPr>
      <w:r>
        <w:rPr>
          <w:rFonts w:hint="eastAsia" w:ascii="方正小标宋简体" w:hAnsi="方正小标宋简体" w:eastAsia="方正小标宋简体" w:cs="方正小标宋简体"/>
          <w:sz w:val="44"/>
          <w:szCs w:val="44"/>
          <w:lang w:eastAsia="zh-CN"/>
        </w:rPr>
        <w:t>渔业资源损害的专家评估意见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我</w:t>
      </w:r>
      <w:r>
        <w:rPr>
          <w:rFonts w:hint="eastAsia" w:ascii="仿宋" w:hAnsi="仿宋" w:eastAsia="仿宋" w:cs="仿宋"/>
          <w:b w:val="0"/>
          <w:bCs w:val="0"/>
          <w:sz w:val="32"/>
          <w:szCs w:val="32"/>
          <w:lang w:eastAsia="zh-CN"/>
        </w:rPr>
        <w:t>中心</w:t>
      </w:r>
      <w:r>
        <w:rPr>
          <w:rFonts w:hint="eastAsia" w:ascii="仿宋" w:hAnsi="仿宋" w:eastAsia="仿宋" w:cs="仿宋"/>
          <w:b w:val="0"/>
          <w:bCs w:val="0"/>
          <w:sz w:val="32"/>
          <w:szCs w:val="32"/>
        </w:rPr>
        <w:t>20</w:t>
      </w:r>
      <w:r>
        <w:rPr>
          <w:rFonts w:hint="eastAsia" w:ascii="仿宋" w:hAnsi="仿宋" w:eastAsia="仿宋" w:cs="仿宋"/>
          <w:b w:val="0"/>
          <w:bCs w:val="0"/>
          <w:sz w:val="32"/>
          <w:szCs w:val="32"/>
          <w:lang w:val="en-US" w:eastAsia="zh-CN"/>
        </w:rPr>
        <w:t>20</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28</w:t>
      </w:r>
      <w:r>
        <w:rPr>
          <w:rFonts w:hint="eastAsia" w:ascii="仿宋" w:hAnsi="仿宋" w:eastAsia="仿宋" w:cs="仿宋"/>
          <w:b w:val="0"/>
          <w:bCs w:val="0"/>
          <w:sz w:val="32"/>
          <w:szCs w:val="32"/>
        </w:rPr>
        <w:t>日受</w:t>
      </w:r>
      <w:r>
        <w:rPr>
          <w:rFonts w:hint="eastAsia" w:ascii="仿宋" w:hAnsi="仿宋" w:eastAsia="仿宋" w:cs="仿宋"/>
          <w:b w:val="0"/>
          <w:bCs w:val="0"/>
          <w:sz w:val="32"/>
          <w:szCs w:val="32"/>
          <w:lang w:eastAsia="zh-CN"/>
        </w:rPr>
        <w:t>赫山区人民检察院</w:t>
      </w:r>
      <w:r>
        <w:rPr>
          <w:rFonts w:hint="eastAsia" w:ascii="仿宋" w:hAnsi="仿宋" w:eastAsia="仿宋" w:cs="仿宋"/>
          <w:b w:val="0"/>
          <w:bCs w:val="0"/>
          <w:sz w:val="32"/>
          <w:szCs w:val="32"/>
        </w:rPr>
        <w:t>的委托</w:t>
      </w:r>
      <w:r>
        <w:rPr>
          <w:rFonts w:hint="eastAsia" w:ascii="仿宋" w:hAnsi="仿宋" w:eastAsia="仿宋" w:cs="仿宋"/>
          <w:b w:val="0"/>
          <w:bCs w:val="0"/>
          <w:sz w:val="32"/>
          <w:szCs w:val="32"/>
          <w:lang w:eastAsia="zh-CN"/>
        </w:rPr>
        <w:t>（益赫检民公〔</w:t>
      </w:r>
      <w:r>
        <w:rPr>
          <w:rFonts w:hint="eastAsia" w:ascii="仿宋" w:hAnsi="仿宋" w:eastAsia="仿宋" w:cs="仿宋"/>
          <w:b w:val="0"/>
          <w:bCs w:val="0"/>
          <w:sz w:val="32"/>
          <w:szCs w:val="32"/>
          <w:lang w:val="en-US" w:eastAsia="zh-CN"/>
        </w:rPr>
        <w:t>2020</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43090300002号</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对</w:t>
      </w:r>
      <w:r>
        <w:rPr>
          <w:rFonts w:hint="eastAsia" w:ascii="仿宋" w:hAnsi="仿宋" w:eastAsia="仿宋" w:cs="仿宋"/>
          <w:b w:val="0"/>
          <w:bCs w:val="0"/>
          <w:sz w:val="32"/>
          <w:szCs w:val="32"/>
          <w:lang w:eastAsia="zh-CN"/>
        </w:rPr>
        <w:t>冷凯云</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冷文超、蔡楚华</w:t>
      </w:r>
      <w:r>
        <w:rPr>
          <w:rFonts w:hint="eastAsia" w:ascii="仿宋" w:hAnsi="仿宋" w:eastAsia="仿宋" w:cs="仿宋"/>
          <w:b w:val="0"/>
          <w:bCs w:val="0"/>
          <w:sz w:val="32"/>
          <w:szCs w:val="32"/>
        </w:rPr>
        <w:t>非法捕捞水产品行为，造成天然渔业</w:t>
      </w:r>
      <w:r>
        <w:rPr>
          <w:rFonts w:hint="eastAsia" w:ascii="仿宋" w:hAnsi="仿宋" w:eastAsia="仿宋" w:cs="仿宋"/>
          <w:b w:val="0"/>
          <w:bCs w:val="0"/>
          <w:sz w:val="32"/>
          <w:szCs w:val="32"/>
          <w:lang w:eastAsia="zh-CN"/>
        </w:rPr>
        <w:t>资源</w:t>
      </w:r>
      <w:r>
        <w:rPr>
          <w:rFonts w:hint="eastAsia" w:ascii="仿宋" w:hAnsi="仿宋" w:eastAsia="仿宋" w:cs="仿宋"/>
          <w:b w:val="0"/>
          <w:bCs w:val="0"/>
          <w:sz w:val="32"/>
          <w:szCs w:val="32"/>
        </w:rPr>
        <w:t>损害</w:t>
      </w:r>
      <w:r>
        <w:rPr>
          <w:rFonts w:hint="eastAsia" w:ascii="仿宋" w:hAnsi="仿宋" w:eastAsia="仿宋" w:cs="仿宋"/>
          <w:b w:val="0"/>
          <w:bCs w:val="0"/>
          <w:sz w:val="32"/>
          <w:szCs w:val="32"/>
          <w:lang w:eastAsia="zh-CN"/>
        </w:rPr>
        <w:t>情况</w:t>
      </w:r>
      <w:r>
        <w:rPr>
          <w:rFonts w:hint="eastAsia" w:ascii="仿宋" w:hAnsi="仿宋" w:eastAsia="仿宋" w:cs="仿宋"/>
          <w:b w:val="0"/>
          <w:bCs w:val="0"/>
          <w:sz w:val="32"/>
          <w:szCs w:val="32"/>
        </w:rPr>
        <w:t>进行评估，我</w:t>
      </w:r>
      <w:r>
        <w:rPr>
          <w:rFonts w:hint="eastAsia" w:ascii="仿宋" w:hAnsi="仿宋" w:eastAsia="仿宋" w:cs="仿宋"/>
          <w:b w:val="0"/>
          <w:bCs w:val="0"/>
          <w:sz w:val="32"/>
          <w:szCs w:val="32"/>
          <w:lang w:eastAsia="zh-CN"/>
        </w:rPr>
        <w:t>中心</w:t>
      </w:r>
      <w:r>
        <w:rPr>
          <w:rFonts w:hint="eastAsia" w:ascii="仿宋" w:hAnsi="仿宋" w:eastAsia="仿宋" w:cs="仿宋"/>
          <w:b w:val="0"/>
          <w:bCs w:val="0"/>
          <w:sz w:val="32"/>
          <w:szCs w:val="32"/>
        </w:rPr>
        <w:t>组织</w:t>
      </w:r>
      <w:r>
        <w:rPr>
          <w:rFonts w:hint="eastAsia" w:ascii="仿宋" w:hAnsi="仿宋" w:eastAsia="仿宋" w:cs="仿宋"/>
          <w:b w:val="0"/>
          <w:bCs w:val="0"/>
          <w:sz w:val="32"/>
          <w:szCs w:val="32"/>
          <w:lang w:eastAsia="zh-CN"/>
        </w:rPr>
        <w:t>水产高级</w:t>
      </w:r>
      <w:r>
        <w:rPr>
          <w:rFonts w:hint="eastAsia" w:ascii="仿宋" w:hAnsi="仿宋" w:eastAsia="仿宋" w:cs="仿宋"/>
          <w:b w:val="0"/>
          <w:bCs w:val="0"/>
          <w:sz w:val="32"/>
          <w:szCs w:val="32"/>
        </w:rPr>
        <w:t>工程师</w:t>
      </w:r>
      <w:r>
        <w:rPr>
          <w:rFonts w:hint="eastAsia" w:ascii="仿宋" w:hAnsi="仿宋" w:eastAsia="仿宋" w:cs="仿宋"/>
          <w:b w:val="0"/>
          <w:bCs w:val="0"/>
          <w:sz w:val="32"/>
          <w:szCs w:val="32"/>
          <w:lang w:eastAsia="zh-CN"/>
        </w:rPr>
        <w:t>何纯希、杨金树、王爱军</w:t>
      </w:r>
      <w:r>
        <w:rPr>
          <w:rFonts w:hint="eastAsia" w:ascii="仿宋" w:hAnsi="仿宋" w:eastAsia="仿宋" w:cs="仿宋"/>
          <w:b w:val="0"/>
          <w:bCs w:val="0"/>
          <w:sz w:val="32"/>
          <w:szCs w:val="32"/>
        </w:rPr>
        <w:t>等专业人员</w:t>
      </w:r>
      <w:r>
        <w:rPr>
          <w:rFonts w:hint="eastAsia" w:ascii="仿宋" w:hAnsi="仿宋" w:eastAsia="仿宋" w:cs="仿宋"/>
          <w:b w:val="0"/>
          <w:bCs w:val="0"/>
          <w:sz w:val="32"/>
          <w:szCs w:val="32"/>
          <w:lang w:eastAsia="zh-CN"/>
        </w:rPr>
        <w:t>评估</w:t>
      </w:r>
      <w:r>
        <w:rPr>
          <w:rFonts w:hint="eastAsia" w:ascii="仿宋" w:hAnsi="仿宋" w:eastAsia="仿宋" w:cs="仿宋"/>
          <w:b w:val="0"/>
          <w:bCs w:val="0"/>
          <w:sz w:val="32"/>
          <w:szCs w:val="32"/>
        </w:rPr>
        <w:t>意见</w:t>
      </w:r>
      <w:r>
        <w:rPr>
          <w:rFonts w:hint="eastAsia" w:ascii="仿宋" w:hAnsi="仿宋" w:eastAsia="仿宋" w:cs="仿宋"/>
          <w:b w:val="0"/>
          <w:bCs w:val="0"/>
          <w:sz w:val="32"/>
          <w:szCs w:val="32"/>
          <w:lang w:eastAsia="zh-CN"/>
        </w:rPr>
        <w:t>如</w:t>
      </w:r>
      <w:r>
        <w:rPr>
          <w:rFonts w:hint="eastAsia" w:ascii="仿宋" w:hAnsi="仿宋" w:eastAsia="仿宋" w:cs="仿宋"/>
          <w:b w:val="0"/>
          <w:bCs w:val="0"/>
          <w:sz w:val="32"/>
          <w:szCs w:val="32"/>
        </w:rPr>
        <w:t>下</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一、电力捕鱼对水生动物的危害及水域生态环境的影响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渔业水域生态环境是由鱼类及其它水生动植物构成的一个平衡的生态环境系统。如果系统中的某种生物急剧减少或大量消亡，就会打破这个平衡，水域环境将遭受严重破坏，且在短时间内难以修复。大家知道，电力捕鱼是利用高压电将鱼类击死或击晕，从而获得渔获物的违法捕捞行为。随着现代科技的发展，电鱼设备越来越高级，输出的电压高达几千伏，电击所到之处，将导致大量鱼类死亡或丧失繁育能力、水体污染。电力捕鱼行为本身就是高危作业行为，存在着极大的安全隐患，因此，《中华人民共和国渔业法》第三十条明令禁止。</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电力捕鱼对鱼类及其它水生动物的危害</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1.直接导致水生动物死亡或丧失繁育能力。</w:t>
      </w:r>
      <w:r>
        <w:rPr>
          <w:rFonts w:hint="eastAsia" w:ascii="仿宋" w:hAnsi="仿宋" w:eastAsia="仿宋" w:cs="仿宋"/>
          <w:b w:val="0"/>
          <w:bCs w:val="0"/>
          <w:sz w:val="32"/>
          <w:szCs w:val="32"/>
          <w:lang w:eastAsia="zh-CN"/>
        </w:rPr>
        <w:t>电击所到之处，将大量鱼类与底栖动物击死或击晕，侥幸存活下来的水生动物，无论是成体还是幼体其神经系统和性腺都将受到损害，造成畸形或丧失生育能力;特别是在鱼类产卵繁殖的季节，电鱼是一种毁灭性的捕捞方式，不仅大鱼小鱼‘打尽’，卵也会‘胎死腹中’，电死一条产仔的亲鱼，就会减少几十万甚至几百万尾鱼苗，对鱼类的繁衍危害极大，造成渔业资源枯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2.影响渔业资源恢复。</w:t>
      </w:r>
      <w:r>
        <w:rPr>
          <w:rFonts w:hint="eastAsia" w:ascii="仿宋" w:hAnsi="仿宋" w:eastAsia="仿宋" w:cs="仿宋"/>
          <w:b w:val="0"/>
          <w:bCs w:val="0"/>
          <w:sz w:val="32"/>
          <w:szCs w:val="32"/>
          <w:lang w:eastAsia="zh-CN"/>
        </w:rPr>
        <w:t>电捕鱼时，不仅对鱼类造成直接伤害，而且对水域中的其他水生动物(包括螺蛳、虾类、贝类、小蝌蚪、浮游生物、微生物等)造成毁灭性破坏，致其大量死亡和急剧减少，破坏水域生态平衡。从而导致许多鱼类失去天然饵料，影响渔业资源的恢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(二)电力捕鱼对环境的影响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直接导致水体污染。</w:t>
      </w:r>
      <w:r>
        <w:rPr>
          <w:rFonts w:hint="eastAsia" w:ascii="仿宋" w:hAnsi="仿宋" w:eastAsia="仿宋" w:cs="仿宋"/>
          <w:b w:val="0"/>
          <w:bCs w:val="0"/>
          <w:sz w:val="32"/>
          <w:szCs w:val="32"/>
          <w:lang w:eastAsia="zh-CN"/>
        </w:rPr>
        <w:t>电鱼时电死的大量鱼虾及其它水生生物，只有极少一部分被电鱼者捞走，大部分尸体沉到水底，大量尸体的腐败分解，直接影响水质，破坏水环境。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2.破坏水域生态环境。</w:t>
      </w:r>
      <w:r>
        <w:rPr>
          <w:rFonts w:hint="eastAsia" w:ascii="仿宋" w:hAnsi="仿宋" w:eastAsia="仿宋" w:cs="仿宋"/>
          <w:b w:val="0"/>
          <w:bCs w:val="0"/>
          <w:sz w:val="32"/>
          <w:szCs w:val="32"/>
          <w:lang w:eastAsia="zh-CN"/>
        </w:rPr>
        <w:t>鱼类和其它水生动物急剧减少，破坏了水域中的生态平衡，极易导致某种生物疯长(尤其是浮游植物)。当其达到一定极限时，就会大量死亡，其尸体腐败分解后，导致水质恶化，破坏水域生态环境，影响人类生存，要经过相当长一段时间才能修复，劳民伤财，所以，广大人民群众要认清电打鱼的危害性，杜绝电鱼行为，发现有人进行电捕鱼积极举报，共同保护水域生态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二、冷凯云等</w:t>
      </w: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lang w:eastAsia="zh-CN"/>
        </w:rPr>
        <w:t>人电捕鱼行为对鱼类的损害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（一）直接损害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冷凯云等</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人在春季禁渔期间通过电力捕鱼行为共捕得渔获物</w:t>
      </w: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lang w:eastAsia="zh-CN"/>
        </w:rPr>
        <w:t>公斤，其中鲤鱼</w:t>
      </w:r>
      <w:r>
        <w:rPr>
          <w:rFonts w:hint="eastAsia" w:ascii="仿宋" w:hAnsi="仿宋" w:eastAsia="仿宋" w:cs="仿宋"/>
          <w:b w:val="0"/>
          <w:bCs w:val="0"/>
          <w:sz w:val="32"/>
          <w:szCs w:val="32"/>
          <w:lang w:val="en-US" w:eastAsia="zh-CN"/>
        </w:rPr>
        <w:t>10公斤，鲫鱼12.5公斤，黄颡鱼2.5公斤。</w:t>
      </w:r>
      <w:r>
        <w:rPr>
          <w:rFonts w:hint="eastAsia" w:ascii="仿宋" w:hAnsi="仿宋" w:eastAsia="仿宋" w:cs="仿宋"/>
          <w:b w:val="0"/>
          <w:bCs w:val="0"/>
          <w:sz w:val="32"/>
          <w:szCs w:val="32"/>
          <w:lang w:eastAsia="zh-CN"/>
        </w:rPr>
        <w:t>根据中国水产科学研究院长江水产研究所试验测算，天然水域中受到电击影响的成鱼，能够现场捞起的不足</w:t>
      </w:r>
      <w:r>
        <w:rPr>
          <w:rFonts w:hint="eastAsia" w:ascii="仿宋" w:hAnsi="仿宋" w:eastAsia="仿宋" w:cs="仿宋"/>
          <w:b w:val="0"/>
          <w:bCs w:val="0"/>
          <w:sz w:val="32"/>
          <w:szCs w:val="32"/>
          <w:lang w:val="en-US" w:eastAsia="zh-CN"/>
        </w:rPr>
        <w:t>1/4。</w:t>
      </w:r>
      <w:r>
        <w:rPr>
          <w:rFonts w:hint="eastAsia" w:ascii="仿宋" w:hAnsi="仿宋" w:eastAsia="仿宋" w:cs="仿宋"/>
          <w:b w:val="0"/>
          <w:bCs w:val="0"/>
          <w:sz w:val="32"/>
          <w:szCs w:val="32"/>
          <w:lang w:eastAsia="zh-CN"/>
        </w:rPr>
        <w:t>故</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人的行为至少将造成</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lang w:eastAsia="zh-CN"/>
        </w:rPr>
        <w:t>公斤成鱼死亡。以每公斤野生鱼30元计算经济价值，经济损失</w:t>
      </w:r>
      <w:r>
        <w:rPr>
          <w:rFonts w:hint="eastAsia" w:ascii="仿宋" w:hAnsi="仿宋" w:eastAsia="仿宋" w:cs="仿宋"/>
          <w:b w:val="0"/>
          <w:bCs w:val="0"/>
          <w:sz w:val="32"/>
          <w:szCs w:val="32"/>
          <w:lang w:val="en-US" w:eastAsia="zh-CN"/>
        </w:rPr>
        <w:t>3000</w:t>
      </w:r>
      <w:r>
        <w:rPr>
          <w:rFonts w:hint="eastAsia" w:ascii="仿宋" w:hAnsi="仿宋" w:eastAsia="仿宋" w:cs="仿宋"/>
          <w:b w:val="0"/>
          <w:bCs w:val="0"/>
          <w:sz w:val="32"/>
          <w:szCs w:val="32"/>
          <w:lang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（二）间接损害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冷凯云等</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人的违法行为，发生在春季禁渔期间(</w:t>
      </w:r>
      <w:r>
        <w:rPr>
          <w:rFonts w:hint="eastAsia" w:ascii="仿宋" w:hAnsi="仿宋" w:eastAsia="仿宋" w:cs="仿宋"/>
          <w:b w:val="0"/>
          <w:bCs w:val="0"/>
          <w:sz w:val="32"/>
          <w:szCs w:val="32"/>
          <w:lang w:val="en-US" w:eastAsia="zh-CN"/>
        </w:rPr>
        <w:t>3月1日00:00-6月30日24:00</w:t>
      </w:r>
      <w:r>
        <w:rPr>
          <w:rFonts w:hint="eastAsia" w:ascii="仿宋" w:hAnsi="仿宋" w:eastAsia="仿宋" w:cs="仿宋"/>
          <w:b w:val="0"/>
          <w:bCs w:val="0"/>
          <w:sz w:val="32"/>
          <w:szCs w:val="32"/>
          <w:lang w:eastAsia="zh-CN"/>
        </w:rPr>
        <w:t>)，此时正是大部分鱼类产卵繁殖与幼鱼成长期间。电力捕鱼行为致死的鱼卵、鱼苗和其它水生动物不计其数，无法估算。受损的成鱼中，按50％雌鱼计算，损害的雌鱼重量为</w:t>
      </w:r>
      <w:r>
        <w:rPr>
          <w:rFonts w:hint="eastAsia" w:ascii="仿宋" w:hAnsi="仿宋" w:eastAsia="仿宋" w:cs="仿宋"/>
          <w:b w:val="0"/>
          <w:bCs w:val="0"/>
          <w:sz w:val="32"/>
          <w:szCs w:val="32"/>
          <w:lang w:val="en-US" w:eastAsia="zh-CN"/>
        </w:rPr>
        <w:t>50</w:t>
      </w:r>
      <w:r>
        <w:rPr>
          <w:rFonts w:hint="eastAsia" w:ascii="仿宋" w:hAnsi="仿宋" w:eastAsia="仿宋" w:cs="仿宋"/>
          <w:b w:val="0"/>
          <w:bCs w:val="0"/>
          <w:sz w:val="32"/>
          <w:szCs w:val="32"/>
          <w:lang w:eastAsia="zh-CN"/>
        </w:rPr>
        <w:t>公斤。受损雌鱼按5</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lang w:eastAsia="zh-CN"/>
        </w:rPr>
        <w:t>％已达性成熟计算，则受损性成熟雌鱼重</w:t>
      </w: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lang w:eastAsia="zh-CN"/>
        </w:rPr>
        <w:t>公斤，以鲤鱼雌鱼每公斤体重怀卵量</w:t>
      </w:r>
      <w:r>
        <w:rPr>
          <w:rFonts w:hint="eastAsia" w:ascii="仿宋" w:hAnsi="仿宋" w:eastAsia="仿宋" w:cs="仿宋"/>
          <w:b w:val="0"/>
          <w:bCs w:val="0"/>
          <w:sz w:val="32"/>
          <w:szCs w:val="32"/>
          <w:lang w:val="en-US" w:eastAsia="zh-CN"/>
        </w:rPr>
        <w:t>15-20</w:t>
      </w:r>
      <w:r>
        <w:rPr>
          <w:rFonts w:hint="eastAsia" w:ascii="仿宋" w:hAnsi="仿宋" w:eastAsia="仿宋" w:cs="仿宋"/>
          <w:b w:val="0"/>
          <w:bCs w:val="0"/>
          <w:sz w:val="32"/>
          <w:szCs w:val="32"/>
          <w:lang w:eastAsia="zh-CN"/>
        </w:rPr>
        <w:t>万粒(取</w:t>
      </w:r>
      <w:r>
        <w:rPr>
          <w:rFonts w:hint="eastAsia" w:ascii="仿宋" w:hAnsi="仿宋" w:eastAsia="仿宋" w:cs="仿宋"/>
          <w:b w:val="0"/>
          <w:bCs w:val="0"/>
          <w:sz w:val="32"/>
          <w:szCs w:val="32"/>
          <w:lang w:val="en-US" w:eastAsia="zh-CN"/>
        </w:rPr>
        <w:t>15万粒</w:t>
      </w:r>
      <w:r>
        <w:rPr>
          <w:rFonts w:hint="eastAsia" w:ascii="仿宋" w:hAnsi="仿宋" w:eastAsia="仿宋" w:cs="仿宋"/>
          <w:b w:val="0"/>
          <w:bCs w:val="0"/>
          <w:sz w:val="32"/>
          <w:szCs w:val="32"/>
          <w:lang w:eastAsia="zh-CN"/>
        </w:rPr>
        <w:t>)，鲫鱼雌鱼每公斤体重怀卵量</w:t>
      </w:r>
      <w:r>
        <w:rPr>
          <w:rFonts w:hint="eastAsia" w:ascii="仿宋" w:hAnsi="仿宋" w:eastAsia="仿宋" w:cs="仿宋"/>
          <w:b w:val="0"/>
          <w:bCs w:val="0"/>
          <w:sz w:val="32"/>
          <w:szCs w:val="32"/>
          <w:lang w:val="en-US" w:eastAsia="zh-CN"/>
        </w:rPr>
        <w:t>20-30</w:t>
      </w:r>
      <w:r>
        <w:rPr>
          <w:rFonts w:hint="eastAsia" w:ascii="仿宋" w:hAnsi="仿宋" w:eastAsia="仿宋" w:cs="仿宋"/>
          <w:b w:val="0"/>
          <w:bCs w:val="0"/>
          <w:sz w:val="32"/>
          <w:szCs w:val="32"/>
          <w:lang w:eastAsia="zh-CN"/>
        </w:rPr>
        <w:t>万粒(取</w:t>
      </w:r>
      <w:r>
        <w:rPr>
          <w:rFonts w:hint="eastAsia" w:ascii="仿宋" w:hAnsi="仿宋" w:eastAsia="仿宋" w:cs="仿宋"/>
          <w:b w:val="0"/>
          <w:bCs w:val="0"/>
          <w:sz w:val="32"/>
          <w:szCs w:val="32"/>
          <w:lang w:val="en-US" w:eastAsia="zh-CN"/>
        </w:rPr>
        <w:t>20万粒</w:t>
      </w:r>
      <w:r>
        <w:rPr>
          <w:rFonts w:hint="eastAsia" w:ascii="仿宋" w:hAnsi="仿宋" w:eastAsia="仿宋" w:cs="仿宋"/>
          <w:b w:val="0"/>
          <w:bCs w:val="0"/>
          <w:sz w:val="32"/>
          <w:szCs w:val="32"/>
          <w:lang w:eastAsia="zh-CN"/>
        </w:rPr>
        <w:t>)，黄颡鱼雌鱼每公斤体重怀卵量</w:t>
      </w:r>
      <w:r>
        <w:rPr>
          <w:rFonts w:hint="eastAsia" w:ascii="仿宋" w:hAnsi="仿宋" w:eastAsia="仿宋" w:cs="仿宋"/>
          <w:b w:val="0"/>
          <w:bCs w:val="0"/>
          <w:sz w:val="32"/>
          <w:szCs w:val="32"/>
          <w:lang w:val="en-US" w:eastAsia="zh-CN"/>
        </w:rPr>
        <w:t>0.8-1.0</w:t>
      </w:r>
      <w:r>
        <w:rPr>
          <w:rFonts w:hint="eastAsia" w:ascii="仿宋" w:hAnsi="仿宋" w:eastAsia="仿宋" w:cs="仿宋"/>
          <w:b w:val="0"/>
          <w:bCs w:val="0"/>
          <w:sz w:val="32"/>
          <w:szCs w:val="32"/>
          <w:lang w:eastAsia="zh-CN"/>
        </w:rPr>
        <w:t>万粒(取</w:t>
      </w:r>
      <w:r>
        <w:rPr>
          <w:rFonts w:hint="eastAsia" w:ascii="仿宋" w:hAnsi="仿宋" w:eastAsia="仿宋" w:cs="仿宋"/>
          <w:b w:val="0"/>
          <w:bCs w:val="0"/>
          <w:sz w:val="32"/>
          <w:szCs w:val="32"/>
          <w:lang w:val="en-US" w:eastAsia="zh-CN"/>
        </w:rPr>
        <w:t>0.8万粒</w:t>
      </w:r>
      <w:r>
        <w:rPr>
          <w:rFonts w:hint="eastAsia" w:ascii="仿宋" w:hAnsi="仿宋" w:eastAsia="仿宋" w:cs="仿宋"/>
          <w:b w:val="0"/>
          <w:bCs w:val="0"/>
          <w:sz w:val="32"/>
          <w:szCs w:val="32"/>
          <w:lang w:eastAsia="zh-CN"/>
        </w:rPr>
        <w:t>)，根据国家农业部办公厅20</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4年2月17月印发的建设项目对国家级水产种质资源保护区（淡水）影响专题报告编制指南（试行）规定，从鱼卵到达商品规格鱼种按1％计算。因此，</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人的违法行为对作业水域而言，将至少减少</w:t>
      </w:r>
      <w:r>
        <w:rPr>
          <w:rFonts w:hint="eastAsia" w:ascii="仿宋" w:hAnsi="仿宋" w:eastAsia="仿宋" w:cs="仿宋"/>
          <w:b w:val="0"/>
          <w:bCs w:val="0"/>
          <w:sz w:val="32"/>
          <w:szCs w:val="32"/>
          <w:lang w:val="en-US" w:eastAsia="zh-CN"/>
        </w:rPr>
        <w:t>40200</w:t>
      </w:r>
      <w:r>
        <w:rPr>
          <w:rFonts w:hint="eastAsia" w:ascii="仿宋" w:hAnsi="仿宋" w:eastAsia="仿宋" w:cs="仿宋"/>
          <w:b w:val="0"/>
          <w:bCs w:val="0"/>
          <w:sz w:val="32"/>
          <w:szCs w:val="32"/>
          <w:lang w:eastAsia="zh-CN"/>
        </w:rPr>
        <w:t>尾幼鱼（鲤鱼</w:t>
      </w:r>
      <w:r>
        <w:rPr>
          <w:rFonts w:hint="eastAsia" w:ascii="仿宋" w:hAnsi="仿宋" w:eastAsia="仿宋" w:cs="仿宋"/>
          <w:b w:val="0"/>
          <w:bCs w:val="0"/>
          <w:sz w:val="32"/>
          <w:szCs w:val="32"/>
          <w:lang w:val="en-US" w:eastAsia="zh-CN"/>
        </w:rPr>
        <w:t>10公斤×15万粒×1%=15000尾，鲫鱼12.5公斤×20万粒×1%=25000尾，黄颡鱼2.5公斤×0.8万粒×1%=200尾</w:t>
      </w:r>
      <w:r>
        <w:rPr>
          <w:rFonts w:hint="eastAsia" w:ascii="仿宋" w:hAnsi="仿宋" w:eastAsia="仿宋" w:cs="仿宋"/>
          <w:b w:val="0"/>
          <w:bCs w:val="0"/>
          <w:sz w:val="32"/>
          <w:szCs w:val="32"/>
          <w:lang w:eastAsia="zh-CN"/>
        </w:rPr>
        <w:t>），原种商品规格鱼种以0.8元/尾计算经济价值，共计</w:t>
      </w:r>
      <w:r>
        <w:rPr>
          <w:rFonts w:hint="eastAsia" w:ascii="仿宋" w:hAnsi="仿宋" w:eastAsia="仿宋" w:cs="仿宋"/>
          <w:b w:val="0"/>
          <w:bCs w:val="0"/>
          <w:sz w:val="32"/>
          <w:szCs w:val="32"/>
          <w:lang w:val="en-US" w:eastAsia="zh-CN"/>
        </w:rPr>
        <w:t>32160元。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三、环境修复建议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冷凯云</w:t>
      </w:r>
      <w:r>
        <w:rPr>
          <w:rFonts w:hint="default" w:ascii="仿宋" w:hAnsi="仿宋" w:eastAsia="仿宋" w:cs="仿宋"/>
          <w:b w:val="0"/>
          <w:bCs w:val="0"/>
          <w:sz w:val="32"/>
          <w:szCs w:val="32"/>
          <w:lang w:val="en-US" w:eastAsia="zh-CN"/>
        </w:rPr>
        <w:t>等</w:t>
      </w: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lang w:val="en-US" w:eastAsia="zh-CN"/>
        </w:rPr>
        <w:t>人非法捕</w:t>
      </w:r>
      <w:r>
        <w:rPr>
          <w:rFonts w:hint="eastAsia" w:ascii="仿宋" w:hAnsi="仿宋" w:eastAsia="仿宋" w:cs="仿宋"/>
          <w:b w:val="0"/>
          <w:bCs w:val="0"/>
          <w:sz w:val="32"/>
          <w:szCs w:val="32"/>
          <w:lang w:val="en-US" w:eastAsia="zh-CN"/>
        </w:rPr>
        <w:t>捞</w:t>
      </w:r>
      <w:r>
        <w:rPr>
          <w:rFonts w:hint="default" w:ascii="仿宋" w:hAnsi="仿宋" w:eastAsia="仿宋" w:cs="仿宋"/>
          <w:b w:val="0"/>
          <w:bCs w:val="0"/>
          <w:sz w:val="32"/>
          <w:szCs w:val="32"/>
          <w:lang w:val="en-US" w:eastAsia="zh-CN"/>
        </w:rPr>
        <w:t>水产品的行为对资江水系的渔业资源和水域生态环境造成了一定的损害，根据谁损</w:t>
      </w:r>
      <w:r>
        <w:rPr>
          <w:rFonts w:hint="eastAsia" w:ascii="仿宋" w:hAnsi="仿宋" w:eastAsia="仿宋" w:cs="仿宋"/>
          <w:b w:val="0"/>
          <w:bCs w:val="0"/>
          <w:sz w:val="32"/>
          <w:szCs w:val="32"/>
          <w:lang w:val="en-US" w:eastAsia="zh-CN"/>
        </w:rPr>
        <w:t>害谁</w:t>
      </w:r>
      <w:r>
        <w:rPr>
          <w:rFonts w:hint="default" w:ascii="仿宋" w:hAnsi="仿宋" w:eastAsia="仿宋" w:cs="仿宋"/>
          <w:b w:val="0"/>
          <w:bCs w:val="0"/>
          <w:sz w:val="32"/>
          <w:szCs w:val="32"/>
          <w:lang w:val="en-US" w:eastAsia="zh-CN"/>
        </w:rPr>
        <w:t>修复的原则，建议</w:t>
      </w:r>
      <w:r>
        <w:rPr>
          <w:rFonts w:hint="eastAsia" w:ascii="仿宋" w:hAnsi="仿宋" w:eastAsia="仿宋" w:cs="仿宋"/>
          <w:b w:val="0"/>
          <w:bCs w:val="0"/>
          <w:sz w:val="32"/>
          <w:szCs w:val="32"/>
          <w:lang w:val="en-US" w:eastAsia="zh-CN"/>
        </w:rPr>
        <w:t>冷凯云</w:t>
      </w:r>
      <w:r>
        <w:rPr>
          <w:rFonts w:hint="default" w:ascii="仿宋" w:hAnsi="仿宋" w:eastAsia="仿宋" w:cs="仿宋"/>
          <w:b w:val="0"/>
          <w:bCs w:val="0"/>
          <w:sz w:val="32"/>
          <w:szCs w:val="32"/>
          <w:lang w:val="en-US" w:eastAsia="zh-CN"/>
        </w:rPr>
        <w:t>等</w:t>
      </w: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lang w:val="en-US" w:eastAsia="zh-CN"/>
        </w:rPr>
        <w:t>人采购适合放流的原种商品规格鱼种进行人工放流，</w:t>
      </w:r>
      <w:r>
        <w:rPr>
          <w:rFonts w:hint="eastAsia" w:ascii="仿宋" w:hAnsi="仿宋" w:eastAsia="仿宋" w:cs="仿宋"/>
          <w:b w:val="0"/>
          <w:bCs w:val="0"/>
          <w:sz w:val="32"/>
          <w:szCs w:val="32"/>
          <w:lang w:eastAsia="zh-CN"/>
        </w:rPr>
        <w:t>冷凯云</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冷文超、蔡楚华</w:t>
      </w:r>
      <w:r>
        <w:rPr>
          <w:rFonts w:hint="default" w:ascii="仿宋" w:hAnsi="仿宋" w:eastAsia="仿宋" w:cs="仿宋"/>
          <w:b w:val="0"/>
          <w:bCs w:val="0"/>
          <w:sz w:val="32"/>
          <w:szCs w:val="32"/>
          <w:lang w:val="en-US" w:eastAsia="zh-CN"/>
        </w:rPr>
        <w:t>投放成鱼</w:t>
      </w:r>
      <w:r>
        <w:rPr>
          <w:rFonts w:hint="eastAsia" w:ascii="仿宋" w:hAnsi="仿宋" w:eastAsia="仿宋" w:cs="仿宋"/>
          <w:b w:val="0"/>
          <w:bCs w:val="0"/>
          <w:sz w:val="32"/>
          <w:szCs w:val="32"/>
          <w:lang w:val="en-US" w:eastAsia="zh-CN"/>
        </w:rPr>
        <w:t>100</w:t>
      </w:r>
      <w:r>
        <w:rPr>
          <w:rFonts w:hint="default" w:ascii="仿宋" w:hAnsi="仿宋" w:eastAsia="仿宋" w:cs="仿宋"/>
          <w:b w:val="0"/>
          <w:bCs w:val="0"/>
          <w:sz w:val="32"/>
          <w:szCs w:val="32"/>
          <w:lang w:val="en-US" w:eastAsia="zh-CN"/>
        </w:rPr>
        <w:t>公斤</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原种商品规格鱼种</w:t>
      </w:r>
      <w:r>
        <w:rPr>
          <w:rFonts w:hint="eastAsia" w:ascii="仿宋" w:hAnsi="仿宋" w:eastAsia="仿宋" w:cs="仿宋"/>
          <w:b w:val="0"/>
          <w:bCs w:val="0"/>
          <w:sz w:val="32"/>
          <w:szCs w:val="32"/>
          <w:lang w:val="en-US" w:eastAsia="zh-CN"/>
        </w:rPr>
        <w:t>402</w:t>
      </w:r>
      <w:r>
        <w:rPr>
          <w:rFonts w:hint="default" w:ascii="仿宋" w:hAnsi="仿宋" w:eastAsia="仿宋" w:cs="仿宋"/>
          <w:b w:val="0"/>
          <w:bCs w:val="0"/>
          <w:sz w:val="32"/>
          <w:szCs w:val="32"/>
          <w:lang w:val="en-US" w:eastAsia="zh-CN"/>
        </w:rPr>
        <w:t>00尾</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放</w:t>
      </w:r>
      <w:r>
        <w:rPr>
          <w:rFonts w:hint="eastAsia" w:ascii="仿宋" w:hAnsi="仿宋" w:eastAsia="仿宋" w:cs="仿宋"/>
          <w:b w:val="0"/>
          <w:bCs w:val="0"/>
          <w:sz w:val="32"/>
          <w:szCs w:val="32"/>
          <w:lang w:val="en-US" w:eastAsia="zh-CN"/>
        </w:rPr>
        <w:t>流</w:t>
      </w:r>
      <w:r>
        <w:rPr>
          <w:rFonts w:hint="default" w:ascii="仿宋" w:hAnsi="仿宋" w:eastAsia="仿宋" w:cs="仿宋"/>
          <w:b w:val="0"/>
          <w:bCs w:val="0"/>
          <w:sz w:val="32"/>
          <w:szCs w:val="32"/>
          <w:lang w:val="en-US" w:eastAsia="zh-CN"/>
        </w:rPr>
        <w:t>过程由</w:t>
      </w:r>
      <w:r>
        <w:rPr>
          <w:rFonts w:hint="eastAsia" w:ascii="仿宋" w:hAnsi="仿宋" w:eastAsia="仿宋" w:cs="仿宋"/>
          <w:b w:val="0"/>
          <w:bCs w:val="0"/>
          <w:sz w:val="32"/>
          <w:szCs w:val="32"/>
          <w:lang w:val="en-US" w:eastAsia="zh-CN"/>
        </w:rPr>
        <w:t>区</w:t>
      </w:r>
      <w:r>
        <w:rPr>
          <w:rFonts w:hint="default" w:ascii="仿宋" w:hAnsi="仿宋" w:eastAsia="仿宋" w:cs="仿宋"/>
          <w:b w:val="0"/>
          <w:bCs w:val="0"/>
          <w:sz w:val="32"/>
          <w:szCs w:val="32"/>
          <w:lang w:val="en-US" w:eastAsia="zh-CN"/>
        </w:rPr>
        <w:t>人民法院与</w:t>
      </w:r>
      <w:r>
        <w:rPr>
          <w:rFonts w:hint="eastAsia" w:ascii="仿宋" w:hAnsi="仿宋" w:eastAsia="仿宋" w:cs="仿宋"/>
          <w:b w:val="0"/>
          <w:bCs w:val="0"/>
          <w:sz w:val="32"/>
          <w:szCs w:val="32"/>
          <w:lang w:val="en-US" w:eastAsia="zh-CN"/>
        </w:rPr>
        <w:t>区</w:t>
      </w:r>
      <w:r>
        <w:rPr>
          <w:rFonts w:hint="default" w:ascii="仿宋" w:hAnsi="仿宋" w:eastAsia="仿宋" w:cs="仿宋"/>
          <w:b w:val="0"/>
          <w:bCs w:val="0"/>
          <w:sz w:val="32"/>
          <w:szCs w:val="32"/>
          <w:lang w:val="en-US" w:eastAsia="zh-CN"/>
        </w:rPr>
        <w:t>渔业行</w:t>
      </w:r>
      <w:r>
        <w:rPr>
          <w:rFonts w:hint="eastAsia" w:ascii="仿宋" w:hAnsi="仿宋" w:eastAsia="仿宋" w:cs="仿宋"/>
          <w:b w:val="0"/>
          <w:bCs w:val="0"/>
          <w:sz w:val="32"/>
          <w:szCs w:val="32"/>
          <w:lang w:val="en-US" w:eastAsia="zh-CN"/>
        </w:rPr>
        <w:t>政</w:t>
      </w:r>
      <w:r>
        <w:rPr>
          <w:rFonts w:hint="default" w:ascii="仿宋" w:hAnsi="仿宋" w:eastAsia="仿宋" w:cs="仿宋"/>
          <w:b w:val="0"/>
          <w:bCs w:val="0"/>
          <w:sz w:val="32"/>
          <w:szCs w:val="32"/>
          <w:lang w:val="en-US" w:eastAsia="zh-CN"/>
        </w:rPr>
        <w:t>主管部门全程监督</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附</w:t>
      </w:r>
      <w:r>
        <w:rPr>
          <w:rFonts w:hint="eastAsia" w:ascii="仿宋" w:hAnsi="仿宋" w:eastAsia="仿宋" w:cs="仿宋"/>
          <w:b w:val="0"/>
          <w:bCs w:val="0"/>
          <w:sz w:val="32"/>
          <w:szCs w:val="32"/>
          <w:lang w:val="en-US" w:eastAsia="zh-CN"/>
        </w:rPr>
        <w:t>件：常</w:t>
      </w:r>
      <w:r>
        <w:rPr>
          <w:rFonts w:hint="default" w:ascii="仿宋" w:hAnsi="仿宋" w:eastAsia="仿宋" w:cs="仿宋"/>
          <w:b w:val="0"/>
          <w:bCs w:val="0"/>
          <w:sz w:val="32"/>
          <w:szCs w:val="32"/>
          <w:lang w:val="en-US" w:eastAsia="zh-CN"/>
        </w:rPr>
        <w:t>见鱼</w:t>
      </w:r>
      <w:r>
        <w:rPr>
          <w:rFonts w:hint="eastAsia" w:ascii="仿宋" w:hAnsi="仿宋" w:eastAsia="仿宋" w:cs="仿宋"/>
          <w:b w:val="0"/>
          <w:bCs w:val="0"/>
          <w:sz w:val="32"/>
          <w:szCs w:val="32"/>
          <w:lang w:val="en-US" w:eastAsia="zh-CN"/>
        </w:rPr>
        <w:t>类</w:t>
      </w:r>
      <w:r>
        <w:rPr>
          <w:rFonts w:hint="default" w:ascii="仿宋" w:hAnsi="仿宋" w:eastAsia="仿宋" w:cs="仿宋"/>
          <w:b w:val="0"/>
          <w:bCs w:val="0"/>
          <w:sz w:val="32"/>
          <w:szCs w:val="32"/>
          <w:lang w:val="en-US" w:eastAsia="zh-CN"/>
        </w:rPr>
        <w:t>的怀卵量预算表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益阳市赫山区畜牧水产事务中心</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2020年4月29日</w:t>
      </w:r>
    </w:p>
    <w:p>
      <w:pPr>
        <w:keepNext w:val="0"/>
        <w:keepLines w:val="0"/>
        <w:pageBreakBefore w:val="0"/>
        <w:widowControl w:val="0"/>
        <w:kinsoku/>
        <w:wordWrap/>
        <w:overflowPunct/>
        <w:topLinePunct w:val="0"/>
        <w:autoSpaceDE/>
        <w:autoSpaceDN/>
        <w:bidi w:val="0"/>
        <w:adjustRightInd/>
        <w:snapToGrid/>
        <w:ind w:firstLine="5120" w:firstLineChars="1600"/>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val="0"/>
        <w:autoSpaceDN/>
        <w:bidi w:val="0"/>
        <w:adjustRightInd/>
        <w:snapToGrid/>
        <w:spacing w:line="64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val="0"/>
        <w:autoSpaceDN/>
        <w:bidi w:val="0"/>
        <w:adjustRightInd/>
        <w:snapToGrid/>
        <w:spacing w:line="640" w:lineRule="exact"/>
        <w:ind w:firstLine="645"/>
        <w:textAlignment w:val="auto"/>
        <w:rPr>
          <w:rFonts w:hint="eastAsia" w:ascii="仿宋_GB2312" w:hAnsi="仿宋_GB2312" w:eastAsia="仿宋_GB2312" w:cs="仿宋_GB2312"/>
          <w:sz w:val="32"/>
          <w:szCs w:val="32"/>
        </w:rPr>
      </w:pPr>
    </w:p>
    <w:p>
      <w:pPr>
        <w:spacing w:line="300" w:lineRule="exact"/>
        <w:rPr>
          <w:rFonts w:ascii="仿宋" w:eastAsia="仿宋"/>
          <w:sz w:val="28"/>
          <w:szCs w:val="28"/>
        </w:rPr>
      </w:pPr>
      <w:bookmarkStart w:id="0" w:name="_GoBack"/>
      <w:bookmarkEnd w:id="0"/>
    </w:p>
    <w:sectPr>
      <w:footerReference r:id="rId3" w:type="default"/>
      <w:footerReference r:id="rId4" w:type="even"/>
      <w:pgSz w:w="11907" w:h="16840"/>
      <w:pgMar w:top="1701" w:right="1474" w:bottom="1418" w:left="1588" w:header="851" w:footer="992"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pPr>
    <w:r>
      <w:rPr>
        <w:rFonts w:ascii="仿宋_GB2312" w:eastAsia="仿宋_GB2312"/>
        <w:sz w:val="32"/>
        <w:szCs w:val="32"/>
      </w:rPr>
      <w:pict>
        <v:rect id="矩形 3" o:spid="_x0000_s1026" o:spt="1" style="position:absolute;left:0pt;margin-top:0pt;height:10.35pt;width:17pt;mso-position-horizontal:outside;mso-position-horizontal-relative:margin;mso-wrap-distance-bottom:0pt;mso-wrap-distance-left:0pt;mso-wrap-distance-right:0pt;mso-wrap-distance-top:0pt;mso-wrap-style:none;z-index:251658240;mso-width-relative:page;mso-height-relative:page;" filled="f" stroked="f" coordsize="21600,21600">
          <v:path/>
          <v:fill on="f" focussize="0,0"/>
          <v:stroke on="f"/>
          <v:imagedata o:title=""/>
          <o:lock v:ext="edit"/>
          <v:textbox inset="0.353mm,0mm,0.353mm,0mm" style="mso-fit-shape-to-text:t;">
            <w:txbxContent>
              <w:p>
                <w:pPr>
                  <w:pStyle w:val="5"/>
                </w:pPr>
                <w:r>
                  <w:rPr>
                    <w:rStyle w:val="10"/>
                  </w:rPr>
                  <w:fldChar w:fldCharType="begin"/>
                </w:r>
                <w:r>
                  <w:rPr>
                    <w:rStyle w:val="10"/>
                  </w:rPr>
                  <w:instrText xml:space="preserve">Page</w:instrText>
                </w:r>
                <w:r>
                  <w:rPr>
                    <w:rStyle w:val="10"/>
                  </w:rPr>
                  <w:fldChar w:fldCharType="separate"/>
                </w:r>
                <w:r>
                  <w:rPr>
                    <w:rStyle w:val="10"/>
                  </w:rPr>
                  <w:t>- 2 -</w:t>
                </w:r>
                <w:r>
                  <w:rPr>
                    <w:rStyle w:val="10"/>
                  </w:rPr>
                  <w:fldChar w:fldCharType="end"/>
                </w:r>
              </w:p>
            </w:txbxContent>
          </v:textbox>
          <w10:wrap type="square"/>
        </v:rect>
      </w:pic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rFonts w:ascii="仿宋_GB2312" w:eastAsia="仿宋_GB2312"/>
        <w:sz w:val="32"/>
        <w:szCs w:val="32"/>
      </w:rPr>
      <w:pict>
        <v:rect id="矩形 6" o:spid="_x0000_s1025" o:spt="1" style="position:absolute;left:0pt;margin-top:0pt;height:10.35pt;width:17pt;mso-position-horizontal:outside;mso-position-horizontal-relative:margin;mso-wrap-distance-bottom:0pt;mso-wrap-distance-left:0pt;mso-wrap-distance-right:0pt;mso-wrap-distance-top:0pt;mso-wrap-style:none;z-index:251657216;mso-width-relative:page;mso-height-relative:page;" filled="f" stroked="f" coordsize="21600,21600">
          <v:path/>
          <v:fill on="f" focussize="0,0"/>
          <v:stroke on="f"/>
          <v:imagedata o:title=""/>
          <o:lock v:ext="edit"/>
          <v:textbox inset="0.353mm,0mm,0.353mm,0mm" style="mso-fit-shape-to-text:t;">
            <w:txbxContent>
              <w:p>
                <w:pPr>
                  <w:pStyle w:val="5"/>
                </w:pPr>
                <w:r>
                  <w:rPr>
                    <w:rStyle w:val="10"/>
                  </w:rPr>
                  <w:fldChar w:fldCharType="begin"/>
                </w:r>
                <w:r>
                  <w:rPr>
                    <w:rStyle w:val="10"/>
                  </w:rPr>
                  <w:instrText xml:space="preserve">Page</w:instrText>
                </w:r>
                <w:r>
                  <w:rPr>
                    <w:rStyle w:val="10"/>
                  </w:rPr>
                  <w:fldChar w:fldCharType="separate"/>
                </w:r>
                <w:r>
                  <w:rPr>
                    <w:rStyle w:val="10"/>
                  </w:rPr>
                  <w:t>- 4 -</w:t>
                </w:r>
                <w:r>
                  <w:rPr>
                    <w:rStyle w:val="10"/>
                  </w:rPr>
                  <w:fldChar w:fldCharType="end"/>
                </w:r>
              </w:p>
            </w:txbxContent>
          </v:textbox>
          <w10:wrap type="square"/>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D4E7"/>
    <w:multiLevelType w:val="singleLevel"/>
    <w:tmpl w:val="06A4D4E7"/>
    <w:lvl w:ilvl="0" w:tentative="0">
      <w:start w:val="1"/>
      <w:numFmt w:val="chineseCounting"/>
      <w:suff w:val="nothing"/>
      <w:lvlText w:val="（%1）"/>
      <w:lvlJc w:val="left"/>
      <w:rPr>
        <w:rFonts w:hint="eastAsia"/>
      </w:rPr>
    </w:lvl>
  </w:abstractNum>
  <w:abstractNum w:abstractNumId="1">
    <w:nsid w:val="487EECDC"/>
    <w:multiLevelType w:val="multilevel"/>
    <w:tmpl w:val="487EECDC"/>
    <w:lvl w:ilvl="0" w:tentative="0">
      <w:start w:val="1"/>
      <w:numFmt w:val="chineseCounting"/>
      <w:suff w:val="nothing"/>
      <w:lvlText w:val="第%1章  "/>
      <w:lvlJc w:val="left"/>
      <w:pPr>
        <w:tabs>
          <w:tab w:val="left" w:pos="0"/>
        </w:tabs>
        <w:ind w:left="425" w:hanging="425"/>
      </w:pPr>
      <w:rPr>
        <w:rFonts w:hint="eastAsia" w:ascii="Times New Roman" w:hAnsi="Times New Roman" w:eastAsia="黑体" w:cs="Times New Roman"/>
        <w:sz w:val="36"/>
        <w:szCs w:val="36"/>
      </w:rPr>
    </w:lvl>
    <w:lvl w:ilvl="1" w:tentative="0">
      <w:start w:val="1"/>
      <w:numFmt w:val="decimal"/>
      <w:pStyle w:val="2"/>
      <w:isLgl/>
      <w:suff w:val="space"/>
      <w:lvlText w:val="%1.%2"/>
      <w:lvlJc w:val="left"/>
      <w:pPr>
        <w:tabs>
          <w:tab w:val="left" w:pos="420"/>
        </w:tabs>
        <w:ind w:left="850" w:hanging="850"/>
      </w:pPr>
      <w:rPr>
        <w:rFonts w:hint="eastAsia" w:ascii="Times New Roman" w:hAnsi="Times New Roman" w:eastAsia="黑体" w:cs="Times New Roman"/>
        <w:sz w:val="30"/>
        <w:szCs w:val="30"/>
      </w:rPr>
    </w:lvl>
    <w:lvl w:ilvl="2" w:tentative="0">
      <w:start w:val="1"/>
      <w:numFmt w:val="decimal"/>
      <w:isLgl/>
      <w:suff w:val="space"/>
      <w:lvlText w:val="%1.%2.%3"/>
      <w:lvlJc w:val="left"/>
      <w:pPr>
        <w:tabs>
          <w:tab w:val="left" w:pos="0"/>
        </w:tabs>
        <w:ind w:left="1508" w:hanging="1508"/>
      </w:pPr>
      <w:rPr>
        <w:rFonts w:hint="eastAsia" w:ascii="Times New Roman" w:hAnsi="Times New Roman" w:eastAsia="宋体" w:cs="Times New Roman"/>
        <w:sz w:val="28"/>
        <w:szCs w:val="28"/>
      </w:rPr>
    </w:lvl>
    <w:lvl w:ilvl="3" w:tentative="0">
      <w:start w:val="1"/>
      <w:numFmt w:val="decimal"/>
      <w:isLgl/>
      <w:suff w:val="nothing"/>
      <w:lvlText w:val="（%4）"/>
      <w:lvlJc w:val="left"/>
      <w:pPr>
        <w:tabs>
          <w:tab w:val="left" w:pos="-708"/>
        </w:tabs>
        <w:ind w:left="1345" w:hanging="919"/>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ind w:left="2495" w:hanging="895"/>
      </w:pPr>
      <w:rPr>
        <w:rFonts w:hint="eastAsia"/>
      </w:rPr>
    </w:lvl>
    <w:lvl w:ilvl="5" w:tentative="0">
      <w:start w:val="1"/>
      <w:numFmt w:val="decimal"/>
      <w:lvlText w:val="%1.%2.%3.%4.%5.%6."/>
      <w:lvlJc w:val="left"/>
      <w:pPr>
        <w:ind w:left="3136" w:hanging="1136"/>
      </w:pPr>
      <w:rPr>
        <w:rFonts w:hint="eastAsia"/>
      </w:rPr>
    </w:lvl>
    <w:lvl w:ilvl="6" w:tentative="0">
      <w:start w:val="1"/>
      <w:numFmt w:val="decimal"/>
      <w:lvlText w:val="%1.%2.%3.%4.%5.%6.%7."/>
      <w:lvlJc w:val="left"/>
      <w:pPr>
        <w:ind w:left="3673" w:hanging="1273"/>
      </w:pPr>
      <w:rPr>
        <w:rFonts w:hint="eastAsia"/>
      </w:rPr>
    </w:lvl>
    <w:lvl w:ilvl="7" w:tentative="0">
      <w:start w:val="1"/>
      <w:numFmt w:val="decimal"/>
      <w:lvlText w:val="%1.%2.%3.%4.%5.%6.%7.%8."/>
      <w:lvlJc w:val="left"/>
      <w:pPr>
        <w:ind w:left="4218" w:hanging="1418"/>
      </w:pPr>
      <w:rPr>
        <w:rFonts w:hint="eastAsia"/>
      </w:rPr>
    </w:lvl>
    <w:lvl w:ilvl="8" w:tentative="0">
      <w:start w:val="1"/>
      <w:numFmt w:val="decimal"/>
      <w:lvlText w:val="%1.%2.%3.%4.%5.%6.%7.%8.%9."/>
      <w:lvlJc w:val="left"/>
      <w:pPr>
        <w:ind w:left="4648" w:hanging="144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2"/>
  </w:compat>
  <w:rsids>
    <w:rsidRoot w:val="00620418"/>
    <w:rsid w:val="0005309C"/>
    <w:rsid w:val="00067ABE"/>
    <w:rsid w:val="000856A7"/>
    <w:rsid w:val="00096521"/>
    <w:rsid w:val="000A0B07"/>
    <w:rsid w:val="000A48B8"/>
    <w:rsid w:val="000C03BF"/>
    <w:rsid w:val="00147BD9"/>
    <w:rsid w:val="001B72F3"/>
    <w:rsid w:val="001D05C8"/>
    <w:rsid w:val="001F0033"/>
    <w:rsid w:val="0020437F"/>
    <w:rsid w:val="0023331D"/>
    <w:rsid w:val="002540DC"/>
    <w:rsid w:val="00287CAE"/>
    <w:rsid w:val="00336435"/>
    <w:rsid w:val="00397A2A"/>
    <w:rsid w:val="003B58E5"/>
    <w:rsid w:val="00417929"/>
    <w:rsid w:val="00423ED3"/>
    <w:rsid w:val="00427A93"/>
    <w:rsid w:val="00442059"/>
    <w:rsid w:val="004859C8"/>
    <w:rsid w:val="005540E5"/>
    <w:rsid w:val="00620418"/>
    <w:rsid w:val="0065446A"/>
    <w:rsid w:val="00655B47"/>
    <w:rsid w:val="00655EE9"/>
    <w:rsid w:val="006727EB"/>
    <w:rsid w:val="006733A7"/>
    <w:rsid w:val="006750FB"/>
    <w:rsid w:val="006B7FB3"/>
    <w:rsid w:val="007342DC"/>
    <w:rsid w:val="00736E61"/>
    <w:rsid w:val="007374EF"/>
    <w:rsid w:val="00792D8F"/>
    <w:rsid w:val="007D3DEE"/>
    <w:rsid w:val="008234E9"/>
    <w:rsid w:val="00852F00"/>
    <w:rsid w:val="008A7EAE"/>
    <w:rsid w:val="008D73B2"/>
    <w:rsid w:val="008F44FB"/>
    <w:rsid w:val="00935109"/>
    <w:rsid w:val="009371A2"/>
    <w:rsid w:val="00955D07"/>
    <w:rsid w:val="009A2357"/>
    <w:rsid w:val="009C012D"/>
    <w:rsid w:val="00A27B16"/>
    <w:rsid w:val="00A60A5D"/>
    <w:rsid w:val="00AD6985"/>
    <w:rsid w:val="00B42D0F"/>
    <w:rsid w:val="00B60C8D"/>
    <w:rsid w:val="00B7082A"/>
    <w:rsid w:val="00B70DFB"/>
    <w:rsid w:val="00B71413"/>
    <w:rsid w:val="00BC0A50"/>
    <w:rsid w:val="00BE38F3"/>
    <w:rsid w:val="00BE45B5"/>
    <w:rsid w:val="00C012E6"/>
    <w:rsid w:val="00C14C34"/>
    <w:rsid w:val="00C560FB"/>
    <w:rsid w:val="00C76F8A"/>
    <w:rsid w:val="00C77D6E"/>
    <w:rsid w:val="00CA0064"/>
    <w:rsid w:val="00CC60DF"/>
    <w:rsid w:val="00CF3944"/>
    <w:rsid w:val="00D027F6"/>
    <w:rsid w:val="00D33210"/>
    <w:rsid w:val="00D34AF0"/>
    <w:rsid w:val="00D84705"/>
    <w:rsid w:val="00DA796F"/>
    <w:rsid w:val="00DC0A28"/>
    <w:rsid w:val="00DC2517"/>
    <w:rsid w:val="00DC36A0"/>
    <w:rsid w:val="00DD1EE3"/>
    <w:rsid w:val="00E3231C"/>
    <w:rsid w:val="00E61EA9"/>
    <w:rsid w:val="00E648AA"/>
    <w:rsid w:val="00E64F5B"/>
    <w:rsid w:val="00E814F4"/>
    <w:rsid w:val="00E93A43"/>
    <w:rsid w:val="00ED7BA4"/>
    <w:rsid w:val="00EE7693"/>
    <w:rsid w:val="00F361B4"/>
    <w:rsid w:val="00F5678A"/>
    <w:rsid w:val="00F718C7"/>
    <w:rsid w:val="00FD5479"/>
    <w:rsid w:val="048B2D0B"/>
    <w:rsid w:val="0FA645DC"/>
    <w:rsid w:val="11703254"/>
    <w:rsid w:val="1E920DA2"/>
    <w:rsid w:val="1FA34772"/>
    <w:rsid w:val="2C8F55E8"/>
    <w:rsid w:val="34040366"/>
    <w:rsid w:val="3AB16FDB"/>
    <w:rsid w:val="409122F0"/>
    <w:rsid w:val="4746633A"/>
    <w:rsid w:val="5E4F1C0C"/>
    <w:rsid w:val="64A66C3A"/>
    <w:rsid w:val="69F81314"/>
    <w:rsid w:val="6BE45751"/>
    <w:rsid w:val="7C637404"/>
    <w:rsid w:val="7E4C7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numPr>
        <w:ilvl w:val="1"/>
        <w:numId w:val="1"/>
      </w:numPr>
      <w:tabs>
        <w:tab w:val="left" w:pos="0"/>
        <w:tab w:val="clear" w:pos="420"/>
      </w:tabs>
      <w:ind w:left="0" w:firstLine="140" w:firstLineChars="50"/>
      <w:outlineLvl w:val="1"/>
    </w:pPr>
    <w:rPr>
      <w:rFonts w:eastAsia="黑体" w:cs="Times New Roman"/>
      <w:bCs/>
      <w:sz w:val="30"/>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uiPriority w:val="0"/>
    <w:pPr>
      <w:ind w:left="2500" w:leftChars="2500"/>
    </w:pPr>
  </w:style>
  <w:style w:type="paragraph" w:styleId="4">
    <w:name w:val="Balloon Text"/>
    <w:basedOn w:val="1"/>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unhideWhenUsed/>
    <w:qFormat/>
    <w:uiPriority w:val="39"/>
    <w:pPr>
      <w:ind w:left="420" w:leftChars="200"/>
    </w:pPr>
    <w:rPr>
      <w:rFonts w:eastAsia="宋体"/>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2</Pages>
  <Words>64</Words>
  <Characters>366</Characters>
  <Lines>3</Lines>
  <Paragraphs>1</Paragraphs>
  <TotalTime>3</TotalTime>
  <ScaleCrop>false</ScaleCrop>
  <LinksUpToDate>false</LinksUpToDate>
  <CharactersWithSpaces>429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2019-04-17T01:46:00Z</dcterms:created>
  <dc:creator>user</dc:creator>
  <cp:lastModifiedBy>呐喊18873709278</cp:lastModifiedBy>
  <cp:lastPrinted>2020-04-29T06:26:09Z</cp:lastPrinted>
  <dcterms:modified xsi:type="dcterms:W3CDTF">2020-04-29T06:26:15Z</dcterms:modified>
  <dc:title>益赫治污办〔2016〕2号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