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B" w:rsidRPr="00F672EB" w:rsidRDefault="00F672EB" w:rsidP="00F672EB">
      <w:pPr>
        <w:rPr>
          <w:rFonts w:ascii="仿宋" w:eastAsia="仿宋" w:hAnsi="仿宋"/>
          <w:sz w:val="24"/>
          <w:szCs w:val="24"/>
        </w:rPr>
      </w:pPr>
    </w:p>
    <w:p w:rsidR="008C6EF6" w:rsidRPr="00F672EB" w:rsidRDefault="00F672EB" w:rsidP="00F672EB">
      <w:pPr>
        <w:rPr>
          <w:rFonts w:ascii="仿宋" w:eastAsia="仿宋" w:hAnsi="仿宋"/>
          <w:sz w:val="24"/>
          <w:szCs w:val="24"/>
        </w:rPr>
      </w:pPr>
      <w:r w:rsidRPr="00F672EB">
        <w:rPr>
          <w:rFonts w:ascii="仿宋" w:eastAsia="仿宋" w:hAnsi="仿宋" w:hint="eastAsia"/>
          <w:sz w:val="24"/>
          <w:szCs w:val="24"/>
        </w:rPr>
        <w:t>《目录》首次明确了家养畜禽种类33种，包括其地方品种、培育品种、引入品种及配套系。其中，传统畜禽17种，分别为猪、普通牛、瘤牛、水牛、牦牛、大额牛、绵羊、山羊、马、驴、骆驼、兔、鸡、鸭、鹅、鸽、鹌鹑；特种畜禽16种，分别为梅花鹿、马鹿、驯鹿、羊驼、火鸡、珍珠鸡、雉鸡、鹧鸪、番鸭、绿头鸭、鸵鸟、鸸鹋、水貂（非食用）、银狐（非食用）、北极狐（非食用）、貉（非食用）。《目录》属于畜禽养殖的正面清单，列入《目录》的，按照《中华人民共和国畜牧法》管理。</w:t>
      </w:r>
      <w:r w:rsidRPr="00F672EB">
        <w:rPr>
          <w:rFonts w:eastAsia="仿宋" w:hint="eastAsia"/>
          <w:sz w:val="24"/>
          <w:szCs w:val="24"/>
        </w:rPr>
        <w:t> </w:t>
      </w:r>
    </w:p>
    <w:sectPr w:rsidR="008C6EF6" w:rsidRPr="00F672EB" w:rsidSect="008C6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2EB"/>
    <w:rsid w:val="0017691E"/>
    <w:rsid w:val="00306947"/>
    <w:rsid w:val="008C6EF6"/>
    <w:rsid w:val="00DD0497"/>
    <w:rsid w:val="00F6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113</Characters>
  <Application>Microsoft Office Word</Application>
  <DocSecurity>0</DocSecurity>
  <Lines>3</Lines>
  <Paragraphs>1</Paragraphs>
  <ScaleCrop>false</ScaleCrop>
  <Company>XiTongTianDi.Com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赫山区公文</dc:creator>
  <cp:lastModifiedBy>赫山区公文</cp:lastModifiedBy>
  <cp:revision>1</cp:revision>
  <dcterms:created xsi:type="dcterms:W3CDTF">2020-06-09T07:07:00Z</dcterms:created>
  <dcterms:modified xsi:type="dcterms:W3CDTF">2020-06-09T07:15:00Z</dcterms:modified>
</cp:coreProperties>
</file>