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30F" w:rsidRDefault="00F8630F" w:rsidP="00F8630F">
      <w:pPr>
        <w:spacing w:line="480" w:lineRule="exact"/>
        <w:rPr>
          <w:rFonts w:ascii="黑体" w:eastAsia="黑体" w:hAnsi="黑体"/>
          <w:sz w:val="32"/>
          <w:szCs w:val="32"/>
        </w:rPr>
      </w:pPr>
      <w:r>
        <w:rPr>
          <w:rFonts w:ascii="黑体" w:eastAsia="黑体" w:hAnsi="黑体" w:hint="eastAsia"/>
          <w:sz w:val="32"/>
          <w:szCs w:val="32"/>
        </w:rPr>
        <w:t>附件：</w:t>
      </w:r>
    </w:p>
    <w:p w:rsidR="00F8630F" w:rsidRDefault="00F8630F" w:rsidP="00F8630F">
      <w:pPr>
        <w:spacing w:line="480" w:lineRule="exact"/>
        <w:jc w:val="center"/>
        <w:rPr>
          <w:rFonts w:ascii="方正小标宋简体" w:eastAsia="方正小标宋简体"/>
          <w:bCs/>
          <w:w w:val="90"/>
          <w:sz w:val="44"/>
          <w:szCs w:val="44"/>
        </w:rPr>
      </w:pPr>
      <w:bookmarkStart w:id="0" w:name="_GoBack"/>
      <w:r>
        <w:rPr>
          <w:rFonts w:ascii="方正小标宋简体" w:eastAsia="方正小标宋简体" w:hint="eastAsia"/>
          <w:bCs/>
          <w:w w:val="90"/>
          <w:sz w:val="44"/>
          <w:szCs w:val="44"/>
        </w:rPr>
        <w:t>201</w:t>
      </w:r>
      <w:r w:rsidR="00FA195A">
        <w:rPr>
          <w:rFonts w:ascii="方正小标宋简体" w:eastAsia="方正小标宋简体" w:hint="eastAsia"/>
          <w:bCs/>
          <w:w w:val="90"/>
          <w:sz w:val="44"/>
          <w:szCs w:val="44"/>
        </w:rPr>
        <w:t>9</w:t>
      </w:r>
      <w:r>
        <w:rPr>
          <w:rFonts w:ascii="方正小标宋简体" w:eastAsia="方正小标宋简体" w:hint="eastAsia"/>
          <w:bCs/>
          <w:w w:val="90"/>
          <w:sz w:val="44"/>
          <w:szCs w:val="44"/>
        </w:rPr>
        <w:t>年度部门整体支出绩效自评指标计分表</w:t>
      </w:r>
    </w:p>
    <w:bookmarkEnd w:id="0"/>
    <w:p w:rsidR="00A37D54" w:rsidRPr="00A37D54" w:rsidRDefault="00A37D54" w:rsidP="00A37D54">
      <w:pPr>
        <w:spacing w:line="480" w:lineRule="exact"/>
        <w:rPr>
          <w:rFonts w:ascii="方正小标宋简体" w:eastAsia="方正小标宋简体"/>
          <w:bCs/>
          <w:w w:val="90"/>
          <w:sz w:val="24"/>
          <w:szCs w:val="24"/>
        </w:rPr>
      </w:pPr>
      <w:r w:rsidRPr="00A37D54">
        <w:rPr>
          <w:rFonts w:ascii="方正小标宋简体" w:eastAsia="方正小标宋简体" w:hint="eastAsia"/>
          <w:bCs/>
          <w:w w:val="90"/>
          <w:sz w:val="24"/>
          <w:szCs w:val="24"/>
        </w:rPr>
        <w:t>自评总分</w:t>
      </w:r>
      <w:r>
        <w:rPr>
          <w:rFonts w:ascii="方正小标宋简体" w:eastAsia="方正小标宋简体" w:hint="eastAsia"/>
          <w:bCs/>
          <w:w w:val="90"/>
          <w:sz w:val="24"/>
          <w:szCs w:val="24"/>
        </w:rPr>
        <w:t>：94</w:t>
      </w:r>
      <w:r w:rsidRPr="00A37D54">
        <w:rPr>
          <w:rFonts w:ascii="方正小标宋简体" w:eastAsia="方正小标宋简体"/>
          <w:bCs/>
          <w:w w:val="90"/>
          <w:sz w:val="24"/>
          <w:szCs w:val="24"/>
        </w:rPr>
        <w:t xml:space="preserve"> </w:t>
      </w:r>
    </w:p>
    <w:p w:rsidR="00F8630F" w:rsidRDefault="00F8630F" w:rsidP="00F8630F">
      <w:pPr>
        <w:spacing w:line="80" w:lineRule="exact"/>
        <w:rPr>
          <w:rFonts w:ascii="仿宋_GB2312"/>
        </w:rPr>
      </w:pPr>
    </w:p>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7"/>
        <w:gridCol w:w="570"/>
        <w:gridCol w:w="703"/>
        <w:gridCol w:w="446"/>
        <w:gridCol w:w="2976"/>
        <w:gridCol w:w="3721"/>
      </w:tblGrid>
      <w:tr w:rsidR="00F8630F" w:rsidTr="00F66A9D">
        <w:trPr>
          <w:trHeight w:val="567"/>
          <w:tblHeader/>
        </w:trPr>
        <w:tc>
          <w:tcPr>
            <w:tcW w:w="547"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一级</w:t>
            </w:r>
            <w:r>
              <w:rPr>
                <w:rFonts w:asciiTheme="majorEastAsia" w:eastAsiaTheme="majorEastAsia" w:hAnsiTheme="majorEastAsia" w:hint="eastAsia"/>
                <w:bCs/>
                <w:szCs w:val="21"/>
              </w:rPr>
              <w:br/>
              <w:t>指标</w:t>
            </w:r>
          </w:p>
        </w:tc>
        <w:tc>
          <w:tcPr>
            <w:tcW w:w="570"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二级指标</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三级指标</w:t>
            </w:r>
          </w:p>
        </w:tc>
        <w:tc>
          <w:tcPr>
            <w:tcW w:w="446" w:type="dxa"/>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自评分</w:t>
            </w:r>
          </w:p>
        </w:tc>
        <w:tc>
          <w:tcPr>
            <w:tcW w:w="2976"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指标解释</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bCs/>
                <w:szCs w:val="21"/>
              </w:rPr>
            </w:pPr>
            <w:r>
              <w:rPr>
                <w:rFonts w:asciiTheme="majorEastAsia" w:eastAsiaTheme="majorEastAsia" w:hAnsiTheme="majorEastAsia" w:hint="eastAsia"/>
                <w:bCs/>
                <w:szCs w:val="21"/>
              </w:rPr>
              <w:t>指标说明</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投   入（20分）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目标</w:t>
            </w:r>
            <w:r>
              <w:rPr>
                <w:rFonts w:asciiTheme="majorEastAsia" w:eastAsiaTheme="majorEastAsia" w:hAnsiTheme="majorEastAsia" w:hint="eastAsia"/>
                <w:szCs w:val="21"/>
              </w:rPr>
              <w:br/>
              <w:t>设定（5分）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绩效目标合理性（2分）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部门所设立的整体绩效目标依据是否充分，是否符合客观实际，用以反映和考核部门整体绩效目标与部门履职、年度工作任务的相符性情况。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①符合国家法律法规、国民经济和社会发展总体规划计1分；②符合部门“三定”方案确定的职责计0.5分；③是否符合部门制定的中长期实施规划计0.5分。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绩效指标明确性（3分）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部门依据整体绩效目标所设定的绩效指标是否清晰、细化、可衡量，用以反映和考核部门整体绩效目标的</w:t>
            </w:r>
            <w:proofErr w:type="gramStart"/>
            <w:r>
              <w:rPr>
                <w:rFonts w:asciiTheme="majorEastAsia" w:eastAsiaTheme="majorEastAsia" w:hAnsiTheme="majorEastAsia" w:hint="eastAsia"/>
                <w:szCs w:val="21"/>
              </w:rPr>
              <w:t>明细化</w:t>
            </w:r>
            <w:proofErr w:type="gramEnd"/>
            <w:r>
              <w:rPr>
                <w:rFonts w:asciiTheme="majorEastAsia" w:eastAsiaTheme="majorEastAsia" w:hAnsiTheme="majorEastAsia" w:hint="eastAsia"/>
                <w:szCs w:val="21"/>
              </w:rPr>
              <w:t>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①将部门整体的绩效目标细化分解为具体的工作任务计1分；②通过清晰、可衡量的指标</w:t>
            </w:r>
            <w:proofErr w:type="gramStart"/>
            <w:r>
              <w:rPr>
                <w:rFonts w:asciiTheme="majorEastAsia" w:eastAsiaTheme="majorEastAsia" w:hAnsiTheme="majorEastAsia" w:hint="eastAsia"/>
                <w:szCs w:val="21"/>
              </w:rPr>
              <w:t>值予以</w:t>
            </w:r>
            <w:proofErr w:type="gramEnd"/>
            <w:r>
              <w:rPr>
                <w:rFonts w:asciiTheme="majorEastAsia" w:eastAsiaTheme="majorEastAsia" w:hAnsiTheme="majorEastAsia" w:hint="eastAsia"/>
                <w:szCs w:val="21"/>
              </w:rPr>
              <w:t>体现计0.5分。③与部门年度的任务数或计划数相对应计0.5分；④与本年度部门预算资金相匹配计1分。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配置（15分）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在职人员控制率（5分）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部门本年度实际在职人员数与编制数的比率，用以反映和考核部门对人员成本的控制程度。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在职人员控制率=（在职人员数/编制数）×100%小于或等于1计5分，否则按比例计分。在职人员数：部门实际在职人数，以财政部确定的部门决算编制口径为准。编制数：机构编制部门核定批复的部门的人员编制数。</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变动率（5分）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部门本年度“三公经费”预算数与上年度“三公经费”预算数的变动比率，用以反映和考核部门对控制重点行政成本的努力程度。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变动率=[（本年度“三公经费”总额-上年度“三公经费”总额）/上年度“三公经费”总额]×100%。下降的计5分，增加的按比例扣减。“三公经费”：年度预算安排的因公出国（境）费、公务车辆购置及运行费和公务招待费。</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重点支出安排率（5分）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部门本年度预算安排的重点项目支出与部门项目总支出的比率，用以反映和考核部门对履行主要职责或完成重点任务的保障程度。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过             程（30分）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r>
              <w:rPr>
                <w:rFonts w:asciiTheme="majorEastAsia" w:eastAsiaTheme="majorEastAsia" w:hAnsiTheme="majorEastAsia" w:hint="eastAsia"/>
                <w:szCs w:val="21"/>
              </w:rPr>
              <w:br/>
              <w:t>执行</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（20分）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预算完成率（4分）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部门本年度预算完成数与预算数的比率，用以反映和考核部门预算完成程度。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预算完成率=（预算完成数/预算数）×100%。完成年初预算计4分，未完成年初预算按比例扣减，预算完成数：部门本年度实际完成的预算数。预算数：财政部门批复的本年度部门预算数。</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预算调整率（2分）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部门本年度预算调整数与预算数的比率，用以反映和考核部门预算的调整程度。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支付进度率（2分）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部门实际支付进度与既定支付进度的比率，用以反映和考核部门预算执行的及时性和均衡性程度。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w:t>
            </w:r>
            <w:r>
              <w:rPr>
                <w:rFonts w:asciiTheme="majorEastAsia" w:eastAsiaTheme="majorEastAsia" w:hAnsiTheme="majorEastAsia" w:hint="eastAsia"/>
                <w:szCs w:val="21"/>
              </w:rPr>
              <w:lastRenderedPageBreak/>
              <w:t>级部门平均支付进度水平等确定的，在某一时点应达到的支付进度（比率）。</w:t>
            </w:r>
          </w:p>
        </w:tc>
      </w:tr>
      <w:tr w:rsidR="00F8630F" w:rsidTr="00F66A9D">
        <w:trPr>
          <w:trHeight w:val="567"/>
        </w:trPr>
        <w:tc>
          <w:tcPr>
            <w:tcW w:w="547" w:type="dxa"/>
            <w:vMerge/>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结转结余控制率（4分）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3</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部门本年度结转结余总额与上年结转结余总额增减比例，用以反映和考核部门对存量资金的实际控制程度。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结转结余控制率=（本年结转结余总额-上年结转结余总额）/上年结转结余总额×100%。低于15%的计4分，每超过5个百分点扣1分，扣完为止。结转结余总额：部门本年度的结转资金与结余资金之和（以决算数为准）。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公用经费</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控制率（2分）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部门本年度实际支出的公用经费总额与预算安排的公用经费总额的比率，用以反映和考核部门对机构运转成本的实际控制程度。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公用经费控制率=（实际支出公用经费总额/预算安排公用经费总额）×100%。为100%的计2分，每超过1个百分点扣0.1分，扣完为止。</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“三公经费”控制率（2分）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部门本年度“三公经费”实际支出数与预算安排数的比率，用以反映和考核部门对“三公经费”的实际控制程度。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“三公经费”控制率=（“三公经费”实际支出数/“三公经费”预算安排数）×100%。为100%的计2分，每超过1个百分点扣0.5分，扣完为止。</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政府采购</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执行率（4分）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部门本年度实际政府采购金额与年初政府采购预算的比率，用以反映和考核部门政府采购预算执行情况。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预算</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2</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部门为加强预算管理、规范财务行为而制定的管理制度是否健全完整，用以反映和考核部门预算管理制度对完成主要职责或促进事业发展的保障情况。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已制定或具有预算资金管理办法、内部财务管理制度、会计核算制度等管理制度计1分；相关管理制度合法、合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、完整计0.5分；相关管理制度得到有效执行计0.5分。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资金使用</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部门使用预算资金是否符合相关的预算财务管理制度的规定，用以反映和考核部门预算资金的规范运行情况。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预决算信</w:t>
            </w:r>
          </w:p>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息</w:t>
            </w:r>
            <w:proofErr w:type="gramEnd"/>
            <w:r>
              <w:rPr>
                <w:rFonts w:asciiTheme="majorEastAsia" w:eastAsiaTheme="majorEastAsia" w:hAnsiTheme="majorEastAsia" w:hint="eastAsia"/>
                <w:szCs w:val="21"/>
              </w:rPr>
              <w:t>公开性（1分）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部门是否按照政府信息公开有关规定公开相关预决算信息，用以反映和考核部门预决算管理的公开透明情况。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①按规定内容公开预决算信息计0.5分；②按规定时限公开预决算信息计0.5分。预决算信息是指与部门预算、执行、决算、监督、绩效等管理相关的信息。</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基础信息</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完善性（1分）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部门基础信息是否完善，用以反映和考核基础信息对预算管理工作的支撑情况。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①基础数据信息和会计信息资料真实计0.4分；②基础数据信息和会计信息资料完整计0.3分；③基础数据信息和会计信息资料准确计0.3分。</w:t>
            </w:r>
          </w:p>
        </w:tc>
      </w:tr>
      <w:tr w:rsidR="00F8630F" w:rsidTr="00F66A9D">
        <w:trPr>
          <w:trHeight w:val="567"/>
        </w:trPr>
        <w:tc>
          <w:tcPr>
            <w:tcW w:w="547" w:type="dxa"/>
            <w:vMerge/>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w:t>
            </w:r>
            <w:r>
              <w:rPr>
                <w:rFonts w:asciiTheme="majorEastAsia" w:eastAsiaTheme="majorEastAsia" w:hAnsiTheme="majorEastAsia" w:hint="eastAsia"/>
                <w:szCs w:val="21"/>
              </w:rPr>
              <w:br/>
              <w:t>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管理制度</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健全性（2分）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部门为加强资产管理、规范资产管理行为而制定的管理制度是否健全完整，用以反映和考核部门资产管理制度对完成主要职责或促进社会发展的保障情况。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①制定或具有资产管理制度计1分；②相关资金管理制度合法、合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、完整计0.5分；③相关资产管理制度得到有效执行计0.5分。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资产管理</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安全性（2分）</w:t>
            </w:r>
          </w:p>
        </w:tc>
        <w:tc>
          <w:tcPr>
            <w:tcW w:w="446" w:type="dxa"/>
            <w:tcMar>
              <w:top w:w="10" w:type="dxa"/>
              <w:left w:w="10" w:type="dxa"/>
              <w:bottom w:w="0" w:type="dxa"/>
              <w:right w:w="10" w:type="dxa"/>
            </w:tcMar>
            <w:vAlign w:val="center"/>
          </w:tcPr>
          <w:p w:rsidR="00F8630F" w:rsidRDefault="00F8630F" w:rsidP="00F66A9D">
            <w:pPr>
              <w:tabs>
                <w:tab w:val="left" w:pos="761"/>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761"/>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部门的资产是否保存完整、使用合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、配置合理、处置规范、收入及时足额上缴，用以反映和考核部门资产安全运行情况。</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①资产保存完整计0.4分；②资产配置合理计0.4分；③资产处置规范计0.4分；④资产账务管理合</w:t>
            </w:r>
            <w:proofErr w:type="gramStart"/>
            <w:r>
              <w:rPr>
                <w:rFonts w:asciiTheme="majorEastAsia" w:eastAsiaTheme="majorEastAsia" w:hAnsiTheme="majorEastAsia" w:hint="eastAsia"/>
                <w:szCs w:val="21"/>
              </w:rPr>
              <w:t>规</w:t>
            </w:r>
            <w:proofErr w:type="gramEnd"/>
            <w:r>
              <w:rPr>
                <w:rFonts w:asciiTheme="majorEastAsia" w:eastAsiaTheme="majorEastAsia" w:hAnsiTheme="majorEastAsia" w:hint="eastAsia"/>
                <w:szCs w:val="21"/>
              </w:rPr>
              <w:t>、帐实相符计0.4分；⑤资产有偿使用及处置收入及时足额上缴计0.4分。</w:t>
            </w:r>
          </w:p>
        </w:tc>
      </w:tr>
      <w:tr w:rsidR="00F8630F" w:rsidTr="00F66A9D">
        <w:trPr>
          <w:trHeight w:val="567"/>
        </w:trPr>
        <w:tc>
          <w:tcPr>
            <w:tcW w:w="547"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shd w:val="clear" w:color="auto" w:fill="auto"/>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固定资产</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利用率（1分）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部门实际在用固定资产总额与所有固定资产总额的比率，用以反映和考核部门固定资产使用效率程度。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固定资产利用率=（实际在用固定资产总额/所有固定资产总额）×100%。利用率为100%的计1分，每降1个百分点扣0.1分，扣完为止。</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产   出（30分）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职责</w:t>
            </w:r>
            <w:r>
              <w:rPr>
                <w:rFonts w:asciiTheme="majorEastAsia" w:eastAsiaTheme="majorEastAsia" w:hAnsiTheme="majorEastAsia" w:hint="eastAsia"/>
                <w:szCs w:val="21"/>
              </w:rPr>
              <w:br/>
              <w:t>履行</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实际完成率（8分）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8</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部门履行职责而实际完成工作数与计划工作数的比率，用以反映和考核部门</w:t>
            </w:r>
            <w:proofErr w:type="gramStart"/>
            <w:r>
              <w:rPr>
                <w:rFonts w:asciiTheme="majorEastAsia" w:eastAsiaTheme="majorEastAsia" w:hAnsiTheme="majorEastAsia" w:hint="eastAsia"/>
                <w:szCs w:val="21"/>
              </w:rPr>
              <w:t>履</w:t>
            </w:r>
            <w:proofErr w:type="gramEnd"/>
            <w:r>
              <w:rPr>
                <w:rFonts w:asciiTheme="majorEastAsia" w:eastAsiaTheme="majorEastAsia" w:hAnsiTheme="majorEastAsia" w:hint="eastAsia"/>
                <w:szCs w:val="21"/>
              </w:rPr>
              <w:t>职工作任务目标的实现程度。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实际完成率得分=完成市委市政府绩效考核得分或上级主管部门考核指标得分/指标分值*8分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完成及时率（4分）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部门在规定时限内及时完成的实际工作数与计划工作数的比率,用以反映和考核部门履职时效目标的实现程度。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完成及时率=（及时完成实际工作数/计划工作数）×100%。1-4季度各得1分</w:t>
            </w:r>
            <w:r>
              <w:rPr>
                <w:rFonts w:asciiTheme="majorEastAsia" w:eastAsiaTheme="majorEastAsia" w:hAnsiTheme="majorEastAsia" w:hint="eastAsia"/>
                <w:szCs w:val="21"/>
              </w:rPr>
              <w:br/>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质量达标率（8分）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达到质量标准（绩效标准值）的实际工作数与计划工作数的比率,用以反映和考核部门履职质量目标的实现程度。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质量达标率=（质量达标实际工作数/计划工作数）×100%。实际得分=达标率*8分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重点工作</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办结率（10分）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10</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部门年度重点工作实际完成数与交办或下达数的比率，用以反映部门对重点工作的办理落实程度。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重点工作办结率=（重点工作实际完成数/交办或下达数）×100%。实际得分=办结率*10分</w:t>
            </w:r>
          </w:p>
        </w:tc>
      </w:tr>
      <w:tr w:rsidR="00F8630F" w:rsidTr="00F66A9D">
        <w:trPr>
          <w:trHeight w:val="567"/>
        </w:trPr>
        <w:tc>
          <w:tcPr>
            <w:tcW w:w="547" w:type="dxa"/>
            <w:vMerge w:val="restart"/>
            <w:shd w:val="clear" w:color="auto" w:fill="auto"/>
            <w:tcMar>
              <w:top w:w="10" w:type="dxa"/>
              <w:left w:w="10" w:type="dxa"/>
              <w:bottom w:w="0" w:type="dxa"/>
              <w:right w:w="10" w:type="dxa"/>
            </w:tcMar>
            <w:textDirection w:val="tbRlV"/>
            <w:vAlign w:val="center"/>
          </w:tcPr>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效</w:t>
            </w:r>
            <w:proofErr w:type="gramEnd"/>
            <w:r>
              <w:rPr>
                <w:rFonts w:asciiTheme="majorEastAsia" w:eastAsiaTheme="majorEastAsia" w:hAnsiTheme="majorEastAsia" w:hint="eastAsia"/>
                <w:szCs w:val="21"/>
              </w:rPr>
              <w:t xml:space="preserve">   果（20分）</w:t>
            </w:r>
          </w:p>
        </w:tc>
        <w:tc>
          <w:tcPr>
            <w:tcW w:w="570"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履职</w:t>
            </w:r>
            <w:r>
              <w:rPr>
                <w:rFonts w:asciiTheme="majorEastAsia" w:eastAsiaTheme="majorEastAsia" w:hAnsiTheme="majorEastAsia" w:hint="eastAsia"/>
                <w:szCs w:val="21"/>
              </w:rPr>
              <w:br/>
              <w:t>效益（20分）</w:t>
            </w: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经济效益（5分）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部门履行职责对经济发展所带来的直接或间接影响。</w:t>
            </w:r>
          </w:p>
        </w:tc>
        <w:tc>
          <w:tcPr>
            <w:tcW w:w="3721" w:type="dxa"/>
            <w:vMerge w:val="restart"/>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按经济效益实现程度计算得分（5分）；按社会效益实现程度计算得分（5分）；按生态效益实现程度计算得分（5分）</w:t>
            </w: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社会效益（5分）</w:t>
            </w:r>
          </w:p>
        </w:tc>
        <w:tc>
          <w:tcPr>
            <w:tcW w:w="446" w:type="dxa"/>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部门履行职责对社会发展所带来的直接或间接影响。</w:t>
            </w:r>
          </w:p>
        </w:tc>
        <w:tc>
          <w:tcPr>
            <w:tcW w:w="3721" w:type="dxa"/>
            <w:vMerge/>
            <w:vAlign w:val="center"/>
          </w:tcPr>
          <w:p w:rsidR="00F8630F" w:rsidRDefault="00F8630F" w:rsidP="00F66A9D">
            <w:pPr>
              <w:spacing w:line="240" w:lineRule="exact"/>
              <w:rPr>
                <w:rFonts w:asciiTheme="majorEastAsia" w:eastAsiaTheme="majorEastAsia" w:hAnsiTheme="majorEastAsia"/>
                <w:szCs w:val="21"/>
              </w:rPr>
            </w:pP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生态效益（5分）</w:t>
            </w:r>
          </w:p>
        </w:tc>
        <w:tc>
          <w:tcPr>
            <w:tcW w:w="446" w:type="dxa"/>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部门履行职责对生态环境所带来的直接或间接影响。</w:t>
            </w:r>
          </w:p>
        </w:tc>
        <w:tc>
          <w:tcPr>
            <w:tcW w:w="3721" w:type="dxa"/>
            <w:vMerge/>
            <w:vAlign w:val="center"/>
          </w:tcPr>
          <w:p w:rsidR="00F8630F" w:rsidRDefault="00F8630F" w:rsidP="00F66A9D">
            <w:pPr>
              <w:spacing w:line="240" w:lineRule="exact"/>
              <w:rPr>
                <w:rFonts w:asciiTheme="majorEastAsia" w:eastAsiaTheme="majorEastAsia" w:hAnsiTheme="majorEastAsia"/>
                <w:szCs w:val="21"/>
              </w:rPr>
            </w:pPr>
          </w:p>
        </w:tc>
      </w:tr>
      <w:tr w:rsidR="00F8630F" w:rsidTr="00F66A9D">
        <w:trPr>
          <w:trHeight w:val="567"/>
        </w:trPr>
        <w:tc>
          <w:tcPr>
            <w:tcW w:w="547"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570" w:type="dxa"/>
            <w:vMerge/>
            <w:vAlign w:val="center"/>
          </w:tcPr>
          <w:p w:rsidR="00F8630F" w:rsidRDefault="00F8630F" w:rsidP="00F66A9D">
            <w:pPr>
              <w:spacing w:line="240" w:lineRule="exact"/>
              <w:jc w:val="center"/>
              <w:rPr>
                <w:rFonts w:asciiTheme="majorEastAsia" w:eastAsiaTheme="majorEastAsia" w:hAnsiTheme="majorEastAsia"/>
                <w:szCs w:val="21"/>
              </w:rPr>
            </w:pPr>
          </w:p>
        </w:tc>
        <w:tc>
          <w:tcPr>
            <w:tcW w:w="703" w:type="dxa"/>
            <w:shd w:val="clear" w:color="auto" w:fill="auto"/>
            <w:tcMar>
              <w:top w:w="10" w:type="dxa"/>
              <w:left w:w="10" w:type="dxa"/>
              <w:bottom w:w="0" w:type="dxa"/>
              <w:right w:w="10" w:type="dxa"/>
            </w:tcMar>
            <w:vAlign w:val="center"/>
          </w:tcPr>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社会公众</w:t>
            </w:r>
          </w:p>
          <w:p w:rsidR="00F8630F" w:rsidRDefault="00F8630F" w:rsidP="00F66A9D">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或服务对</w:t>
            </w:r>
          </w:p>
          <w:p w:rsidR="00F8630F" w:rsidRDefault="00F8630F" w:rsidP="00F66A9D">
            <w:pPr>
              <w:spacing w:line="240" w:lineRule="exact"/>
              <w:jc w:val="center"/>
              <w:rPr>
                <w:rFonts w:asciiTheme="majorEastAsia" w:eastAsiaTheme="majorEastAsia" w:hAnsiTheme="majorEastAsia"/>
                <w:szCs w:val="21"/>
              </w:rPr>
            </w:pPr>
            <w:proofErr w:type="gramStart"/>
            <w:r>
              <w:rPr>
                <w:rFonts w:asciiTheme="majorEastAsia" w:eastAsiaTheme="majorEastAsia" w:hAnsiTheme="majorEastAsia" w:hint="eastAsia"/>
                <w:szCs w:val="21"/>
              </w:rPr>
              <w:t>象</w:t>
            </w:r>
            <w:proofErr w:type="gramEnd"/>
            <w:r>
              <w:rPr>
                <w:rFonts w:asciiTheme="majorEastAsia" w:eastAsiaTheme="majorEastAsia" w:hAnsiTheme="majorEastAsia" w:hint="eastAsia"/>
                <w:szCs w:val="21"/>
              </w:rPr>
              <w:t>满意度（5分）</w:t>
            </w:r>
          </w:p>
        </w:tc>
        <w:tc>
          <w:tcPr>
            <w:tcW w:w="446" w:type="dxa"/>
            <w:tcMar>
              <w:top w:w="10" w:type="dxa"/>
              <w:left w:w="10" w:type="dxa"/>
              <w:bottom w:w="0" w:type="dxa"/>
              <w:right w:w="10" w:type="dxa"/>
            </w:tcMar>
            <w:vAlign w:val="center"/>
          </w:tcPr>
          <w:p w:rsidR="00F8630F" w:rsidRDefault="00F8630F" w:rsidP="00F66A9D">
            <w:pPr>
              <w:tabs>
                <w:tab w:val="left" w:pos="2604"/>
              </w:tabs>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2976" w:type="dxa"/>
            <w:shd w:val="clear" w:color="auto" w:fill="auto"/>
            <w:tcMar>
              <w:top w:w="10" w:type="dxa"/>
              <w:left w:w="10" w:type="dxa"/>
              <w:bottom w:w="0" w:type="dxa"/>
              <w:right w:w="10" w:type="dxa"/>
            </w:tcMar>
            <w:vAlign w:val="center"/>
          </w:tcPr>
          <w:p w:rsidR="00F8630F" w:rsidRDefault="00F8630F" w:rsidP="00F66A9D">
            <w:pPr>
              <w:tabs>
                <w:tab w:val="left" w:pos="2604"/>
              </w:tabs>
              <w:spacing w:line="240" w:lineRule="exact"/>
              <w:rPr>
                <w:rFonts w:asciiTheme="majorEastAsia" w:eastAsiaTheme="majorEastAsia" w:hAnsiTheme="majorEastAsia"/>
                <w:szCs w:val="21"/>
              </w:rPr>
            </w:pPr>
            <w:r>
              <w:rPr>
                <w:rFonts w:asciiTheme="majorEastAsia" w:eastAsiaTheme="majorEastAsia" w:hAnsiTheme="majorEastAsia" w:hint="eastAsia"/>
                <w:szCs w:val="21"/>
              </w:rPr>
              <w:t>社会公众或部门的服务对象对部门履职效果的满意程度。</w:t>
            </w:r>
          </w:p>
        </w:tc>
        <w:tc>
          <w:tcPr>
            <w:tcW w:w="3721" w:type="dxa"/>
            <w:shd w:val="clear" w:color="auto" w:fill="auto"/>
            <w:tcMar>
              <w:top w:w="10" w:type="dxa"/>
              <w:left w:w="10" w:type="dxa"/>
              <w:bottom w:w="0" w:type="dxa"/>
              <w:right w:w="10" w:type="dxa"/>
            </w:tcMar>
            <w:vAlign w:val="center"/>
          </w:tcPr>
          <w:p w:rsidR="00F8630F" w:rsidRDefault="00F8630F" w:rsidP="00F66A9D">
            <w:pPr>
              <w:spacing w:line="240" w:lineRule="exact"/>
              <w:rPr>
                <w:rFonts w:asciiTheme="majorEastAsia" w:eastAsiaTheme="majorEastAsia" w:hAnsiTheme="majorEastAsia"/>
                <w:szCs w:val="21"/>
              </w:rPr>
            </w:pPr>
            <w:r>
              <w:rPr>
                <w:rFonts w:asciiTheme="majorEastAsia" w:eastAsiaTheme="majorEastAsia" w:hAnsiTheme="majorEastAsia" w:cs="宋体" w:hint="eastAsia"/>
                <w:kern w:val="0"/>
                <w:szCs w:val="21"/>
              </w:rPr>
              <w:t>按收集到的服务对象的满意率计算得分（5分）</w:t>
            </w:r>
          </w:p>
        </w:tc>
      </w:tr>
    </w:tbl>
    <w:p w:rsidR="00F8630F" w:rsidRDefault="00F8630F" w:rsidP="00F8630F">
      <w:pPr>
        <w:pStyle w:val="a7"/>
        <w:shd w:val="clear" w:color="auto" w:fill="FFFFFF"/>
        <w:spacing w:line="560" w:lineRule="exact"/>
        <w:ind w:firstLineChars="250" w:firstLine="800"/>
        <w:jc w:val="both"/>
        <w:rPr>
          <w:rFonts w:ascii="仿宋" w:eastAsia="仿宋" w:hAnsi="仿宋"/>
          <w:color w:val="000000"/>
          <w:kern w:val="2"/>
          <w:sz w:val="32"/>
          <w:szCs w:val="32"/>
        </w:rPr>
      </w:pPr>
    </w:p>
    <w:p w:rsidR="0043081E" w:rsidRDefault="0043081E" w:rsidP="00BD5A7F">
      <w:pPr>
        <w:pStyle w:val="a7"/>
        <w:widowControl/>
        <w:spacing w:line="520" w:lineRule="exact"/>
        <w:ind w:right="181" w:firstLineChars="200" w:firstLine="640"/>
        <w:rPr>
          <w:rFonts w:ascii="仿宋_GB2312" w:eastAsia="仿宋_GB2312" w:hAnsi="宋体" w:cs="宋体"/>
          <w:color w:val="212121"/>
          <w:sz w:val="32"/>
          <w:szCs w:val="32"/>
        </w:rPr>
      </w:pPr>
      <w:r>
        <w:rPr>
          <w:rFonts w:ascii="仿宋_GB2312" w:eastAsia="仿宋_GB2312" w:hAnsi="宋体" w:cs="宋体" w:hint="eastAsia"/>
          <w:color w:val="212121"/>
          <w:sz w:val="32"/>
          <w:szCs w:val="32"/>
        </w:rPr>
        <w:t xml:space="preserve">                             </w:t>
      </w:r>
    </w:p>
    <w:sectPr w:rsidR="0043081E" w:rsidSect="00537A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7E2" w:rsidRDefault="007637E2" w:rsidP="007F452B">
      <w:r>
        <w:separator/>
      </w:r>
    </w:p>
  </w:endnote>
  <w:endnote w:type="continuationSeparator" w:id="0">
    <w:p w:rsidR="007637E2" w:rsidRDefault="007637E2" w:rsidP="007F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7E2" w:rsidRDefault="007637E2" w:rsidP="007F452B">
      <w:r>
        <w:separator/>
      </w:r>
    </w:p>
  </w:footnote>
  <w:footnote w:type="continuationSeparator" w:id="0">
    <w:p w:rsidR="007637E2" w:rsidRDefault="007637E2" w:rsidP="007F4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D25A5"/>
    <w:multiLevelType w:val="hybridMultilevel"/>
    <w:tmpl w:val="0DE2E910"/>
    <w:lvl w:ilvl="0" w:tplc="F6B053E6">
      <w:start w:val="5"/>
      <w:numFmt w:val="japaneseCounting"/>
      <w:lvlText w:val="%1、"/>
      <w:lvlJc w:val="left"/>
      <w:pPr>
        <w:ind w:left="1780" w:hanging="72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 w15:restartNumberingAfterBreak="0">
    <w:nsid w:val="21D77650"/>
    <w:multiLevelType w:val="hybridMultilevel"/>
    <w:tmpl w:val="70F01694"/>
    <w:lvl w:ilvl="0" w:tplc="20E0BD58">
      <w:start w:val="5"/>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2" w15:restartNumberingAfterBreak="0">
    <w:nsid w:val="581BDCD9"/>
    <w:multiLevelType w:val="singleLevel"/>
    <w:tmpl w:val="581BDCD9"/>
    <w:lvl w:ilvl="0">
      <w:start w:val="5"/>
      <w:numFmt w:val="chineseCounting"/>
      <w:suff w:val="nothing"/>
      <w:lvlText w:val="%1、"/>
      <w:lvlJc w:val="left"/>
    </w:lvl>
  </w:abstractNum>
  <w:abstractNum w:abstractNumId="3" w15:restartNumberingAfterBreak="0">
    <w:nsid w:val="5CB138A3"/>
    <w:multiLevelType w:val="hybridMultilevel"/>
    <w:tmpl w:val="19342260"/>
    <w:lvl w:ilvl="0" w:tplc="F5D45152">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52B"/>
    <w:rsid w:val="00007F9B"/>
    <w:rsid w:val="0001416F"/>
    <w:rsid w:val="000B4232"/>
    <w:rsid w:val="000D320E"/>
    <w:rsid w:val="000D50F5"/>
    <w:rsid w:val="000F6E6D"/>
    <w:rsid w:val="001044A9"/>
    <w:rsid w:val="00143193"/>
    <w:rsid w:val="00181667"/>
    <w:rsid w:val="001E2DCA"/>
    <w:rsid w:val="002878F7"/>
    <w:rsid w:val="002F0298"/>
    <w:rsid w:val="00344257"/>
    <w:rsid w:val="003572B5"/>
    <w:rsid w:val="003728D5"/>
    <w:rsid w:val="003A63CA"/>
    <w:rsid w:val="003B62F7"/>
    <w:rsid w:val="003D1121"/>
    <w:rsid w:val="0043081E"/>
    <w:rsid w:val="00460E9A"/>
    <w:rsid w:val="004764EC"/>
    <w:rsid w:val="004C7246"/>
    <w:rsid w:val="00537A10"/>
    <w:rsid w:val="0059453B"/>
    <w:rsid w:val="005B6757"/>
    <w:rsid w:val="00606DC3"/>
    <w:rsid w:val="00611C39"/>
    <w:rsid w:val="00642197"/>
    <w:rsid w:val="006F7E09"/>
    <w:rsid w:val="007332C5"/>
    <w:rsid w:val="007342B1"/>
    <w:rsid w:val="007637E2"/>
    <w:rsid w:val="007915A8"/>
    <w:rsid w:val="007F452B"/>
    <w:rsid w:val="00815A75"/>
    <w:rsid w:val="00853C78"/>
    <w:rsid w:val="008745CE"/>
    <w:rsid w:val="008810EE"/>
    <w:rsid w:val="008C72B3"/>
    <w:rsid w:val="008D6829"/>
    <w:rsid w:val="009862C4"/>
    <w:rsid w:val="00A3545A"/>
    <w:rsid w:val="00A359FF"/>
    <w:rsid w:val="00A37D54"/>
    <w:rsid w:val="00AD1A7C"/>
    <w:rsid w:val="00AD3068"/>
    <w:rsid w:val="00AE2D85"/>
    <w:rsid w:val="00B71219"/>
    <w:rsid w:val="00BD5A7F"/>
    <w:rsid w:val="00BF1AD4"/>
    <w:rsid w:val="00C203A9"/>
    <w:rsid w:val="00C223CB"/>
    <w:rsid w:val="00C7537A"/>
    <w:rsid w:val="00CD7DD6"/>
    <w:rsid w:val="00D26667"/>
    <w:rsid w:val="00D4796F"/>
    <w:rsid w:val="00DA1B2B"/>
    <w:rsid w:val="00DD5A36"/>
    <w:rsid w:val="00DF1865"/>
    <w:rsid w:val="00E173B5"/>
    <w:rsid w:val="00E27269"/>
    <w:rsid w:val="00E37C7D"/>
    <w:rsid w:val="00E939BF"/>
    <w:rsid w:val="00EA0CE9"/>
    <w:rsid w:val="00EC175D"/>
    <w:rsid w:val="00EF4DE7"/>
    <w:rsid w:val="00F572EC"/>
    <w:rsid w:val="00F8630F"/>
    <w:rsid w:val="00FA195A"/>
    <w:rsid w:val="00FA6E32"/>
    <w:rsid w:val="00FF6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5365E8-8E8C-4D60-A919-5E8C6456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A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45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452B"/>
    <w:rPr>
      <w:sz w:val="18"/>
      <w:szCs w:val="18"/>
    </w:rPr>
  </w:style>
  <w:style w:type="paragraph" w:styleId="a5">
    <w:name w:val="footer"/>
    <w:basedOn w:val="a"/>
    <w:link w:val="a6"/>
    <w:uiPriority w:val="99"/>
    <w:unhideWhenUsed/>
    <w:rsid w:val="007F452B"/>
    <w:pPr>
      <w:tabs>
        <w:tab w:val="center" w:pos="4153"/>
        <w:tab w:val="right" w:pos="8306"/>
      </w:tabs>
      <w:snapToGrid w:val="0"/>
      <w:jc w:val="left"/>
    </w:pPr>
    <w:rPr>
      <w:sz w:val="18"/>
      <w:szCs w:val="18"/>
    </w:rPr>
  </w:style>
  <w:style w:type="character" w:customStyle="1" w:styleId="a6">
    <w:name w:val="页脚 字符"/>
    <w:basedOn w:val="a0"/>
    <w:link w:val="a5"/>
    <w:uiPriority w:val="99"/>
    <w:rsid w:val="007F452B"/>
    <w:rPr>
      <w:sz w:val="18"/>
      <w:szCs w:val="18"/>
    </w:rPr>
  </w:style>
  <w:style w:type="paragraph" w:styleId="a7">
    <w:name w:val="Normal (Web)"/>
    <w:basedOn w:val="a"/>
    <w:uiPriority w:val="99"/>
    <w:qFormat/>
    <w:rsid w:val="007F452B"/>
    <w:pPr>
      <w:jc w:val="left"/>
    </w:pPr>
    <w:rPr>
      <w:rFonts w:cs="Times New Roman"/>
      <w:kern w:val="0"/>
      <w:sz w:val="24"/>
      <w:szCs w:val="24"/>
    </w:rPr>
  </w:style>
  <w:style w:type="paragraph" w:customStyle="1" w:styleId="1">
    <w:name w:val="样式1"/>
    <w:basedOn w:val="a"/>
    <w:rsid w:val="007F452B"/>
    <w:rPr>
      <w:rFonts w:ascii="Times New Roman" w:hAnsi="Times New Roman"/>
      <w:sz w:val="32"/>
      <w:szCs w:val="24"/>
    </w:rPr>
  </w:style>
  <w:style w:type="paragraph" w:styleId="a8">
    <w:name w:val="Date"/>
    <w:basedOn w:val="a"/>
    <w:next w:val="a"/>
    <w:link w:val="a9"/>
    <w:uiPriority w:val="99"/>
    <w:semiHidden/>
    <w:unhideWhenUsed/>
    <w:rsid w:val="00AD1A7C"/>
    <w:pPr>
      <w:ind w:leftChars="2500" w:left="100"/>
    </w:pPr>
  </w:style>
  <w:style w:type="character" w:customStyle="1" w:styleId="a9">
    <w:name w:val="日期 字符"/>
    <w:basedOn w:val="a0"/>
    <w:link w:val="a8"/>
    <w:uiPriority w:val="99"/>
    <w:semiHidden/>
    <w:rsid w:val="00AD1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0930">
      <w:bodyDiv w:val="1"/>
      <w:marLeft w:val="0"/>
      <w:marRight w:val="0"/>
      <w:marTop w:val="0"/>
      <w:marBottom w:val="0"/>
      <w:divBdr>
        <w:top w:val="none" w:sz="0" w:space="0" w:color="auto"/>
        <w:left w:val="none" w:sz="0" w:space="0" w:color="auto"/>
        <w:bottom w:val="none" w:sz="0" w:space="0" w:color="auto"/>
        <w:right w:val="none" w:sz="0" w:space="0" w:color="auto"/>
      </w:divBdr>
      <w:divsChild>
        <w:div w:id="1310553333">
          <w:marLeft w:val="0"/>
          <w:marRight w:val="0"/>
          <w:marTop w:val="0"/>
          <w:marBottom w:val="0"/>
          <w:divBdr>
            <w:top w:val="none" w:sz="0" w:space="0" w:color="auto"/>
            <w:left w:val="none" w:sz="0" w:space="0" w:color="auto"/>
            <w:bottom w:val="none" w:sz="0" w:space="0" w:color="auto"/>
            <w:right w:val="none" w:sz="0" w:space="0" w:color="auto"/>
          </w:divBdr>
        </w:div>
      </w:divsChild>
    </w:div>
    <w:div w:id="148643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4ADFA-74DB-48C2-8355-06928BA74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1960</Words>
  <Characters>2000</Characters>
  <Application>Microsoft Office Word</Application>
  <DocSecurity>0</DocSecurity>
  <Lines>105</Lines>
  <Paragraphs>76</Paragraphs>
  <ScaleCrop>false</ScaleCrop>
  <Company>LENOVO</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谌 毅</cp:lastModifiedBy>
  <cp:revision>2</cp:revision>
  <cp:lastPrinted>2019-07-11T00:41:00Z</cp:lastPrinted>
  <dcterms:created xsi:type="dcterms:W3CDTF">2020-07-30T03:28:00Z</dcterms:created>
  <dcterms:modified xsi:type="dcterms:W3CDTF">2020-07-30T03:28:00Z</dcterms:modified>
</cp:coreProperties>
</file>