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2019年度</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益阳市赫山区交通运输局部门决算</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rPr>
          <w:rFonts w:hint="eastAsia" w:ascii="黑体" w:hAnsi="黑体" w:eastAsia="黑体" w:cs="黑体"/>
          <w:sz w:val="32"/>
          <w:szCs w:val="32"/>
        </w:rPr>
      </w:pPr>
      <w:r>
        <w:rPr>
          <w:rFonts w:hint="eastAsia" w:ascii="黑体" w:hAnsi="黑体" w:eastAsia="黑体" w:cs="黑体"/>
          <w:sz w:val="32"/>
          <w:szCs w:val="32"/>
        </w:rPr>
        <w:t>第一部分益阳市赫山区交通运输局概况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一、部门职责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二、机构设置</w:t>
      </w:r>
    </w:p>
    <w:p>
      <w:pPr>
        <w:rPr>
          <w:rFonts w:hint="eastAsia" w:ascii="黑体" w:hAnsi="黑体" w:eastAsia="黑体" w:cs="黑体"/>
          <w:sz w:val="32"/>
          <w:szCs w:val="32"/>
        </w:rPr>
      </w:pPr>
      <w:r>
        <w:rPr>
          <w:rFonts w:hint="eastAsia" w:ascii="黑体" w:hAnsi="黑体" w:eastAsia="黑体" w:cs="黑体"/>
          <w:sz w:val="32"/>
          <w:szCs w:val="32"/>
        </w:rPr>
        <w:t>第二部分2019年度部门决算表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一、收入支出决算总表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二、收入决算表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三、支出决算表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五、一般公共预算财政拨款支出决算表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六、一般公共预算财政拨款基本支出决算表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七、一般公共预算财政拨款“三公”经费支出决算表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八、政府性基金预算财政拨款收入支出决算表</w:t>
      </w:r>
    </w:p>
    <w:p>
      <w:pPr>
        <w:rPr>
          <w:rFonts w:hint="eastAsia" w:ascii="黑体" w:hAnsi="黑体" w:eastAsia="黑体" w:cs="黑体"/>
          <w:sz w:val="32"/>
          <w:szCs w:val="32"/>
        </w:rPr>
      </w:pPr>
      <w:r>
        <w:rPr>
          <w:rFonts w:hint="eastAsia" w:ascii="黑体" w:hAnsi="黑体" w:eastAsia="黑体" w:cs="黑体"/>
          <w:sz w:val="32"/>
          <w:szCs w:val="32"/>
        </w:rPr>
        <w:t>第三部分2019年度部门决算情况说明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二、收入决算情况说明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七、一般公共预算财政拨款三公经费支出决算情况说明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八、政府性基金预算收入支出决算情况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九、预算绩效情况说明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十、其他重要事项情况说明</w:t>
      </w:r>
    </w:p>
    <w:p>
      <w:pPr>
        <w:rPr>
          <w:rFonts w:hint="eastAsia" w:ascii="黑体" w:hAnsi="黑体" w:eastAsia="黑体" w:cs="黑体"/>
          <w:sz w:val="32"/>
          <w:szCs w:val="32"/>
        </w:rPr>
      </w:pPr>
      <w:r>
        <w:rPr>
          <w:rFonts w:hint="eastAsia" w:ascii="黑体" w:hAnsi="黑体" w:eastAsia="黑体" w:cs="黑体"/>
          <w:sz w:val="32"/>
          <w:szCs w:val="32"/>
        </w:rPr>
        <w:t>第四部分名词解释</w:t>
      </w:r>
    </w:p>
    <w:p>
      <w:pPr>
        <w:rPr>
          <w:rFonts w:hint="eastAsia" w:ascii="黑体" w:hAnsi="黑体" w:eastAsia="黑体" w:cs="黑体"/>
          <w:sz w:val="32"/>
          <w:szCs w:val="32"/>
        </w:rPr>
      </w:pPr>
      <w:r>
        <w:rPr>
          <w:rFonts w:hint="eastAsia" w:ascii="黑体" w:hAnsi="黑体" w:eastAsia="黑体" w:cs="黑体"/>
          <w:sz w:val="32"/>
          <w:szCs w:val="32"/>
        </w:rPr>
        <w:t>第五部分附件</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益阳市赫山区交通运输局概况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一、部门职责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1.贯彻实施综合交通运输发展战略，会同有关部门编制辖区交通运输发展规划和年度计划;承担涉及综合运输体系的规划协调工作。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2.负责编制辖区交通运输行业规划，参与拟定物流业发展战略、规划;负责交通运输行业有关体制改革工作。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3.依法实施辖区交通运输行业行政许可、行政处罚、行政强制、行政检查和其他行政权力。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4.负贵辖区交通运输市场监督管理、城乡客运及有关设施规划和管理工作。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5.负责辖区交通运输建设工程招投标和工程造价、工程质量、安全生产的监督管理;负责辖区交通基础设施建设与养护工作;承担交通基本建设项目的绩效监督和管理工作。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6.负贵辖区交通运输行业安全生产和应急管理工作;按规定组织、协调区级重点物资和紧急客货运输;负贵辖区路网运行监测和应急处置协调;承担辖区交通战备工作。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7.完成区委、区政府交办的其他任务。</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(一)内设机构设置。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益阳市赫山区交通运输局单位内设机构包括：办公室、人事教育股、财务审计股、法制股、安全监督股、计划统计股、基本建设股、综合运输管理股、公路管养股、交通战备办等10个股室，下辖区道路运输服务中心、区交通建设质量监督站和区交通运输综合行政执法大队三个副科级二级单位。</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（二）决算单位构成。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益阳市赫山区交通运输局单位2019年部门预算单位只有本级，没有其他二级预算单位，因此，纳入2019年部门决算汇总公开单位的只有益阳市赫山区交通运输局本级。</w:t>
      </w:r>
    </w:p>
    <w:p>
      <w:pPr>
        <w:rPr>
          <w:rFonts w:hint="eastAsia" w:ascii="黑体" w:hAnsi="黑体" w:eastAsia="黑体" w:cs="黑体"/>
          <w:sz w:val="32"/>
          <w:szCs w:val="32"/>
        </w:rPr>
      </w:pPr>
      <w:r>
        <w:rPr>
          <w:rFonts w:hint="eastAsia" w:ascii="黑体" w:hAnsi="黑体" w:eastAsia="黑体" w:cs="黑体"/>
          <w:sz w:val="32"/>
          <w:szCs w:val="32"/>
        </w:rPr>
        <w:t>第二部分 益阳市赫山区交通运输局2019年度部门决算表（见附表）</w:t>
      </w:r>
    </w:p>
    <w:p>
      <w:pPr>
        <w:rPr>
          <w:rFonts w:hint="eastAsia" w:ascii="黑体" w:hAnsi="黑体" w:eastAsia="黑体" w:cs="黑体"/>
          <w:sz w:val="32"/>
          <w:szCs w:val="32"/>
        </w:rPr>
      </w:pPr>
      <w:r>
        <w:rPr>
          <w:rFonts w:hint="eastAsia" w:ascii="黑体" w:hAnsi="黑体" w:eastAsia="黑体" w:cs="黑体"/>
          <w:sz w:val="32"/>
          <w:szCs w:val="32"/>
        </w:rPr>
        <w:t>第三部分 益阳市赫山区交通运输局2019年度部门决算情况说明</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2019年度收、支总计3,935.31万元，与2018年相比，收、支总计增加1107.64万元，增长39.17%。主要原因是预算经费不足、人员工资普调、住房公积金、社保基数调整和增加了机关事业单位基本养老保险缴费支出。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二、收入决算情况说明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本年收入合计3,935.31万元，其中：财政拨款收入3192.41万元，占81.12%。其他收入742.9万元，占18.88%。</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三、支出决算情况说明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本年支出合计3,246.72万元，其中：基本支出2,700.38万元，占83.17%。项目支出546.34万元，占16.83%。</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四、财政拨款收入支出决算总体情况说明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2019年度财政拨款收、支总计3192.41万元，与2018年相比，财政拨款收、支总计各增加364.74万元，增长12.9%。主要原因是:预算经费不足进行弥补、人员工资普调、住房公积金、社保基数调整和增加了机关事业单位基本养老保险缴费支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（一）财政拨款支出决算总体情况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2019年度财政拨款支出2701.38万元，占本年支出合计的83.2%。与2018年度相比，财政拨款支出减少126万元，减少4.47%,主要原因是：为认真贯彻落实中央“八项规定”精神和厉行节约要求，从严控制“三公”经费开支，本年支出比2018年度有所节约。</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（二）财政拨款支出决算结构情况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2019年度财政拨款支出2701.38万元，主要用于以下方面：社会保障和就业（类）支出114.85万元，占4.25%；卫生健康（类）支出60.33万元，占2.23%；交通运输（类）支出2457.56万元，占90.97%；住房保障（类）支出68.64万元，占2.54%；</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（三）财政拨款支出决算具体情况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2019年度财政拨款支出年初预算为0万元，支出决算为2,701.38万元，完成年初预算的0%。其中：社会保障和就业支出114.85万元，交通运输支出2457.56万元，卫生健康支出60.33万元。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用于基本支出2155.04万元，其中：机关事业单位基本养老保险缴费支出114.85万元，  行政单位医疗60.33万元，行政运行1905.52万元， 其他公路水路运输支出5.69万元，住房公积金68.64万元。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用于项目支出546.34万元。其中：  其他公路水路运输支出41.5万元，对农村道路客运的补贴489万元，  成品油价格改革补贴其他支出15.84万元。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rPr>
          <w:rFonts w:hint="eastAsia" w:ascii="仿宋" w:hAnsi="仿宋" w:eastAsia="仿宋" w:cs="仿宋"/>
          <w:sz w:val="32"/>
          <w:szCs w:val="32"/>
        </w:rPr>
      </w:pPr>
      <w:r>
        <w:rPr>
          <w:rFonts w:hint="eastAsia" w:ascii="仿宋" w:hAnsi="仿宋" w:eastAsia="仿宋" w:cs="仿宋"/>
          <w:sz w:val="32"/>
          <w:szCs w:val="32"/>
        </w:rPr>
        <w:t xml:space="preserve">    2019年度财政拨款基本支出2,155.04万元，其中:人员经费1,784.09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370.95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（一）“三公”经费财政拨款支出决算总体情况说明。</w:t>
      </w:r>
      <w:r>
        <w:rPr>
          <w:rFonts w:hint="eastAsia" w:ascii="仿宋" w:hAnsi="仿宋" w:eastAsia="仿宋" w:cs="仿宋"/>
          <w:sz w:val="32"/>
          <w:szCs w:val="32"/>
        </w:rPr>
        <w:t xml:space="preserve">2019年度“三公”经费财政拨款支出预算为62万元，支出决算为35.76万元,完成预算的57.68%，其中：无因公出国（境）费支出预算与决算。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用车购置费及运行维护费支出预算为42万元，支出决算为28.6万元,完成预算的68.1%,决算数小于预算数的主要原因是认真贯彻落实中央“八项规定”精神和厉行节约要求，从严控制“三公”经费开支，全年实际支出比预算有所节约。  与上年相比减少25.6万元，减少10.63%,减少主要原因是认真贯彻落实中央“八项规定”精神和厉行节约要求，从严控制“三公”经费开支，全年实际支出比上年有所压减。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接待费支出预算为20万元，支出决算为7.16万元,完成预算的35.8%,决算数小于预算数的主要原因是是认真贯彻落实中央“八项规定”精神和厉行节约要求，从严控制“三公”经费开支，全年实际支出比预算有所节约。  与上年相比减少12.84万元，减少64.2%,减少主要原因是认真贯彻落实中央“八项规定”精神和厉行节约要求，从严控制“三公”经费开支，全年支出比上年有所压减。</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（二）“三公”经费财政拨款支出决算具体情况说明。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2019年度“三公”经费财政拨款支出决算中，公务用车运行维护费决算28.6万元，占79.98%。公务接待费决算7.16万元，占20.02%。具体情况如下：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公务用车购置及运行费预算为42万元，支出决算为28.6万元，完成预算的68.1%,主要是继续加强公务用车管理，公务用车费用有所节约。其中： 公务用车运行支出28.6万元。主要是按规定保留的公务用车的燃料费、维修费、过桥过路费、保险费、安全奖励费用等支出。截至2019年12月31日，机关单位开支财政拨款的公务用车保有量为8辆。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公务接待费预算为20万元，支出决算为7.16万元，完成预算的35.8%,主要是积极贯彻落实中央关于厉行节约的要求，从严控制公务接待行为。其中： 其他国内公务接待支出7.16万元。主要用于与有关单位交流工作情况及接受相关部门检查指导工作发生的接待支出。益阳市赫山区交通运输局2019年共接待国内公务接待批次75个、接待人次520人次（不包括陪同人员）。</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八、政府性基金预算收入支出决算情况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2019年本单位没有使用政府性基金预算拨款安排的收支。</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、预算绩效情况说明</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（一）绩效管理工作开展情况。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从整体情况来看，我局严格按照年初预算使用经费。部门支出严格遵守各项规章制度，严格控制“三公经费”，所有项目都制定了详细方案，严格按方案组织实施，并加强了过程监督。尤其是在专项经费支出上，严格执行了专款专用制度，无截留、无挪用等现象。</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（二）部门决算中项目绩效自评结果。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1.援建项目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长沙至益阳高速公路扩容工程益阳段路基工程已完成100%，桥梁工程完成100%，路面工程已完成30%，泞湖互通、笔架山（枢纽）已完成建设，苏家坝（枢纽）已完成20%。益阳至平江高速公路益阳段，在土地批文未下达前，我区在市指挥部的指导支持下，已启动八字哨连接线、资江支流的特大桥、水竹院大桥、张芦渠大桥、笔架山红线内施工便道和笔架山互通接口六大控制性工程的建设。宁乡至韶山高速公路益阳段，在土地批文未下达、总承包协议未签订的前提下，我区已先行提供115亩土地用于搅拌场等工程建设。益阳至娄底高速公路寨子仑收费站及团圆路连接线，由于我市暂未启动进城道路团圆路的建设，益娄公司正在准备主线延伸线（含寨子仑收费站）招标的相关工作。寨子仑村、高岭村已完成征拆房屋49栋（处）；因征拆资金达6000万元，早河村44栋（处）房屋的征拆暂未完成。常益长高铁赫山段长21.04公里，六个乡镇共333栋（处）房屋已于11月15日率先在全市完成协议签订与房屋倒地双清零，目前正进行征拆扫尾与居民安置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2.干线公路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G234谢石线赫山区段15.28公里，全线采用二级公路标准，路基宽12m，设计行车速度60km/h，总造价约为2亿元。目前该项目施工图已批复，本项目初定于2019年开工，且已列入2019年重点建设项目计划。由于项目长春至谢林港段属市级PPP项目，相关单位目前为止仍未与国土部门就项目用地完成对接，导致赫山段土地调规难以推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3.农村公路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2019年省计划窄路加宽里程67公里（含高新区），总投资1797万元，已经完成里程60公里，完成投资1609万元，预计12月份全部完成。2019年计划自然村通水泥路114公里（含高新区），总投资4788万元，已完成114公里，完成投资4788万元。2019年计划农村公路安保工程建设77公里，总投资1740万元，已完成70公里，完成投资1582万元，1月份全部完成任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4.道路运输站场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沙河公交停保场拟建于龙岭工业集中区内，建设规模20000平方米，计划完成投资2000万元，我区已明确工作责任单位，因无投资来源，暂未启动建设。团洲公交首末站拟建于赫山街道团洲村，建设规模2000平方米，计划完成投资270万元，我区于2018年底正式启动该项目并明确了资金来源和工作责任单位。目前，该项目用地性质已经完成变更，土地已于11月底进入省自然资源厅待审。</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十、其他重要事项情况说明</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（一）机关运行经费支出情况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益阳市赫山区交通运输局2019年机关运行经费支出370.95万元。与年初预算数持平。</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（二）政府采购支出情情况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本年度无政府采购。  </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（三）国有资产占有情况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截至2019年12月31日，益阳市赫山区交通运输局共有车辆8辆。其中：执法执勤用车8辆、年末无单价50万元以上通用设备，年末无单价100万元以上通用设备。</w:t>
      </w:r>
    </w:p>
    <w:p>
      <w:pPr>
        <w:numPr>
          <w:ilvl w:val="0"/>
          <w:numId w:val="1"/>
        </w:numPr>
        <w:tabs>
          <w:tab w:val="left" w:pos="808"/>
        </w:tabs>
        <w:ind w:left="808" w:leftChars="0" w:firstLine="0" w:firstLineChars="0"/>
        <w:rPr>
          <w:rFonts w:hint="eastAsia" w:ascii="黑体" w:hAnsi="黑体" w:eastAsia="黑体" w:cs="黑体"/>
          <w:sz w:val="32"/>
          <w:szCs w:val="32"/>
        </w:rPr>
      </w:pPr>
      <w:r>
        <w:rPr>
          <w:rFonts w:hint="eastAsia" w:ascii="楷体" w:hAnsi="楷体" w:eastAsia="楷体" w:cs="楷体"/>
          <w:sz w:val="32"/>
          <w:szCs w:val="32"/>
          <w:lang w:val="en-US" w:eastAsia="zh-CN"/>
        </w:rPr>
        <w:t>一般性支出情况</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2019年本部门开支会议费0.77万元，用于召开春运工作动员大会及赫山区交通安全工作等会议，人数300人；开支培训费4.91万元，用于开展执法培训、安全培训及各类交通运输业务培训，人数43人。</w:t>
      </w:r>
      <w:bookmarkStart w:id="0" w:name="_GoBack"/>
      <w:bookmarkEnd w:id="0"/>
    </w:p>
    <w:p>
      <w:pPr>
        <w:ind w:firstLine="640" w:firstLineChars="200"/>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财政拨款收入：指本级财政当年拨付的资金。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其他收入：指除上述“财政拨款收入”、“上级补助收入”、“事业收入”、“经营收入”、“附属单位上缴收入”等以外的收入。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年末结转和结余资金：指本年度或以前年度预算安排、因客观条件发生变化无法按原计划实施，需要延迟到以后年度按有关规定继续使用的资金。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卫生健康支出（类）：是指用于医疗卫生与计划生育方面的支出，包括保障机构正常运转、完成日常和特定的工作任务或事业发展目标的支出。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交通运输支出（类）：是指用于交通运输和邮政业方面的支出，包括保障机构正常运转、完成日常和特定的工作任务或事业发展目标的支出。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住房保障支出（类）：是指用于住房方面的支出，包括保障机构正常运转、完成日常和特定的工作任务或事业发展目标的支出。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其他支出（类）：是指用于反映除上述项目以外其他不能划分到具体功能科目中的支出项目，包括保障机构正常运转、完成日常和特定的工作任务或事业发展目标的支出。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基本支出：指保障机构正常运转、完成支日常工作任务而发生的人员支出和公用支出。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项目支出：指在基本支出之外为完成特定行政任务和事业发展目标所发生的支出。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工资福利支出：</w:t>
      </w:r>
      <w:r>
        <w:rPr>
          <w:rFonts w:hint="eastAsia" w:ascii="仿宋" w:hAnsi="仿宋" w:eastAsia="仿宋" w:cs="仿宋"/>
          <w:sz w:val="32"/>
          <w:szCs w:val="32"/>
        </w:rPr>
        <w:t>反映单位开支的在职职工和编制外长期聘用人员的各类劳动报酬，以及为上述人员缴纳的各项社会保险费等。</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基本工资：</w:t>
      </w:r>
      <w:r>
        <w:rPr>
          <w:rFonts w:hint="eastAsia" w:ascii="仿宋" w:hAnsi="仿宋" w:eastAsia="仿宋" w:cs="仿宋"/>
          <w:sz w:val="32"/>
          <w:szCs w:val="32"/>
        </w:rPr>
        <w:t>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津贴补贴：</w:t>
      </w:r>
      <w:r>
        <w:rPr>
          <w:rFonts w:hint="eastAsia" w:ascii="仿宋" w:hAnsi="仿宋" w:eastAsia="仿宋" w:cs="仿宋"/>
          <w:sz w:val="32"/>
          <w:szCs w:val="32"/>
        </w:rPr>
        <w:t>反映经国家批准建立的机关事业单位艰苦边远地区津贴、机关工作人员地区附加津贴、机关工作人员岗位津贴、事业单位工作人员特殊岗位津贴补贴等。</w:t>
      </w:r>
    </w:p>
    <w:p>
      <w:pPr>
        <w:rPr>
          <w:rFonts w:hint="eastAsia" w:ascii="仿宋" w:hAnsi="仿宋" w:eastAsia="仿宋" w:cs="仿宋"/>
          <w:sz w:val="32"/>
          <w:szCs w:val="32"/>
        </w:rPr>
      </w:pPr>
      <w:r>
        <w:rPr>
          <w:rFonts w:hint="eastAsia" w:ascii="仿宋" w:hAnsi="仿宋" w:eastAsia="仿宋" w:cs="仿宋"/>
          <w:sz w:val="32"/>
          <w:szCs w:val="32"/>
        </w:rPr>
        <w:t>奖金：反映机关工作人员年终一次性奖金。</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机关事业单位基本养老保险缴费：</w:t>
      </w:r>
      <w:r>
        <w:rPr>
          <w:rFonts w:hint="eastAsia" w:ascii="仿宋" w:hAnsi="仿宋" w:eastAsia="仿宋" w:cs="仿宋"/>
          <w:sz w:val="32"/>
          <w:szCs w:val="32"/>
        </w:rPr>
        <w:t>反映机关事业单位缴纳的基本养老保险费。由单位代扣的工作人员基本养老保险缴费，不在此科目反映。</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职业年金缴费：</w:t>
      </w:r>
      <w:r>
        <w:rPr>
          <w:rFonts w:hint="eastAsia" w:ascii="仿宋" w:hAnsi="仿宋" w:eastAsia="仿宋" w:cs="仿宋"/>
          <w:sz w:val="32"/>
          <w:szCs w:val="32"/>
        </w:rPr>
        <w:t>反映机关事业单位实际缴纳的职业年金支出。由单位代扣的工作人员职业年金缴费，不在此科目反映。</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职工基本医疗保险缴费：</w:t>
      </w:r>
      <w:r>
        <w:rPr>
          <w:rFonts w:hint="eastAsia" w:ascii="仿宋" w:hAnsi="仿宋" w:eastAsia="仿宋" w:cs="仿宋"/>
          <w:sz w:val="32"/>
          <w:szCs w:val="32"/>
        </w:rPr>
        <w:t>反映单位为职工缴纳的基本医疗保险费。</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其他社会保障缴费：</w:t>
      </w:r>
      <w:r>
        <w:rPr>
          <w:rFonts w:hint="eastAsia" w:ascii="仿宋" w:hAnsi="仿宋" w:eastAsia="仿宋" w:cs="仿宋"/>
          <w:sz w:val="32"/>
          <w:szCs w:val="32"/>
        </w:rPr>
        <w:t>反映单位为职工缴纳的基本医疗、失业、工伤、生育等社会保险费，残疾人就业保障金，军队（含武警）为军人缴纳的伤亡、退役医疗等社会保险费。</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住房公积金：</w:t>
      </w:r>
      <w:r>
        <w:rPr>
          <w:rFonts w:hint="eastAsia" w:ascii="仿宋" w:hAnsi="仿宋" w:eastAsia="仿宋" w:cs="仿宋"/>
          <w:sz w:val="32"/>
          <w:szCs w:val="32"/>
        </w:rPr>
        <w:t>反映行政事业单位按人力资源和社会保障部、财政部规定的基本工资和津贴补贴以及规定比例为职工缴纳的住房公积金。</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其他工资福利支出：</w:t>
      </w:r>
      <w:r>
        <w:rPr>
          <w:rFonts w:hint="eastAsia" w:ascii="仿宋" w:hAnsi="仿宋" w:eastAsia="仿宋" w:cs="仿宋"/>
          <w:sz w:val="32"/>
          <w:szCs w:val="32"/>
        </w:rPr>
        <w:t>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商品和服务支出：</w:t>
      </w:r>
      <w:r>
        <w:rPr>
          <w:rFonts w:hint="eastAsia" w:ascii="仿宋" w:hAnsi="仿宋" w:eastAsia="仿宋" w:cs="仿宋"/>
          <w:sz w:val="32"/>
          <w:szCs w:val="32"/>
        </w:rPr>
        <w:t>反映单位购买商品和服务的支出（不包括用于购置固定资产的支出、战略性和应急储备支出）。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办公费：</w:t>
      </w:r>
      <w:r>
        <w:rPr>
          <w:rFonts w:hint="eastAsia" w:ascii="仿宋" w:hAnsi="仿宋" w:eastAsia="仿宋" w:cs="仿宋"/>
          <w:sz w:val="32"/>
          <w:szCs w:val="32"/>
        </w:rPr>
        <w:t>反映单位购买按财务会计制度规定不符合固定资产确认标准的日常办公用品、书报杂志等支出。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印刷费：</w:t>
      </w:r>
      <w:r>
        <w:rPr>
          <w:rFonts w:hint="eastAsia" w:ascii="仿宋" w:hAnsi="仿宋" w:eastAsia="仿宋" w:cs="仿宋"/>
          <w:sz w:val="32"/>
          <w:szCs w:val="32"/>
        </w:rPr>
        <w:t>反映单位的印刷费支出。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咨询费：</w:t>
      </w:r>
      <w:r>
        <w:rPr>
          <w:rFonts w:hint="eastAsia" w:ascii="仿宋" w:hAnsi="仿宋" w:eastAsia="仿宋" w:cs="仿宋"/>
          <w:sz w:val="32"/>
          <w:szCs w:val="32"/>
        </w:rPr>
        <w:t>反映单位咨询方面的支出。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水费：</w:t>
      </w:r>
      <w:r>
        <w:rPr>
          <w:rFonts w:hint="eastAsia" w:ascii="仿宋" w:hAnsi="仿宋" w:eastAsia="仿宋" w:cs="仿宋"/>
          <w:sz w:val="32"/>
          <w:szCs w:val="32"/>
        </w:rPr>
        <w:t>反映单位支付的水费、污水处理费等支出。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电费：</w:t>
      </w:r>
      <w:r>
        <w:rPr>
          <w:rFonts w:hint="eastAsia" w:ascii="仿宋" w:hAnsi="仿宋" w:eastAsia="仿宋" w:cs="仿宋"/>
          <w:sz w:val="32"/>
          <w:szCs w:val="32"/>
        </w:rPr>
        <w:t>反映单位的电费支出。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邮电费：</w:t>
      </w:r>
      <w:r>
        <w:rPr>
          <w:rFonts w:hint="eastAsia" w:ascii="仿宋" w:hAnsi="仿宋" w:eastAsia="仿宋" w:cs="仿宋"/>
          <w:sz w:val="32"/>
          <w:szCs w:val="32"/>
        </w:rPr>
        <w:t>反映单位开支的信函、包裹、货物等物品的邮寄费及电话费、电报费、传真费、网络通讯费等。</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差旅费：</w:t>
      </w:r>
      <w:r>
        <w:rPr>
          <w:rFonts w:hint="eastAsia" w:ascii="仿宋" w:hAnsi="仿宋" w:eastAsia="仿宋" w:cs="仿宋"/>
          <w:sz w:val="32"/>
          <w:szCs w:val="32"/>
        </w:rPr>
        <w:t>反映单位工作人员出差发生的城市间交通费、住宿费、伙食补贴费和市内交通费。</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维修(护)费：</w:t>
      </w:r>
      <w:r>
        <w:rPr>
          <w:rFonts w:hint="eastAsia" w:ascii="仿宋" w:hAnsi="仿宋" w:eastAsia="仿宋" w:cs="仿宋"/>
          <w:sz w:val="32"/>
          <w:szCs w:val="32"/>
        </w:rPr>
        <w:t>反映单位日常开支的固定资产（不包括车船等交通工具）修理和维护费用，网络信息系统运行与维护费用，以及按规定提取的修购基金。</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租赁费：</w:t>
      </w:r>
      <w:r>
        <w:rPr>
          <w:rFonts w:hint="eastAsia" w:ascii="仿宋" w:hAnsi="仿宋" w:eastAsia="仿宋" w:cs="仿宋"/>
          <w:sz w:val="32"/>
          <w:szCs w:val="32"/>
        </w:rPr>
        <w:t>反映租赁办公用房、宿舍、专用通讯网以及其他设备等方面的费用。</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会议费：</w:t>
      </w:r>
      <w:r>
        <w:rPr>
          <w:rFonts w:hint="eastAsia" w:ascii="仿宋" w:hAnsi="仿宋" w:eastAsia="仿宋" w:cs="仿宋"/>
          <w:sz w:val="32"/>
          <w:szCs w:val="32"/>
        </w:rPr>
        <w:t>反映会议中按规定开支的住宿费、伙食费、会议室租金、交通费、文件印刷费、医药费等。</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培训费：</w:t>
      </w:r>
      <w:r>
        <w:rPr>
          <w:rFonts w:hint="eastAsia" w:ascii="仿宋" w:hAnsi="仿宋" w:eastAsia="仿宋" w:cs="仿宋"/>
          <w:sz w:val="32"/>
          <w:szCs w:val="32"/>
        </w:rPr>
        <w:t>反映除因公出国（境）培训费以外的各类培训支出。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公务接待费：</w:t>
      </w:r>
      <w:r>
        <w:rPr>
          <w:rFonts w:hint="eastAsia" w:ascii="仿宋" w:hAnsi="仿宋" w:eastAsia="仿宋" w:cs="仿宋"/>
          <w:sz w:val="32"/>
          <w:szCs w:val="32"/>
        </w:rPr>
        <w:t>反映单位按规定开支的各类公务接待（含外宾接待）费用。</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专用材料费：</w:t>
      </w:r>
      <w:r>
        <w:rPr>
          <w:rFonts w:hint="eastAsia" w:ascii="仿宋" w:hAnsi="仿宋" w:eastAsia="仿宋" w:cs="仿宋"/>
          <w:sz w:val="32"/>
          <w:szCs w:val="32"/>
        </w:rPr>
        <w:t>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被装购置费：</w:t>
      </w:r>
      <w:r>
        <w:rPr>
          <w:rFonts w:hint="eastAsia" w:ascii="仿宋" w:hAnsi="仿宋" w:eastAsia="仿宋" w:cs="仿宋"/>
          <w:sz w:val="32"/>
          <w:szCs w:val="32"/>
        </w:rPr>
        <w:t>反映法院、检察院、政府各部门以及军队（含武警）的被装购置支出。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劳务费：</w:t>
      </w:r>
      <w:r>
        <w:rPr>
          <w:rFonts w:hint="eastAsia" w:ascii="仿宋" w:hAnsi="仿宋" w:eastAsia="仿宋" w:cs="仿宋"/>
          <w:sz w:val="32"/>
          <w:szCs w:val="32"/>
        </w:rPr>
        <w:t>反映支付给单位和个人的劳务费用，如临时聘用人员、钟点工工资，稿费、翻译费，评审费等。</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委托业务费：</w:t>
      </w:r>
      <w:r>
        <w:rPr>
          <w:rFonts w:hint="eastAsia" w:ascii="仿宋" w:hAnsi="仿宋" w:eastAsia="仿宋" w:cs="仿宋"/>
          <w:sz w:val="32"/>
          <w:szCs w:val="32"/>
        </w:rPr>
        <w:t>反映因委托外单位办理业务而支付的委托业务费。</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工会经费：</w:t>
      </w:r>
      <w:r>
        <w:rPr>
          <w:rFonts w:hint="eastAsia" w:ascii="仿宋" w:hAnsi="仿宋" w:eastAsia="仿宋" w:cs="仿宋"/>
          <w:sz w:val="32"/>
          <w:szCs w:val="32"/>
        </w:rPr>
        <w:t>反映单位按规定提取的工会经费。</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福利费：</w:t>
      </w:r>
      <w:r>
        <w:rPr>
          <w:rFonts w:hint="eastAsia" w:ascii="仿宋" w:hAnsi="仿宋" w:eastAsia="仿宋" w:cs="仿宋"/>
          <w:sz w:val="32"/>
          <w:szCs w:val="32"/>
        </w:rPr>
        <w:t>反映单位按规定提取的福利费。</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公务用车运行维护费：</w:t>
      </w:r>
      <w:r>
        <w:rPr>
          <w:rFonts w:hint="eastAsia" w:ascii="仿宋" w:hAnsi="仿宋" w:eastAsia="仿宋" w:cs="仿宋"/>
          <w:sz w:val="32"/>
          <w:szCs w:val="32"/>
        </w:rPr>
        <w:t>反映单位按规定保留的公务用车燃料费、维修费、过桥过路费、保险费、安全奖励费用等支出。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其他交通费用：</w:t>
      </w:r>
      <w:r>
        <w:rPr>
          <w:rFonts w:hint="eastAsia" w:ascii="仿宋" w:hAnsi="仿宋" w:eastAsia="仿宋" w:cs="仿宋"/>
          <w:sz w:val="32"/>
          <w:szCs w:val="32"/>
        </w:rPr>
        <w:t>反映单位除公务用车运行维护费以外的其他交通费用。如公务交通补贴，租车费用、出租车费用，飞机、船舶等的燃料费、维修费、保险费等。</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其他商品和服务支出：</w:t>
      </w:r>
      <w:r>
        <w:rPr>
          <w:rFonts w:hint="eastAsia" w:ascii="仿宋" w:hAnsi="仿宋" w:eastAsia="仿宋" w:cs="仿宋"/>
          <w:sz w:val="32"/>
          <w:szCs w:val="32"/>
        </w:rPr>
        <w:t>反映上述科目未包括的日常公用支出。如行政赔偿费和诉讼费、国内组织的会员费、来访费、广告宣传、其他劳务费及离休人员特需费、公用经费等。</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对个人和家庭的补助：</w:t>
      </w:r>
      <w:r>
        <w:rPr>
          <w:rFonts w:hint="eastAsia" w:ascii="仿宋" w:hAnsi="仿宋" w:eastAsia="仿宋" w:cs="仿宋"/>
          <w:sz w:val="32"/>
          <w:szCs w:val="32"/>
        </w:rPr>
        <w:t>反映政府用于对个人和家庭的补助支出。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生活补助：</w:t>
      </w:r>
      <w:r>
        <w:rPr>
          <w:rFonts w:hint="eastAsia" w:ascii="仿宋" w:hAnsi="仿宋" w:eastAsia="仿宋" w:cs="仿宋"/>
          <w:sz w:val="32"/>
          <w:szCs w:val="32"/>
        </w:rPr>
        <w:t>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医疗费：</w:t>
      </w:r>
      <w:r>
        <w:rPr>
          <w:rFonts w:hint="eastAsia" w:ascii="仿宋" w:hAnsi="仿宋" w:eastAsia="仿宋" w:cs="仿宋"/>
          <w:sz w:val="32"/>
          <w:szCs w:val="32"/>
        </w:rPr>
        <w:t>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其他对个人和家庭的补助支出：</w:t>
      </w:r>
      <w:r>
        <w:rPr>
          <w:rFonts w:hint="eastAsia" w:ascii="仿宋" w:hAnsi="仿宋" w:eastAsia="仿宋" w:cs="仿宋"/>
          <w:sz w:val="32"/>
          <w:szCs w:val="32"/>
        </w:rPr>
        <w:t>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办公设备购置：</w:t>
      </w:r>
      <w:r>
        <w:rPr>
          <w:rFonts w:hint="eastAsia" w:ascii="仿宋" w:hAnsi="仿宋" w:eastAsia="仿宋" w:cs="仿宋"/>
          <w:sz w:val="32"/>
          <w:szCs w:val="32"/>
        </w:rPr>
        <w:t>反映用于购置并按财务会计制度规定纳入固定资产核算范围的办公家具和办公设备的支出，以及按规定提取的修购基金。</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专用设备购置：</w:t>
      </w:r>
      <w:r>
        <w:rPr>
          <w:rFonts w:hint="eastAsia" w:ascii="仿宋" w:hAnsi="仿宋" w:eastAsia="仿宋" w:cs="仿宋"/>
          <w:sz w:val="32"/>
          <w:szCs w:val="32"/>
        </w:rPr>
        <w:t>反映用于购置具有专门用途、并按财务会计制度规定纳入固定资产核算范围的各类专用设备的支出。如通信设备、发电设备、交通监控设备、卫星转发器、气象设备、进出口监管设备等，以及按规定提取的修购基金。</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w:t>
      </w:r>
      <w:r>
        <w:rPr>
          <w:rFonts w:hint="eastAsia" w:ascii="仿宋" w:hAnsi="仿宋" w:eastAsia="仿宋" w:cs="仿宋"/>
          <w:sz w:val="32"/>
          <w:szCs w:val="32"/>
          <w:lang w:eastAsia="zh-CN"/>
        </w:rPr>
        <w:t>。</w:t>
      </w:r>
    </w:p>
    <w:p>
      <w:pPr>
        <w:rPr>
          <w:rFonts w:hint="eastAsia" w:ascii="黑体" w:hAnsi="黑体" w:eastAsia="黑体" w:cs="黑体"/>
          <w:sz w:val="32"/>
          <w:szCs w:val="32"/>
        </w:rPr>
      </w:pPr>
      <w:r>
        <w:rPr>
          <w:rFonts w:hint="eastAsia" w:ascii="黑体" w:hAnsi="黑体" w:eastAsia="黑体" w:cs="黑体"/>
          <w:sz w:val="32"/>
          <w:szCs w:val="32"/>
        </w:rPr>
        <w:t>第五部分 附件</w:t>
      </w:r>
    </w:p>
    <w:p>
      <w:pPr>
        <w:rPr>
          <w:rFonts w:hint="eastAsia" w:ascii="仿宋" w:hAnsi="仿宋" w:eastAsia="仿宋" w:cs="仿宋"/>
          <w:sz w:val="32"/>
          <w:szCs w:val="32"/>
        </w:rPr>
      </w:pPr>
      <w:r>
        <w:rPr>
          <w:rFonts w:hint="eastAsia" w:ascii="仿宋" w:hAnsi="仿宋" w:eastAsia="仿宋" w:cs="仿宋"/>
          <w:sz w:val="32"/>
          <w:szCs w:val="32"/>
        </w:rPr>
        <w:t>附件：2019年度益阳市赫山区交通运输局部门决算公开表格</w:t>
      </w: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EBF3C"/>
    <w:multiLevelType w:val="singleLevel"/>
    <w:tmpl w:val="856EBF3C"/>
    <w:lvl w:ilvl="0" w:tentative="0">
      <w:start w:val="4"/>
      <w:numFmt w:val="chineseCounting"/>
      <w:suff w:val="nothing"/>
      <w:lvlText w:val="(%1）"/>
      <w:lvlJc w:val="left"/>
      <w:pPr>
        <w:ind w:left="808"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D2E0A"/>
    <w:rsid w:val="0AC007CB"/>
    <w:rsid w:val="0C231169"/>
    <w:rsid w:val="18F06768"/>
    <w:rsid w:val="196B1808"/>
    <w:rsid w:val="1DE22D4C"/>
    <w:rsid w:val="261A4C2B"/>
    <w:rsid w:val="2AA00FA5"/>
    <w:rsid w:val="3586277B"/>
    <w:rsid w:val="40DC0AA9"/>
    <w:rsid w:val="43B07F8D"/>
    <w:rsid w:val="4CD50900"/>
    <w:rsid w:val="5BD91F07"/>
    <w:rsid w:val="60C94567"/>
    <w:rsid w:val="65704A79"/>
    <w:rsid w:val="6D383EC8"/>
    <w:rsid w:val="705A54C8"/>
    <w:rsid w:val="74DD40C0"/>
    <w:rsid w:val="76841D93"/>
    <w:rsid w:val="7BA6709B"/>
    <w:rsid w:val="7BDA587B"/>
    <w:rsid w:val="7C3B522C"/>
    <w:rsid w:val="7EA3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2020-08-13T09:40:00Z</dcterms:created>
  <dc:creator>Administrator</dc:creator>
  <cp:lastModifiedBy>龚叶群</cp:lastModifiedBy>
  <dcterms:modified xsi:type="dcterms:W3CDTF">2020-08-19T08:00:49Z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