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color w:val="auto"/>
          <w:sz w:val="32"/>
          <w:szCs w:val="32"/>
        </w:rPr>
      </w:pPr>
      <w:r>
        <w:rPr>
          <w:rFonts w:hint="eastAsia" w:ascii="黑体" w:eastAsia="黑体" w:cs="黑体"/>
          <w:color w:val="auto"/>
          <w:sz w:val="32"/>
          <w:szCs w:val="32"/>
        </w:rPr>
        <w:t>附件</w:t>
      </w:r>
      <w:r>
        <w:rPr>
          <w:rFonts w:ascii="黑体" w:eastAsia="黑体" w:cs="黑体"/>
          <w:color w:val="auto"/>
          <w:sz w:val="32"/>
          <w:szCs w:val="32"/>
        </w:rPr>
        <w:t>4</w:t>
      </w:r>
      <w:r>
        <w:rPr>
          <w:rFonts w:hint="eastAsia" w:ascii="黑体" w:eastAsia="黑体" w:cs="黑体"/>
          <w:color w:val="auto"/>
          <w:sz w:val="32"/>
          <w:szCs w:val="32"/>
        </w:rPr>
        <w:t>：</w:t>
      </w:r>
    </w:p>
    <w:p>
      <w:pPr>
        <w:widowControl/>
        <w:spacing w:line="480" w:lineRule="exact"/>
        <w:jc w:val="center"/>
        <w:rPr>
          <w:rFonts w:ascii="方正小标宋简体" w:hAnsi="宋体" w:eastAsia="方正小标宋简体" w:cs="方正小标宋简体"/>
          <w:color w:val="auto"/>
          <w:kern w:val="0"/>
          <w:sz w:val="44"/>
          <w:szCs w:val="44"/>
        </w:rPr>
      </w:pPr>
    </w:p>
    <w:p>
      <w:pPr>
        <w:widowControl/>
        <w:spacing w:line="480" w:lineRule="exact"/>
        <w:jc w:val="center"/>
        <w:rPr>
          <w:rFonts w:hint="eastAsia" w:ascii="方正小标宋简体" w:hAnsi="宋体" w:eastAsia="方正小标宋简体" w:cs="方正小标宋简体"/>
          <w:color w:val="auto"/>
          <w:kern w:val="0"/>
          <w:sz w:val="44"/>
          <w:szCs w:val="44"/>
        </w:rPr>
      </w:pPr>
      <w:r>
        <w:rPr>
          <w:rFonts w:ascii="方正小标宋简体" w:hAnsi="宋体" w:eastAsia="方正小标宋简体" w:cs="方正小标宋简体"/>
          <w:color w:val="auto"/>
          <w:kern w:val="0"/>
          <w:sz w:val="44"/>
          <w:szCs w:val="44"/>
        </w:rPr>
        <w:t>2019</w:t>
      </w:r>
      <w:r>
        <w:rPr>
          <w:rFonts w:hint="eastAsia" w:ascii="方正小标宋简体" w:hAnsi="宋体" w:eastAsia="方正小标宋简体" w:cs="方正小标宋简体"/>
          <w:color w:val="auto"/>
          <w:kern w:val="0"/>
          <w:sz w:val="44"/>
          <w:szCs w:val="44"/>
        </w:rPr>
        <w:t>年项目支出绩效自评指标计分表</w:t>
      </w:r>
    </w:p>
    <w:p>
      <w:pPr>
        <w:widowControl/>
        <w:spacing w:line="480" w:lineRule="exact"/>
        <w:jc w:val="center"/>
        <w:rPr>
          <w:rFonts w:hint="eastAsia" w:ascii="方正小标宋简体" w:hAnsi="宋体" w:eastAsia="方正小标宋简体" w:cs="方正小标宋简体"/>
          <w:color w:val="auto"/>
          <w:kern w:val="0"/>
          <w:sz w:val="28"/>
          <w:szCs w:val="28"/>
          <w:lang w:val="en-US" w:eastAsia="zh-CN"/>
        </w:rPr>
      </w:pPr>
      <w:r>
        <w:rPr>
          <w:rFonts w:hint="eastAsia" w:ascii="方正小标宋简体" w:hAnsi="宋体" w:eastAsia="方正小标宋简体" w:cs="方正小标宋简体"/>
          <w:color w:val="auto"/>
          <w:kern w:val="0"/>
          <w:sz w:val="28"/>
          <w:szCs w:val="28"/>
          <w:lang w:val="en-US" w:eastAsia="zh-CN"/>
        </w:rPr>
        <w:t xml:space="preserve">                               --发改局乡村振兴项目绩效自评</w:t>
      </w:r>
    </w:p>
    <w:p>
      <w:pPr>
        <w:spacing w:line="80" w:lineRule="exact"/>
        <w:rPr>
          <w:rFonts w:ascii="黑体" w:eastAsia="黑体"/>
          <w:color w:val="auto"/>
        </w:rPr>
      </w:pPr>
    </w:p>
    <w:tbl>
      <w:tblPr>
        <w:tblStyle w:val="6"/>
        <w:tblW w:w="885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811"/>
        <w:gridCol w:w="1065"/>
        <w:gridCol w:w="639"/>
        <w:gridCol w:w="276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blHeader/>
        </w:trPr>
        <w:tc>
          <w:tcPr>
            <w:tcW w:w="639"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一级指标</w:t>
            </w:r>
          </w:p>
        </w:tc>
        <w:tc>
          <w:tcPr>
            <w:tcW w:w="811"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二级</w:t>
            </w:r>
          </w:p>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指标</w:t>
            </w:r>
          </w:p>
        </w:tc>
        <w:tc>
          <w:tcPr>
            <w:tcW w:w="1065"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三级</w:t>
            </w:r>
          </w:p>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指标</w:t>
            </w:r>
          </w:p>
        </w:tc>
        <w:tc>
          <w:tcPr>
            <w:tcW w:w="639"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自评分</w:t>
            </w:r>
          </w:p>
        </w:tc>
        <w:tc>
          <w:tcPr>
            <w:tcW w:w="2769"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具体指标</w:t>
            </w:r>
          </w:p>
        </w:tc>
        <w:tc>
          <w:tcPr>
            <w:tcW w:w="2928" w:type="dxa"/>
            <w:vAlign w:val="center"/>
          </w:tcPr>
          <w:p>
            <w:pPr>
              <w:widowControl/>
              <w:spacing w:line="260" w:lineRule="exact"/>
              <w:jc w:val="center"/>
              <w:rPr>
                <w:rFonts w:ascii="宋体"/>
                <w:b/>
                <w:bCs/>
                <w:color w:val="auto"/>
                <w:kern w:val="0"/>
                <w:sz w:val="20"/>
                <w:szCs w:val="20"/>
              </w:rPr>
            </w:pPr>
            <w:r>
              <w:rPr>
                <w:rFonts w:hint="eastAsia" w:ascii="宋体" w:hAnsi="宋体" w:cs="宋体"/>
                <w:b/>
                <w:bCs/>
                <w:color w:val="auto"/>
                <w:kern w:val="0"/>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w:t>
            </w:r>
            <w:r>
              <w:rPr>
                <w:rFonts w:ascii="宋体" w:hAnsi="宋体" w:cs="宋体"/>
                <w:color w:val="auto"/>
                <w:kern w:val="0"/>
                <w:sz w:val="20"/>
                <w:szCs w:val="20"/>
              </w:rPr>
              <w:t>20</w:t>
            </w:r>
            <w:r>
              <w:rPr>
                <w:rFonts w:hint="eastAsia" w:ascii="宋体" w:hAnsi="宋体" w:cs="宋体"/>
                <w:color w:val="auto"/>
                <w:kern w:val="0"/>
                <w:sz w:val="20"/>
                <w:szCs w:val="20"/>
              </w:rPr>
              <w:t>分）</w:t>
            </w:r>
          </w:p>
        </w:tc>
        <w:tc>
          <w:tcPr>
            <w:tcW w:w="811"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目标（</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目标</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内容（</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4</w:t>
            </w:r>
          </w:p>
        </w:tc>
        <w:tc>
          <w:tcPr>
            <w:tcW w:w="2769" w:type="dxa"/>
            <w:vAlign w:val="center"/>
          </w:tcPr>
          <w:p>
            <w:pPr>
              <w:spacing w:line="260" w:lineRule="exact"/>
              <w:jc w:val="left"/>
              <w:rPr>
                <w:rFonts w:ascii="宋体"/>
                <w:color w:val="auto"/>
                <w:kern w:val="0"/>
                <w:sz w:val="20"/>
                <w:szCs w:val="20"/>
              </w:rPr>
            </w:pPr>
            <w:r>
              <w:rPr>
                <w:rFonts w:hint="eastAsia" w:ascii="宋体" w:hAnsi="宋体" w:cs="宋体"/>
                <w:color w:val="auto"/>
                <w:kern w:val="0"/>
                <w:sz w:val="20"/>
                <w:szCs w:val="20"/>
              </w:rPr>
              <w:t>设立了项目绩效目标；目标明确；目标细化；目标量化</w:t>
            </w:r>
          </w:p>
        </w:tc>
        <w:tc>
          <w:tcPr>
            <w:tcW w:w="2928" w:type="dxa"/>
            <w:vAlign w:val="center"/>
          </w:tcPr>
          <w:p>
            <w:pPr>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设有目标（</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目标明确（</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目标细化（</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spacing w:line="260" w:lineRule="exact"/>
              <w:jc w:val="left"/>
              <w:rPr>
                <w:rFonts w:ascii="宋体"/>
                <w:color w:val="auto"/>
                <w:kern w:val="0"/>
                <w:sz w:val="20"/>
                <w:szCs w:val="20"/>
              </w:rPr>
            </w:pPr>
            <w:r>
              <w:rPr>
                <w:rFonts w:hint="eastAsia" w:ascii="宋体" w:hAnsi="宋体" w:cs="宋体"/>
                <w:color w:val="auto"/>
                <w:kern w:val="0"/>
                <w:sz w:val="20"/>
                <w:szCs w:val="20"/>
              </w:rPr>
              <w:t>目标量化（</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决策过程（</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依据（</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4</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有关法律法规的明确规定；某一经济社会发展规划；某部门年度工作计划；某一实际问题和需求</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符合法律法规（</w:t>
            </w:r>
            <w:r>
              <w:rPr>
                <w:rFonts w:ascii="宋体" w:hAnsi="宋体" w:cs="宋体"/>
                <w:color w:val="auto"/>
                <w:kern w:val="0"/>
                <w:sz w:val="20"/>
                <w:szCs w:val="20"/>
              </w:rPr>
              <w:t>1</w:t>
            </w:r>
            <w:r>
              <w:rPr>
                <w:rFonts w:hint="eastAsia" w:ascii="宋体" w:hAnsi="宋体" w:cs="宋体"/>
                <w:color w:val="auto"/>
                <w:kern w:val="0"/>
                <w:sz w:val="20"/>
                <w:szCs w:val="20"/>
              </w:rPr>
              <w:t>分）符合经济社会发展规划（</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部门年度工作计划（</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针对某一实际问题和需求（</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决策</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程序（</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4</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项目符合申报条件；申报、批复程序符合相关管理办法；项目调整履行了相应手续</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符合申报条件（</w:t>
            </w:r>
            <w:r>
              <w:rPr>
                <w:rFonts w:ascii="宋体" w:hAnsi="宋体" w:cs="宋体"/>
                <w:color w:val="auto"/>
                <w:kern w:val="0"/>
                <w:sz w:val="20"/>
                <w:szCs w:val="20"/>
              </w:rPr>
              <w:t>2</w:t>
            </w:r>
            <w:r>
              <w:rPr>
                <w:rFonts w:hint="eastAsia" w:ascii="宋体" w:hAnsi="宋体" w:cs="宋体"/>
                <w:color w:val="auto"/>
                <w:kern w:val="0"/>
                <w:sz w:val="20"/>
                <w:szCs w:val="20"/>
              </w:rPr>
              <w:t>分）项目申报、批复程序符合管理办法（</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项目调整履行了相应手续（</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资金分配（</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分配</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办法（</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根据需要制定的相关资金管理办法；管理办法中有明确资金分配办法；资金分配因素全面、合理</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有相应的资金管理办法（</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办法健全、规范（</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因素全面合理（</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分配</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结果（</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5</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资金分配符合相关管理办法；分配结果公平合理</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符合分配办法（</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分配公平合理（</w:t>
            </w:r>
            <w:r>
              <w:rPr>
                <w:rFonts w:ascii="宋体" w:hAnsi="宋体" w:cs="宋体"/>
                <w:color w:val="auto"/>
                <w:kern w:val="0"/>
                <w:sz w:val="20"/>
                <w:szCs w:val="20"/>
              </w:rPr>
              <w:t>3</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管理</w:t>
            </w:r>
            <w:r>
              <w:rPr>
                <w:rFonts w:ascii="宋体" w:hAnsi="宋体" w:cs="宋体"/>
                <w:color w:val="auto"/>
                <w:kern w:val="0"/>
                <w:sz w:val="20"/>
                <w:szCs w:val="20"/>
              </w:rPr>
              <w:t xml:space="preserve"> </w:t>
            </w:r>
            <w:r>
              <w:rPr>
                <w:rFonts w:hint="eastAsia" w:ascii="宋体" w:hAnsi="宋体" w:cs="宋体"/>
                <w:color w:val="auto"/>
                <w:kern w:val="0"/>
                <w:sz w:val="20"/>
                <w:szCs w:val="20"/>
              </w:rPr>
              <w:t>（</w:t>
            </w:r>
            <w:r>
              <w:rPr>
                <w:rFonts w:ascii="宋体" w:hAnsi="宋体" w:cs="宋体"/>
                <w:color w:val="auto"/>
                <w:kern w:val="0"/>
                <w:sz w:val="20"/>
                <w:szCs w:val="20"/>
              </w:rPr>
              <w:t>25</w:t>
            </w:r>
            <w:r>
              <w:rPr>
                <w:rFonts w:hint="eastAsia" w:ascii="宋体" w:hAnsi="宋体" w:cs="宋体"/>
                <w:color w:val="auto"/>
                <w:kern w:val="0"/>
                <w:sz w:val="20"/>
                <w:szCs w:val="20"/>
              </w:rPr>
              <w:t>分）</w:t>
            </w: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资金到位（</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到位率（</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实际到位</w:t>
            </w:r>
            <w:r>
              <w:rPr>
                <w:rFonts w:ascii="宋体" w:hAnsi="宋体" w:cs="宋体"/>
                <w:color w:val="auto"/>
                <w:kern w:val="0"/>
                <w:sz w:val="20"/>
                <w:szCs w:val="20"/>
              </w:rPr>
              <w:t>/</w:t>
            </w:r>
            <w:r>
              <w:rPr>
                <w:rFonts w:hint="eastAsia" w:ascii="宋体" w:hAnsi="宋体" w:cs="宋体"/>
                <w:color w:val="auto"/>
                <w:kern w:val="0"/>
                <w:sz w:val="20"/>
                <w:szCs w:val="20"/>
              </w:rPr>
              <w:t>计划到位</w:t>
            </w:r>
            <w:r>
              <w:rPr>
                <w:rFonts w:ascii="宋体" w:hAnsi="宋体" w:cs="宋体"/>
                <w:color w:val="auto"/>
                <w:kern w:val="0"/>
                <w:sz w:val="20"/>
                <w:szCs w:val="20"/>
              </w:rPr>
              <w:t>*100%</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到位</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时效（</w:t>
            </w:r>
            <w:r>
              <w:rPr>
                <w:rFonts w:ascii="宋体" w:hAnsi="宋体" w:cs="宋体"/>
                <w:color w:val="auto"/>
                <w:kern w:val="0"/>
                <w:sz w:val="20"/>
                <w:szCs w:val="20"/>
              </w:rPr>
              <w:t>2</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2</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资金及时到位；若未及时到位，是否影响项目进度</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到位及时（</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不及时但未影响项目进度</w:t>
            </w:r>
            <w:r>
              <w:rPr>
                <w:rFonts w:ascii="宋体" w:hAnsi="宋体" w:cs="宋体"/>
                <w:color w:val="auto"/>
                <w:kern w:val="0"/>
                <w:sz w:val="20"/>
                <w:szCs w:val="20"/>
              </w:rPr>
              <w:t xml:space="preserve"> </w:t>
            </w:r>
            <w:r>
              <w:rPr>
                <w:rFonts w:hint="eastAsia" w:ascii="宋体" w:hAnsi="宋体" w:cs="宋体"/>
                <w:color w:val="auto"/>
                <w:kern w:val="0"/>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不及时并影响项目进度（</w:t>
            </w:r>
            <w:r>
              <w:rPr>
                <w:rFonts w:ascii="宋体" w:hAnsi="宋体" w:cs="宋体"/>
                <w:color w:val="auto"/>
                <w:kern w:val="0"/>
                <w:sz w:val="20"/>
                <w:szCs w:val="20"/>
              </w:rPr>
              <w:t>0.5</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资金管理（</w:t>
            </w:r>
            <w:r>
              <w:rPr>
                <w:rFonts w:ascii="宋体" w:hAnsi="宋体" w:cs="宋体"/>
                <w:color w:val="auto"/>
                <w:kern w:val="0"/>
                <w:sz w:val="20"/>
                <w:szCs w:val="20"/>
              </w:rPr>
              <w:t>10</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资金</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使用（</w:t>
            </w:r>
            <w:r>
              <w:rPr>
                <w:rFonts w:ascii="宋体" w:hAnsi="宋体" w:cs="宋体"/>
                <w:color w:val="auto"/>
                <w:kern w:val="0"/>
                <w:sz w:val="20"/>
                <w:szCs w:val="20"/>
              </w:rPr>
              <w:t>7</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支出依据合规，无虚列项目支出情况；无截留挤占挪用情况；无超标准开支情况；无超预算情况</w:t>
            </w:r>
          </w:p>
        </w:tc>
        <w:tc>
          <w:tcPr>
            <w:tcW w:w="2928" w:type="dxa"/>
            <w:vAlign w:val="center"/>
          </w:tcPr>
          <w:p>
            <w:pPr>
              <w:widowControl/>
              <w:spacing w:line="260" w:lineRule="exact"/>
              <w:jc w:val="left"/>
              <w:rPr>
                <w:rFonts w:ascii="宋体" w:hAnsi="宋体" w:cs="宋体"/>
                <w:color w:val="auto"/>
                <w:kern w:val="0"/>
                <w:sz w:val="20"/>
                <w:szCs w:val="20"/>
              </w:rPr>
            </w:pPr>
            <w:r>
              <w:rPr>
                <w:rFonts w:hint="eastAsia" w:ascii="宋体" w:hAnsi="宋体" w:cs="宋体"/>
                <w:color w:val="auto"/>
                <w:kern w:val="0"/>
                <w:sz w:val="20"/>
                <w:szCs w:val="20"/>
              </w:rPr>
              <w:t>虚列套取扣</w:t>
            </w:r>
            <w:r>
              <w:rPr>
                <w:rFonts w:ascii="宋体" w:hAnsi="宋体" w:cs="宋体"/>
                <w:color w:val="auto"/>
                <w:kern w:val="0"/>
                <w:sz w:val="20"/>
                <w:szCs w:val="20"/>
              </w:rPr>
              <w:t>4-7</w:t>
            </w:r>
            <w:r>
              <w:rPr>
                <w:rFonts w:hint="eastAsia" w:ascii="宋体" w:hAnsi="宋体" w:cs="宋体"/>
                <w:color w:val="auto"/>
                <w:kern w:val="0"/>
                <w:sz w:val="20"/>
                <w:szCs w:val="20"/>
              </w:rPr>
              <w:t>分</w:t>
            </w:r>
            <w:r>
              <w:rPr>
                <w:rFonts w:ascii="宋体" w:hAnsi="宋体" w:cs="宋体"/>
                <w:color w:val="auto"/>
                <w:kern w:val="0"/>
                <w:sz w:val="20"/>
                <w:szCs w:val="20"/>
              </w:rPr>
              <w:t xml:space="preserve"> </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依据不合规扣</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截留、挤占、挪用</w:t>
            </w:r>
            <w:r>
              <w:rPr>
                <w:rFonts w:ascii="宋体" w:hAnsi="宋体" w:cs="宋体"/>
                <w:color w:val="auto"/>
                <w:kern w:val="0"/>
                <w:sz w:val="20"/>
                <w:szCs w:val="20"/>
              </w:rPr>
              <w:t xml:space="preserve">    </w:t>
            </w:r>
            <w:r>
              <w:rPr>
                <w:rFonts w:hint="eastAsia" w:ascii="宋体" w:hAnsi="宋体" w:cs="宋体"/>
                <w:color w:val="auto"/>
                <w:kern w:val="0"/>
                <w:sz w:val="20"/>
                <w:szCs w:val="20"/>
              </w:rPr>
              <w:t>扣</w:t>
            </w:r>
            <w:r>
              <w:rPr>
                <w:rFonts w:ascii="宋体" w:hAnsi="宋体" w:cs="宋体"/>
                <w:color w:val="auto"/>
                <w:kern w:val="0"/>
                <w:sz w:val="20"/>
                <w:szCs w:val="20"/>
              </w:rPr>
              <w:t>3-6</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超标准开支扣</w:t>
            </w:r>
            <w:r>
              <w:rPr>
                <w:rFonts w:ascii="宋体" w:hAnsi="宋体" w:cs="宋体"/>
                <w:color w:val="auto"/>
                <w:kern w:val="0"/>
                <w:sz w:val="20"/>
                <w:szCs w:val="20"/>
              </w:rPr>
              <w:t>2-5</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超预算扣</w:t>
            </w:r>
            <w:r>
              <w:rPr>
                <w:rFonts w:ascii="宋体" w:hAnsi="宋体" w:cs="宋体"/>
                <w:color w:val="auto"/>
                <w:kern w:val="0"/>
                <w:sz w:val="20"/>
                <w:szCs w:val="20"/>
              </w:rPr>
              <w:t>2-5</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财务</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管理（</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资金管理、费用支出等制度健全；制度执行严格；会计核算规范</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财务制度健全（</w:t>
            </w:r>
            <w:r>
              <w:rPr>
                <w:rFonts w:ascii="宋体" w:hAnsi="宋体" w:cs="宋体"/>
                <w:color w:val="auto"/>
                <w:kern w:val="0"/>
                <w:sz w:val="20"/>
                <w:szCs w:val="20"/>
              </w:rPr>
              <w:t>1</w:t>
            </w:r>
            <w:r>
              <w:rPr>
                <w:rFonts w:hint="eastAsia" w:ascii="宋体" w:hAnsi="宋体" w:cs="宋体"/>
                <w:color w:val="auto"/>
                <w:kern w:val="0"/>
                <w:sz w:val="20"/>
                <w:szCs w:val="20"/>
              </w:rPr>
              <w:t>分）严格执行制度（</w:t>
            </w:r>
            <w:r>
              <w:rPr>
                <w:rFonts w:ascii="宋体" w:hAnsi="宋体" w:cs="宋体"/>
                <w:color w:val="auto"/>
                <w:kern w:val="0"/>
                <w:sz w:val="20"/>
                <w:szCs w:val="20"/>
              </w:rPr>
              <w:t>1</w:t>
            </w:r>
            <w:r>
              <w:rPr>
                <w:rFonts w:hint="eastAsia" w:ascii="宋体" w:hAnsi="宋体" w:cs="宋体"/>
                <w:color w:val="auto"/>
                <w:kern w:val="0"/>
                <w:sz w:val="20"/>
                <w:szCs w:val="20"/>
              </w:rPr>
              <w:t>分）会计核算规范（</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组织</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实施（</w:t>
            </w:r>
            <w:r>
              <w:rPr>
                <w:rFonts w:ascii="宋体" w:hAnsi="宋体" w:cs="宋体"/>
                <w:color w:val="auto"/>
                <w:kern w:val="0"/>
                <w:sz w:val="20"/>
                <w:szCs w:val="20"/>
              </w:rPr>
              <w:t>10</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组织</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机构（</w:t>
            </w:r>
            <w:r>
              <w:rPr>
                <w:rFonts w:ascii="宋体" w:hAnsi="宋体" w:cs="宋体"/>
                <w:color w:val="auto"/>
                <w:kern w:val="0"/>
                <w:sz w:val="20"/>
                <w:szCs w:val="20"/>
              </w:rPr>
              <w:t>1</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1</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机构健全、分工明确</w:t>
            </w:r>
          </w:p>
        </w:tc>
        <w:tc>
          <w:tcPr>
            <w:tcW w:w="2928" w:type="dxa"/>
            <w:vAlign w:val="center"/>
          </w:tcPr>
          <w:p>
            <w:pPr>
              <w:widowControl/>
              <w:spacing w:line="260" w:lineRule="exact"/>
              <w:ind w:left="200" w:hanging="200" w:hangingChars="100"/>
              <w:jc w:val="left"/>
              <w:rPr>
                <w:rFonts w:ascii="宋体"/>
                <w:color w:val="auto"/>
                <w:kern w:val="0"/>
                <w:sz w:val="20"/>
                <w:szCs w:val="20"/>
              </w:rPr>
            </w:pPr>
            <w:r>
              <w:rPr>
                <w:rFonts w:hint="eastAsia" w:ascii="宋体" w:hAnsi="宋体" w:cs="宋体"/>
                <w:color w:val="auto"/>
                <w:kern w:val="0"/>
                <w:sz w:val="20"/>
                <w:szCs w:val="20"/>
              </w:rPr>
              <w:t>机构健全、分工明确</w:t>
            </w:r>
            <w:r>
              <w:rPr>
                <w:rFonts w:ascii="宋体" w:hAnsi="宋体" w:cs="宋体"/>
                <w:color w:val="auto"/>
                <w:kern w:val="0"/>
                <w:sz w:val="20"/>
                <w:szCs w:val="20"/>
              </w:rPr>
              <w:t xml:space="preserve">  </w:t>
            </w:r>
            <w:r>
              <w:rPr>
                <w:rFonts w:hint="eastAsia" w:ascii="宋体" w:hAnsi="宋体" w:cs="宋体"/>
                <w:color w:val="auto"/>
                <w:kern w:val="0"/>
                <w:sz w:val="20"/>
                <w:szCs w:val="20"/>
              </w:rPr>
              <w:t>（</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实施（</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项目按计划开工；按计划进度开展；按计划完工</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按计划开工（</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r>
              <w:rPr>
                <w:rFonts w:hint="eastAsia" w:ascii="宋体" w:hAnsi="宋体" w:cs="宋体"/>
                <w:color w:val="auto"/>
                <w:kern w:val="0"/>
                <w:sz w:val="20"/>
                <w:szCs w:val="20"/>
              </w:rPr>
              <w:t>按计划开展（</w:t>
            </w:r>
            <w:r>
              <w:rPr>
                <w:rFonts w:ascii="宋体" w:hAnsi="宋体" w:cs="宋体"/>
                <w:color w:val="auto"/>
                <w:kern w:val="0"/>
                <w:sz w:val="20"/>
                <w:szCs w:val="20"/>
              </w:rPr>
              <w:t>1</w:t>
            </w:r>
            <w:r>
              <w:rPr>
                <w:rFonts w:hint="eastAsia" w:ascii="宋体" w:hAnsi="宋体" w:cs="宋体"/>
                <w:color w:val="auto"/>
                <w:kern w:val="0"/>
                <w:sz w:val="20"/>
                <w:szCs w:val="20"/>
              </w:rPr>
              <w:t>分）</w:t>
            </w:r>
            <w:r>
              <w:rPr>
                <w:rFonts w:ascii="宋体" w:hAnsi="宋体" w:cs="宋体"/>
                <w:color w:val="auto"/>
                <w:kern w:val="0"/>
                <w:sz w:val="20"/>
                <w:szCs w:val="20"/>
              </w:rPr>
              <w:t xml:space="preserve">   </w:t>
            </w:r>
            <w:r>
              <w:rPr>
                <w:rFonts w:hint="eastAsia" w:ascii="宋体" w:hAnsi="宋体" w:cs="宋体"/>
                <w:color w:val="auto"/>
                <w:kern w:val="0"/>
                <w:sz w:val="20"/>
                <w:szCs w:val="20"/>
              </w:rPr>
              <w:t>按计划完工（</w:t>
            </w:r>
            <w:r>
              <w:rPr>
                <w:rFonts w:ascii="宋体" w:hAnsi="宋体" w:cs="宋体"/>
                <w:color w:val="auto"/>
                <w:kern w:val="0"/>
                <w:sz w:val="20"/>
                <w:szCs w:val="20"/>
              </w:rPr>
              <w:t>1</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管理</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制度（</w:t>
            </w:r>
            <w:r>
              <w:rPr>
                <w:rFonts w:ascii="宋体" w:hAnsi="宋体" w:cs="宋体"/>
                <w:color w:val="auto"/>
                <w:kern w:val="0"/>
                <w:sz w:val="20"/>
                <w:szCs w:val="20"/>
              </w:rPr>
              <w:t>6</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6</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项目管理制度健全；严格执行相关管理制度</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管理制度健全（</w:t>
            </w:r>
            <w:r>
              <w:rPr>
                <w:rFonts w:ascii="宋体" w:hAnsi="宋体" w:cs="宋体"/>
                <w:color w:val="auto"/>
                <w:kern w:val="0"/>
                <w:sz w:val="20"/>
                <w:szCs w:val="20"/>
              </w:rPr>
              <w:t>2</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制度执行严格（</w:t>
            </w:r>
            <w:r>
              <w:rPr>
                <w:rFonts w:ascii="宋体" w:hAnsi="宋体" w:cs="宋体"/>
                <w:color w:val="auto"/>
                <w:kern w:val="0"/>
                <w:sz w:val="20"/>
                <w:szCs w:val="20"/>
              </w:rPr>
              <w:t>4</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绩效（</w:t>
            </w:r>
            <w:r>
              <w:rPr>
                <w:rFonts w:ascii="宋体" w:hAnsi="宋体" w:cs="宋体"/>
                <w:color w:val="auto"/>
                <w:kern w:val="0"/>
                <w:sz w:val="20"/>
                <w:szCs w:val="20"/>
              </w:rPr>
              <w:t>55</w:t>
            </w:r>
            <w:r>
              <w:rPr>
                <w:rFonts w:hint="eastAsia" w:ascii="宋体" w:hAnsi="宋体" w:cs="宋体"/>
                <w:color w:val="auto"/>
                <w:kern w:val="0"/>
                <w:sz w:val="20"/>
                <w:szCs w:val="20"/>
              </w:rPr>
              <w:t>分）</w:t>
            </w:r>
          </w:p>
        </w:tc>
        <w:tc>
          <w:tcPr>
            <w:tcW w:w="811" w:type="dxa"/>
            <w:vMerge w:val="restart"/>
            <w:vAlign w:val="center"/>
          </w:tcPr>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r>
              <w:rPr>
                <w:rFonts w:ascii="宋体" w:hAnsi="宋体" w:cs="宋体"/>
                <w:color w:val="auto"/>
                <w:kern w:val="0"/>
                <w:sz w:val="20"/>
                <w:szCs w:val="20"/>
              </w:rPr>
              <w:t>15</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数量（</w:t>
            </w:r>
            <w:r>
              <w:rPr>
                <w:rFonts w:ascii="宋体" w:hAnsi="宋体" w:cs="宋体"/>
                <w:color w:val="auto"/>
                <w:kern w:val="0"/>
                <w:sz w:val="20"/>
                <w:szCs w:val="20"/>
              </w:rPr>
              <w:t>5</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5</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根据该项目实际，标识具体明确的产出数量</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对照绩效目标，按实际产出数量率计算得分（</w:t>
            </w:r>
            <w:r>
              <w:rPr>
                <w:rFonts w:ascii="宋体" w:hAnsi="宋体" w:cs="宋体"/>
                <w:color w:val="auto"/>
                <w:kern w:val="0"/>
                <w:sz w:val="20"/>
                <w:szCs w:val="20"/>
              </w:rPr>
              <w:t>5</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质量（</w:t>
            </w:r>
            <w:r>
              <w:rPr>
                <w:rFonts w:ascii="宋体" w:hAnsi="宋体" w:cs="宋体"/>
                <w:color w:val="auto"/>
                <w:kern w:val="0"/>
                <w:sz w:val="20"/>
                <w:szCs w:val="20"/>
              </w:rPr>
              <w:t>4</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4</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根据该项目实际，标识具体明确的产出质量</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对照绩效目标，按实际产出质量率计算得分（</w:t>
            </w:r>
            <w:r>
              <w:rPr>
                <w:rFonts w:ascii="宋体" w:hAnsi="宋体" w:cs="宋体"/>
                <w:color w:val="auto"/>
                <w:kern w:val="0"/>
                <w:sz w:val="20"/>
                <w:szCs w:val="20"/>
              </w:rPr>
              <w:t>4</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时效（</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根据该项目实际，标识具体明确的产出时效</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对照绩效目标，按实际产出时效率计算得分（</w:t>
            </w:r>
            <w:r>
              <w:rPr>
                <w:rFonts w:ascii="宋体" w:hAnsi="宋体" w:cs="宋体"/>
                <w:color w:val="auto"/>
                <w:kern w:val="0"/>
                <w:sz w:val="20"/>
                <w:szCs w:val="20"/>
              </w:rPr>
              <w:t>3</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产出</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成本（</w:t>
            </w:r>
            <w:r>
              <w:rPr>
                <w:rFonts w:ascii="宋体" w:hAnsi="宋体" w:cs="宋体"/>
                <w:color w:val="auto"/>
                <w:kern w:val="0"/>
                <w:sz w:val="20"/>
                <w:szCs w:val="20"/>
              </w:rPr>
              <w:t>3</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3</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根据该项目实际，标识具体明确的产出成本</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对照绩效目标，按实际产出成本率计算得分（</w:t>
            </w:r>
            <w:r>
              <w:rPr>
                <w:rFonts w:ascii="宋体" w:hAnsi="宋体" w:cs="宋体"/>
                <w:color w:val="auto"/>
                <w:kern w:val="0"/>
                <w:sz w:val="20"/>
                <w:szCs w:val="20"/>
              </w:rPr>
              <w:t>3</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restart"/>
            <w:vAlign w:val="center"/>
          </w:tcPr>
          <w:p>
            <w:pPr>
              <w:widowControl/>
              <w:spacing w:line="260" w:lineRule="exact"/>
              <w:rPr>
                <w:rFonts w:ascii="宋体"/>
                <w:color w:val="auto"/>
                <w:kern w:val="0"/>
                <w:sz w:val="20"/>
                <w:szCs w:val="20"/>
              </w:rPr>
            </w:pP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项目</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效果（</w:t>
            </w:r>
            <w:r>
              <w:rPr>
                <w:rFonts w:ascii="宋体" w:hAnsi="宋体" w:cs="宋体"/>
                <w:color w:val="auto"/>
                <w:kern w:val="0"/>
                <w:sz w:val="20"/>
                <w:szCs w:val="20"/>
              </w:rPr>
              <w:t>40</w:t>
            </w:r>
            <w:r>
              <w:rPr>
                <w:rFonts w:hint="eastAsia" w:ascii="宋体" w:hAnsi="宋体" w:cs="宋体"/>
                <w:color w:val="auto"/>
                <w:kern w:val="0"/>
                <w:sz w:val="20"/>
                <w:szCs w:val="20"/>
              </w:rPr>
              <w:t>分）</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经济</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效益（</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根据项目实际，标识所产生的直接或间接的经济效益</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对照绩效目标，按经济效益实现程度计算得分（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社会</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效益（</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根据项目实际，标识所产生的社会效益</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对照绩效目标，按社会效益实现程度计算得分（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环境</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效益（</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根据项目实际，标识对环境所产生的积极或消极影响</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对照绩效目标，按对环境所产生的实际影响程度计算得分（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可持续影响（</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项目产出能持续运用；项目运行所依赖的政策制度能持续执行</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项目产出能持续运用（</w:t>
            </w:r>
            <w:r>
              <w:rPr>
                <w:rFonts w:ascii="宋体" w:hAnsi="宋体" w:cs="宋体"/>
                <w:color w:val="auto"/>
                <w:kern w:val="0"/>
                <w:sz w:val="20"/>
                <w:szCs w:val="20"/>
              </w:rPr>
              <w:t>4</w:t>
            </w:r>
            <w:r>
              <w:rPr>
                <w:rFonts w:hint="eastAsia" w:ascii="宋体" w:hAnsi="宋体" w:cs="宋体"/>
                <w:color w:val="auto"/>
                <w:kern w:val="0"/>
                <w:sz w:val="20"/>
                <w:szCs w:val="20"/>
              </w:rPr>
              <w:t>分）</w:t>
            </w:r>
          </w:p>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所依赖的政策制度能持续执行（</w:t>
            </w:r>
            <w:r>
              <w:rPr>
                <w:rFonts w:ascii="宋体" w:hAnsi="宋体" w:cs="宋体"/>
                <w:color w:val="auto"/>
                <w:kern w:val="0"/>
                <w:sz w:val="20"/>
                <w:szCs w:val="20"/>
              </w:rPr>
              <w:t>4</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color w:val="auto"/>
                <w:kern w:val="0"/>
                <w:sz w:val="20"/>
                <w:szCs w:val="20"/>
              </w:rPr>
            </w:pPr>
          </w:p>
        </w:tc>
        <w:tc>
          <w:tcPr>
            <w:tcW w:w="811" w:type="dxa"/>
            <w:vMerge w:val="continue"/>
            <w:vAlign w:val="center"/>
          </w:tcPr>
          <w:p>
            <w:pPr>
              <w:widowControl/>
              <w:spacing w:line="260" w:lineRule="exact"/>
              <w:jc w:val="left"/>
              <w:rPr>
                <w:rFonts w:ascii="宋体"/>
                <w:color w:val="auto"/>
                <w:kern w:val="0"/>
                <w:sz w:val="20"/>
                <w:szCs w:val="20"/>
              </w:rPr>
            </w:pP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服务</w:t>
            </w:r>
          </w:p>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对象满意度（</w:t>
            </w:r>
            <w:r>
              <w:rPr>
                <w:rFonts w:ascii="宋体" w:hAnsi="宋体" w:cs="宋体"/>
                <w:color w:val="auto"/>
                <w:kern w:val="0"/>
                <w:sz w:val="20"/>
                <w:szCs w:val="20"/>
              </w:rPr>
              <w:t>8</w:t>
            </w:r>
            <w:r>
              <w:rPr>
                <w:rFonts w:hint="eastAsia" w:ascii="宋体" w:hAnsi="宋体" w:cs="宋体"/>
                <w:color w:val="auto"/>
                <w:kern w:val="0"/>
                <w:sz w:val="20"/>
                <w:szCs w:val="20"/>
              </w:rPr>
              <w:t>分）</w:t>
            </w:r>
          </w:p>
        </w:tc>
        <w:tc>
          <w:tcPr>
            <w:tcW w:w="639" w:type="dxa"/>
            <w:vAlign w:val="center"/>
          </w:tcPr>
          <w:p>
            <w:pPr>
              <w:widowControl/>
              <w:spacing w:line="260" w:lineRule="exact"/>
              <w:jc w:val="center"/>
              <w:rPr>
                <w:rFonts w:hint="eastAsia" w:ascii="宋体" w:eastAsia="宋体"/>
                <w:color w:val="auto"/>
                <w:kern w:val="0"/>
                <w:sz w:val="20"/>
                <w:szCs w:val="20"/>
                <w:lang w:val="en-US" w:eastAsia="zh-CN"/>
              </w:rPr>
            </w:pPr>
            <w:r>
              <w:rPr>
                <w:rFonts w:hint="eastAsia" w:ascii="宋体"/>
                <w:color w:val="auto"/>
                <w:kern w:val="0"/>
                <w:sz w:val="20"/>
                <w:szCs w:val="20"/>
                <w:lang w:val="en-US" w:eastAsia="zh-CN"/>
              </w:rPr>
              <w:t>7</w:t>
            </w:r>
          </w:p>
        </w:tc>
        <w:tc>
          <w:tcPr>
            <w:tcW w:w="2769"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项目预期服务对象对项目实施的满意程度</w:t>
            </w:r>
          </w:p>
        </w:tc>
        <w:tc>
          <w:tcPr>
            <w:tcW w:w="2928" w:type="dxa"/>
            <w:vAlign w:val="center"/>
          </w:tcPr>
          <w:p>
            <w:pPr>
              <w:widowControl/>
              <w:spacing w:line="260" w:lineRule="exact"/>
              <w:jc w:val="left"/>
              <w:rPr>
                <w:rFonts w:ascii="宋体"/>
                <w:color w:val="auto"/>
                <w:kern w:val="0"/>
                <w:sz w:val="20"/>
                <w:szCs w:val="20"/>
              </w:rPr>
            </w:pPr>
            <w:r>
              <w:rPr>
                <w:rFonts w:hint="eastAsia" w:ascii="宋体" w:hAnsi="宋体" w:cs="宋体"/>
                <w:color w:val="auto"/>
                <w:kern w:val="0"/>
                <w:sz w:val="20"/>
                <w:szCs w:val="20"/>
              </w:rPr>
              <w:t>按收集到的项目服务对象的满意率计算得分（</w:t>
            </w:r>
            <w:r>
              <w:rPr>
                <w:rFonts w:ascii="宋体" w:hAnsi="宋体" w:cs="宋体"/>
                <w:color w:val="auto"/>
                <w:kern w:val="0"/>
                <w:sz w:val="20"/>
                <w:szCs w:val="20"/>
              </w:rPr>
              <w:t>8</w:t>
            </w:r>
            <w:r>
              <w:rPr>
                <w:rFonts w:hint="eastAsia" w:ascii="宋体" w:hAnsi="宋体" w:cs="宋体"/>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总分</w:t>
            </w:r>
          </w:p>
        </w:tc>
        <w:tc>
          <w:tcPr>
            <w:tcW w:w="811"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c>
          <w:tcPr>
            <w:tcW w:w="1065"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c>
          <w:tcPr>
            <w:tcW w:w="639" w:type="dxa"/>
            <w:vAlign w:val="center"/>
          </w:tcPr>
          <w:p>
            <w:pPr>
              <w:widowControl/>
              <w:spacing w:line="260" w:lineRule="exact"/>
              <w:jc w:val="center"/>
              <w:rPr>
                <w:rFonts w:hint="default" w:ascii="宋体" w:eastAsia="宋体"/>
                <w:color w:val="auto"/>
                <w:kern w:val="0"/>
                <w:sz w:val="20"/>
                <w:szCs w:val="20"/>
                <w:lang w:val="en-US" w:eastAsia="zh-CN"/>
              </w:rPr>
            </w:pPr>
            <w:r>
              <w:rPr>
                <w:rFonts w:hint="eastAsia" w:ascii="宋体"/>
                <w:color w:val="auto"/>
                <w:kern w:val="0"/>
                <w:sz w:val="20"/>
                <w:szCs w:val="20"/>
                <w:lang w:val="en-US" w:eastAsia="zh-CN"/>
              </w:rPr>
              <w:t>95</w:t>
            </w:r>
          </w:p>
        </w:tc>
        <w:tc>
          <w:tcPr>
            <w:tcW w:w="2769"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c>
          <w:tcPr>
            <w:tcW w:w="2928" w:type="dxa"/>
            <w:vAlign w:val="center"/>
          </w:tcPr>
          <w:p>
            <w:pPr>
              <w:widowControl/>
              <w:spacing w:line="260" w:lineRule="exact"/>
              <w:jc w:val="center"/>
              <w:rPr>
                <w:rFonts w:ascii="宋体"/>
                <w:color w:val="auto"/>
                <w:kern w:val="0"/>
                <w:sz w:val="20"/>
                <w:szCs w:val="20"/>
              </w:rPr>
            </w:pPr>
            <w:r>
              <w:rPr>
                <w:rFonts w:hint="eastAsia" w:ascii="宋体" w:hAnsi="宋体" w:cs="宋体"/>
                <w:color w:val="auto"/>
                <w:kern w:val="0"/>
                <w:sz w:val="20"/>
                <w:szCs w:val="20"/>
              </w:rPr>
              <w:t>　</w:t>
            </w:r>
          </w:p>
        </w:tc>
      </w:tr>
    </w:tbl>
    <w:p>
      <w:pPr>
        <w:rPr>
          <w:rFonts w:ascii="仿宋_GB2312"/>
          <w:color w:val="auto"/>
        </w:rPr>
      </w:pPr>
    </w:p>
    <w:p>
      <w:pPr>
        <w:spacing w:line="600" w:lineRule="exact"/>
        <w:rPr>
          <w:rFonts w:ascii="黑体" w:eastAsia="黑体"/>
          <w:color w:val="auto"/>
        </w:rPr>
      </w:pPr>
    </w:p>
    <w:p>
      <w:pPr>
        <w:spacing w:line="560" w:lineRule="exact"/>
        <w:rPr>
          <w:rFonts w:hint="eastAsia" w:ascii="黑体" w:hAnsi="黑体" w:eastAsia="黑体" w:cs="黑体"/>
          <w:color w:val="auto"/>
          <w:sz w:val="32"/>
          <w:szCs w:val="32"/>
        </w:rPr>
      </w:pPr>
    </w:p>
    <w:p>
      <w:pPr>
        <w:spacing w:line="560" w:lineRule="exact"/>
        <w:rPr>
          <w:rFonts w:ascii="黑体" w:hAnsi="黑体" w:eastAsia="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6</w:t>
      </w:r>
      <w:r>
        <w:rPr>
          <w:rFonts w:hint="eastAsia" w:ascii="黑体" w:hAnsi="黑体" w:eastAsia="黑体" w:cs="黑体"/>
          <w:color w:val="auto"/>
          <w:sz w:val="32"/>
          <w:szCs w:val="32"/>
        </w:rPr>
        <w:t>：</w:t>
      </w:r>
    </w:p>
    <w:p>
      <w:pPr>
        <w:spacing w:line="560" w:lineRule="exact"/>
        <w:jc w:val="center"/>
        <w:rPr>
          <w:rFonts w:ascii="方正小标宋简体" w:eastAsia="方正小标宋简体"/>
          <w:color w:val="auto"/>
          <w:sz w:val="44"/>
          <w:szCs w:val="44"/>
        </w:rPr>
      </w:pPr>
      <w:r>
        <w:rPr>
          <w:rFonts w:hint="eastAsia" w:ascii="方正小标宋简体" w:eastAsia="方正小标宋简体" w:cs="方正小标宋简体"/>
          <w:color w:val="auto"/>
          <w:sz w:val="44"/>
          <w:szCs w:val="44"/>
        </w:rPr>
        <w:t>项目支出绩效评价报告</w:t>
      </w:r>
    </w:p>
    <w:p>
      <w:pPr>
        <w:spacing w:line="560" w:lineRule="exact"/>
        <w:ind w:firstLine="4160" w:firstLineChars="13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--发改局</w:t>
      </w:r>
      <w:r>
        <w:rPr>
          <w:rFonts w:hint="eastAsia" w:ascii="仿宋_GB2312" w:eastAsia="仿宋_GB2312"/>
          <w:color w:val="auto"/>
          <w:sz w:val="32"/>
          <w:szCs w:val="32"/>
          <w:lang w:eastAsia="zh-CN"/>
        </w:rPr>
        <w:t>乡村振兴项目绩效自评</w:t>
      </w:r>
    </w:p>
    <w:p>
      <w:pPr>
        <w:spacing w:line="560" w:lineRule="exact"/>
        <w:ind w:firstLine="640" w:firstLineChars="200"/>
        <w:rPr>
          <w:rFonts w:ascii="黑体" w:hAnsi="黑体" w:eastAsia="黑体"/>
          <w:color w:val="auto"/>
        </w:rPr>
      </w:pPr>
      <w:r>
        <w:rPr>
          <w:rFonts w:hint="eastAsia" w:ascii="黑体" w:hAnsi="黑体" w:eastAsia="黑体" w:cs="黑体"/>
          <w:color w:val="auto"/>
          <w:sz w:val="32"/>
          <w:szCs w:val="32"/>
        </w:rPr>
        <w:t>一、项目基本情况</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（一）项目基本情况简介，包括项目基本性质、用途和主要内容、涉及范围等。</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实施乡村振兴战略，是党的十九大作出的重大决策部署，是决胜全面建成小康社会、全面建设社会主义现代化国家的重大历史任务，是新时代做好“三农”工作的总抓手。为强化规划引领作用，确保乡村振兴战略落实落地，实现赫山区在乡村振兴中引领全市、示范全省乃至全国，根据《中共中央国务院关于实施乡村振兴战略的意见》（中发〔2018〕1号）、《乡村振兴战略规划（2018—2022年）》（中发〔2018〕18号）、《中共湖南省委省人民政府关于实施乡村振兴战略开创新时代“三农”工作新局面的意见》（湘发〔2018〕1号）、《湖南省乡村振兴战略规划（2018—2022年）》和《中共益阳市委益阳市人民政府关于实施乡村振兴战略深化现代农业改革谱写新时代山乡巨变新篇章的意见》（益发〔2018〕16号）等文件精神以及有关部署要求，编制</w:t>
      </w:r>
      <w:r>
        <w:rPr>
          <w:rFonts w:hint="eastAsia" w:ascii="仿宋_GB2312" w:eastAsia="仿宋_GB2312" w:cs="仿宋_GB2312"/>
          <w:color w:val="auto"/>
          <w:sz w:val="32"/>
          <w:szCs w:val="32"/>
          <w:lang w:eastAsia="zh-CN"/>
        </w:rPr>
        <w:t>乡村振兴</w:t>
      </w:r>
      <w:r>
        <w:rPr>
          <w:rFonts w:hint="eastAsia" w:ascii="仿宋_GB2312" w:eastAsia="仿宋_GB2312" w:cs="仿宋_GB2312"/>
          <w:color w:val="auto"/>
          <w:sz w:val="32"/>
          <w:szCs w:val="32"/>
        </w:rPr>
        <w:t>规划。</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本规划基期为2017年，规划期限为2018-2022年，远景谋划到2050年。按照产业兴旺、生态宜居、乡风文明、治理有效、生活富裕的总要求，对赫山区实施乡村振兴战略作出总体设计和阶段谋划，明确了近期的战略规划目标，部署了近期的重大项目任务，是全区深入实施乡村振兴战略的重要依据和行动纲领。</w:t>
      </w:r>
    </w:p>
    <w:p>
      <w:pPr>
        <w:numPr>
          <w:ilvl w:val="0"/>
          <w:numId w:val="2"/>
        </w:num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绩效目标设定及指标完成情况。</w:t>
      </w:r>
    </w:p>
    <w:p>
      <w:pPr>
        <w:pStyle w:val="33"/>
        <w:spacing w:before="156" w:after="31"/>
        <w:ind w:firstLine="600"/>
        <w:rPr>
          <w:rFonts w:hint="eastAsia" w:ascii="仿宋_GB2312" w:hAnsi="Times New Roman" w:eastAsia="仿宋_GB2312" w:cs="仿宋_GB2312"/>
          <w:color w:val="auto"/>
          <w:kern w:val="2"/>
          <w:sz w:val="32"/>
          <w:szCs w:val="32"/>
          <w:lang w:val="en-US" w:eastAsia="zh-CN" w:bidi="ar-SA"/>
        </w:rPr>
      </w:pPr>
      <w:bookmarkStart w:id="0" w:name="_Toc1506"/>
      <w:r>
        <w:rPr>
          <w:rFonts w:hint="eastAsia" w:ascii="仿宋_GB2312" w:hAnsi="Times New Roman" w:eastAsia="仿宋_GB2312" w:cs="仿宋_GB2312"/>
          <w:color w:val="auto"/>
          <w:kern w:val="2"/>
          <w:sz w:val="32"/>
          <w:szCs w:val="32"/>
          <w:lang w:val="en-US" w:eastAsia="zh-CN" w:bidi="ar-SA"/>
        </w:rPr>
        <w:t>1、近期目标</w:t>
      </w:r>
      <w:bookmarkEnd w:id="0"/>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到2020年，乡村振兴取得重要进展，具有“赫山特色”的乡村振兴政策体系、制度体系、标准体系和考核体系基本形成，全面建成小康社会目标如期实现。</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全区乡村振兴设定了产业兴旺目标、生态振兴目标、乡风文明目标、治理有效目标、生活富裕目标等目标。</w:t>
      </w:r>
    </w:p>
    <w:p>
      <w:pPr>
        <w:pStyle w:val="33"/>
        <w:pageBreakBefore w:val="0"/>
        <w:widowControl w:val="0"/>
        <w:kinsoku/>
        <w:wordWrap/>
        <w:overflowPunct/>
        <w:topLinePunct w:val="0"/>
        <w:autoSpaceDE/>
        <w:autoSpaceDN/>
        <w:bidi w:val="0"/>
        <w:adjustRightInd/>
        <w:snapToGrid w:val="0"/>
        <w:spacing w:before="156" w:after="31" w:line="560" w:lineRule="exact"/>
        <w:ind w:firstLine="600"/>
        <w:textAlignment w:val="auto"/>
        <w:rPr>
          <w:rFonts w:hint="eastAsia" w:ascii="仿宋_GB2312" w:hAnsi="Times New Roman" w:eastAsia="仿宋_GB2312" w:cs="仿宋_GB2312"/>
          <w:color w:val="auto"/>
          <w:kern w:val="2"/>
          <w:sz w:val="32"/>
          <w:szCs w:val="32"/>
          <w:lang w:val="en-US" w:eastAsia="zh-CN" w:bidi="ar-SA"/>
        </w:rPr>
      </w:pPr>
      <w:bookmarkStart w:id="1" w:name="_Toc7359"/>
      <w:r>
        <w:rPr>
          <w:rFonts w:hint="eastAsia" w:ascii="仿宋_GB2312" w:hAnsi="Times New Roman" w:eastAsia="仿宋_GB2312" w:cs="仿宋_GB2312"/>
          <w:color w:val="auto"/>
          <w:kern w:val="2"/>
          <w:sz w:val="32"/>
          <w:szCs w:val="32"/>
          <w:lang w:val="en-US" w:eastAsia="zh-CN" w:bidi="ar-SA"/>
        </w:rPr>
        <w:t>2、远期目标</w:t>
      </w:r>
      <w:bookmarkEnd w:id="1"/>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到2035年，乡村振兴取得决定性进展，城乡融合发展机制更加完善，引领区乡村振兴示范区成形，重点区发展取得成效，农业现代化、农村现代化、乡村治理体系和治理能力现代化基本实现。到2050年，乡村全面振兴，农业强、农村美、农民富的“赫山区乡村画卷”全面展现。</w:t>
      </w:r>
    </w:p>
    <w:p>
      <w:pPr>
        <w:ind w:firstLine="640" w:firstLineChars="200"/>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我局负责乡村振兴战略规划编制工作，2019年是乡村振兴开局之年，第一阶段2018-2019年是乡村振兴起步阶段，通过加大农村农业基础配套设施建设投入、精准脱贫及污染防治，完善农村基础设施，建设宜居新环境。</w:t>
      </w:r>
    </w:p>
    <w:p>
      <w:pPr>
        <w:ind w:firstLine="640" w:firstLineChars="200"/>
        <w:rPr>
          <w:rFonts w:hint="eastAsia" w:ascii="仿宋_GB2312" w:hAnsi="Times New Roman" w:eastAsia="仿宋_GB2312" w:cs="仿宋_GB2312"/>
          <w:color w:val="auto"/>
          <w:kern w:val="2"/>
          <w:sz w:val="32"/>
          <w:szCs w:val="32"/>
          <w:lang w:val="en-US" w:eastAsia="zh-CN" w:bidi="ar-SA"/>
        </w:rPr>
      </w:pPr>
      <w:bookmarkStart w:id="2" w:name="18.1.2 近期重点建设工程"/>
      <w:bookmarkEnd w:id="2"/>
      <w:r>
        <w:rPr>
          <w:rFonts w:hint="eastAsia" w:ascii="仿宋_GB2312" w:hAnsi="Times New Roman" w:eastAsia="仿宋_GB2312" w:cs="仿宋_GB2312"/>
          <w:color w:val="auto"/>
          <w:kern w:val="2"/>
          <w:sz w:val="32"/>
          <w:szCs w:val="32"/>
          <w:lang w:val="en-US" w:eastAsia="zh-CN" w:bidi="ar-SA"/>
        </w:rPr>
        <w:t>第一阶段重点包括农村道路、水利、能源项目，农业基础设施项目，“六位一批”扶贫项目，垃圾、污水处理项目、自然资源生态修复、生态环境改善、土壤污染治理项目等。详见附表2。</w:t>
      </w:r>
    </w:p>
    <w:p>
      <w:pPr>
        <w:ind w:firstLine="640" w:firstLineChars="200"/>
        <w:rPr>
          <w:rFonts w:hint="eastAsia" w:ascii="仿宋_GB2312" w:hAnsi="Times New Roman" w:eastAsia="仿宋_GB2312" w:cs="仿宋_GB2312"/>
          <w:color w:val="auto"/>
          <w:kern w:val="2"/>
          <w:sz w:val="32"/>
          <w:szCs w:val="32"/>
          <w:lang w:val="en-US" w:eastAsia="zh-CN" w:bidi="ar-SA"/>
        </w:rPr>
      </w:pPr>
      <w:bookmarkStart w:id="3" w:name="18.2.1 中远期建设目标"/>
      <w:bookmarkEnd w:id="3"/>
      <w:bookmarkStart w:id="4" w:name="bookmark82"/>
      <w:bookmarkEnd w:id="4"/>
      <w:bookmarkStart w:id="5" w:name="18.2 中远期建设目标及重点建设工程（2021-2025年）"/>
      <w:bookmarkEnd w:id="5"/>
      <w:r>
        <w:rPr>
          <w:rFonts w:hint="eastAsia" w:ascii="仿宋_GB2312" w:hAnsi="Times New Roman" w:eastAsia="仿宋_GB2312" w:cs="仿宋_GB2312"/>
          <w:color w:val="auto"/>
          <w:kern w:val="2"/>
          <w:sz w:val="32"/>
          <w:szCs w:val="32"/>
          <w:lang w:val="en-US" w:eastAsia="zh-CN" w:bidi="ar-SA"/>
        </w:rPr>
        <w:t>第二阶段2021-2022年是乡村振兴发展阶段，通过补齐农业现代化短腿和乡村建设短板，做大做强产业，提高农民收入、缩短城乡差距，改善农村公共服务水平。</w:t>
      </w:r>
    </w:p>
    <w:p>
      <w:pPr>
        <w:numPr>
          <w:ilvl w:val="0"/>
          <w:numId w:val="0"/>
        </w:numPr>
        <w:spacing w:line="560" w:lineRule="exact"/>
        <w:ind w:firstLine="640" w:firstLineChars="200"/>
        <w:rPr>
          <w:rFonts w:hint="default" w:ascii="仿宋_GB2312" w:hAnsi="Times New Roman" w:eastAsia="仿宋_GB2312" w:cs="仿宋_GB2312"/>
          <w:color w:val="auto"/>
          <w:kern w:val="2"/>
          <w:sz w:val="32"/>
          <w:szCs w:val="32"/>
          <w:lang w:val="en-US" w:eastAsia="zh-CN" w:bidi="ar-SA"/>
        </w:rPr>
      </w:pPr>
      <w:bookmarkStart w:id="6" w:name="18.2.2 中远期重点建设工程"/>
      <w:bookmarkEnd w:id="6"/>
      <w:r>
        <w:rPr>
          <w:rFonts w:hint="eastAsia" w:ascii="仿宋_GB2312" w:hAnsi="Times New Roman" w:eastAsia="仿宋_GB2312" w:cs="仿宋_GB2312"/>
          <w:color w:val="auto"/>
          <w:kern w:val="2"/>
          <w:sz w:val="32"/>
          <w:szCs w:val="32"/>
          <w:lang w:val="en-US" w:eastAsia="zh-CN" w:bidi="ar-SA"/>
        </w:rPr>
        <w:t>第二阶段重点工程包括农业科研投入项目，品牌创建与保护项目，特色农业打造项目，文化振兴项目，农村地质灾害项目，产业融合，乡风文明推进及乡村治理项目等。</w:t>
      </w:r>
    </w:p>
    <w:p>
      <w:pPr>
        <w:spacing w:line="560" w:lineRule="exact"/>
        <w:ind w:firstLine="640" w:firstLineChars="200"/>
        <w:rPr>
          <w:rFonts w:ascii="黑体" w:hAnsi="黑体" w:eastAsia="黑体"/>
          <w:color w:val="auto"/>
        </w:rPr>
      </w:pPr>
      <w:r>
        <w:rPr>
          <w:rFonts w:hint="eastAsia" w:ascii="黑体" w:hAnsi="黑体" w:eastAsia="黑体" w:cs="黑体"/>
          <w:color w:val="auto"/>
          <w:sz w:val="32"/>
          <w:szCs w:val="32"/>
        </w:rPr>
        <w:t>二、绩效评价工作情况</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（一）绩效评价目的。</w:t>
      </w:r>
    </w:p>
    <w:p>
      <w:pPr>
        <w:numPr>
          <w:ilvl w:val="0"/>
          <w:numId w:val="0"/>
        </w:numPr>
        <w:spacing w:line="560" w:lineRule="exact"/>
        <w:ind w:firstLine="640" w:firstLineChars="200"/>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全区坚持以习近平新时代中国特色社会主义思想为指导，认真贯彻落实党的十九大精神以及党中央、省委、市委关于乡村振兴战略的决策部署，全面加强党对“三农”工作的领导，牢固树立新发展理念，落实高质量发展要求，坚持农业农村优先发展，以农业农村现代化为主题，以城乡融合发展为主线，按照产业兴旺、生态宜居、乡风文明、治理有效、生活富裕的总要求，统筹推进农村经济建设、政治建设、文化建设、社会建设、生态文明建设和党的建设，健全城乡融合发展机制和政策体系，加快推进乡村农业现代化、农村现代化、治理体系和治理能力现代化。</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（二）项目资金（包括公共财政预算资金、政府性基金、财政专户资金、自筹资金等）安排落实、总投入等情况分析，项目资金（主要是指财政资金）实际使用等情况分析。</w:t>
      </w:r>
    </w:p>
    <w:p>
      <w:pPr>
        <w:spacing w:line="560" w:lineRule="exact"/>
        <w:ind w:left="0" w:leftChars="0" w:firstLine="0" w:firstLineChars="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乡村振兴规划</w:t>
      </w:r>
      <w:r>
        <w:rPr>
          <w:rFonts w:hint="eastAsia" w:ascii="仿宋_GB2312" w:eastAsia="仿宋_GB2312" w:cs="仿宋_GB2312"/>
          <w:color w:val="auto"/>
          <w:sz w:val="32"/>
          <w:szCs w:val="32"/>
          <w:lang w:val="en-US" w:eastAsia="zh-CN"/>
        </w:rPr>
        <w:t>2019年公共财政预算资金拨付共计150万元，包括项目编制工作经费、预备费及乡村振兴战略规划编制费用两笔。项目资金主要用于乡村振兴规划编制的下乡镇调研接待43457元、招投标代理费18000元、印刷费30000元、办公费20020元、会务费24000元、下乡调研租车费42000元、编制规划咨询费1338400元等，支出共计1515877元。</w:t>
      </w:r>
    </w:p>
    <w:p>
      <w:pPr>
        <w:numPr>
          <w:ilvl w:val="0"/>
          <w:numId w:val="2"/>
        </w:numPr>
        <w:spacing w:line="560" w:lineRule="exact"/>
        <w:ind w:left="0" w:leftChars="0"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项目组织情况分析，主要包括项目前期准备、招投标、调整、竣工验收等情况。</w:t>
      </w:r>
    </w:p>
    <w:p>
      <w:pPr>
        <w:numPr>
          <w:ilvl w:val="0"/>
          <w:numId w:val="0"/>
        </w:numPr>
        <w:spacing w:line="560" w:lineRule="exact"/>
        <w:ind w:firstLine="960" w:firstLineChars="300"/>
        <w:rPr>
          <w:rFonts w:hint="eastAsia" w:ascii="仿宋_GB2312" w:eastAsia="仿宋_GB2312" w:cs="仿宋_GB2312"/>
          <w:color w:val="auto"/>
          <w:sz w:val="32"/>
          <w:szCs w:val="32"/>
        </w:rPr>
      </w:pPr>
      <w:r>
        <w:rPr>
          <w:rFonts w:hint="eastAsia" w:ascii="仿宋_GB2312" w:eastAsia="仿宋_GB2312" w:cs="仿宋_GB2312"/>
          <w:color w:val="auto"/>
          <w:sz w:val="32"/>
          <w:szCs w:val="32"/>
        </w:rPr>
        <w:t>把乡村振兴作为一项全社会的重大工程，积极搭建社会参与平台，加强组织动员，构建政府、市场、社会协同推进的乡村振兴参与机制。发挥工会、共青团、妇联、科协、残联等群团组织的优势和力量，发挥各民主党派、工商联、无党派人士等积极作用，凝聚乡村振兴强大合力。围绕乡村振兴找准切入点和着力点，积极推进“三农”宣传内容、形式、手段和方式方法创新，做大做强乡村振兴的正面宣传，提升宣传亲和力影响力。对各镇（街）、部门在乡村振兴方面的工作亮点以及好的经验做法进行宣传报道。</w:t>
      </w:r>
    </w:p>
    <w:p>
      <w:pPr>
        <w:numPr>
          <w:ilvl w:val="0"/>
          <w:numId w:val="0"/>
        </w:num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通过招投标程序，选取了湖南省国际工程咨询中心有限公司、湖南睿岐规划建筑设计有限公司、湖南知成环保服务有限公司等规划编制咨询公司，按照各自分工、有计划、分阶段的完成乡村振兴编制工作及兰溪河流域编制及环评工作。</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（四）项目管理情况分析，主要包括项目管理制度、办法的制订、日常检查监督管理等情况。</w:t>
      </w:r>
    </w:p>
    <w:p>
      <w:pPr>
        <w:numPr>
          <w:ilvl w:val="0"/>
          <w:numId w:val="0"/>
        </w:num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加强对乡村振兴战略规划实施情况的考核监督和激励约束，调动各级各部门贯彻落实规划的积极性和主动性。健全考核评价和奖惩机制，制定考核指标，定期开展考核、检查，建立镇（街）党政班子和领导干部推进乡村振兴战略的实绩考核制度，将考核结果作为选拔任用领导干部的重要依据。各镇（街）党委、政府每年要向区委、区政府专题报告实施乡村振兴战略进展情况。</w:t>
      </w:r>
    </w:p>
    <w:p>
      <w:pPr>
        <w:numPr>
          <w:ilvl w:val="0"/>
          <w:numId w:val="0"/>
        </w:num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我局负责乡村振兴战略规划编制牵头单位，经费支出</w:t>
      </w:r>
      <w:r>
        <w:rPr>
          <w:rFonts w:hint="eastAsia" w:ascii="仿宋_GB2312" w:eastAsia="仿宋_GB2312" w:cs="仿宋_GB2312"/>
          <w:color w:val="auto"/>
          <w:sz w:val="32"/>
          <w:szCs w:val="32"/>
          <w:lang w:val="en-US" w:eastAsia="zh-CN"/>
        </w:rPr>
        <w:t>90%用于规划编制咨询费用，资金管理参照行政单位资金使用要求严格管理，实施绩效评价，做到“用钱必有效”，坚决抵制乱花钱现象。</w:t>
      </w:r>
    </w:p>
    <w:p>
      <w:pPr>
        <w:spacing w:line="560" w:lineRule="exact"/>
        <w:ind w:firstLine="640" w:firstLineChars="200"/>
        <w:rPr>
          <w:rFonts w:ascii="黑体" w:hAnsi="黑体" w:eastAsia="黑体"/>
          <w:color w:val="auto"/>
        </w:rPr>
      </w:pPr>
      <w:r>
        <w:rPr>
          <w:rFonts w:hint="eastAsia" w:ascii="黑体" w:hAnsi="黑体" w:eastAsia="黑体" w:cs="黑体"/>
          <w:color w:val="auto"/>
          <w:sz w:val="32"/>
          <w:szCs w:val="32"/>
        </w:rPr>
        <w:t>三、项目绩效情况</w:t>
      </w:r>
    </w:p>
    <w:p>
      <w:pPr>
        <w:numPr>
          <w:ilvl w:val="0"/>
          <w:numId w:val="0"/>
        </w:num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我区是全国农业农村信息化示范基地、产粮大县、平安农机示范区、首批商品粮基地县、生猪调出大县、农产品质量安全创建县、家庭农场示范县。通过乡村振兴规划，我区在经济效益、社会效益方面取得很大成绩：</w:t>
      </w:r>
    </w:p>
    <w:p>
      <w:pPr>
        <w:numPr>
          <w:ilvl w:val="0"/>
          <w:numId w:val="3"/>
        </w:num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我区农业综合生产能力显著增强。高效益经济作物和其他农作物面积和产量均有增长，六次被评为全国粮食生产先进县，多次获评中国果菜无公害十强区、全国有机蔬菜生产基地示范县、湖南省粮食生产标兵县、湖南省农产品质量综合监管示范县。</w:t>
      </w:r>
    </w:p>
    <w:p>
      <w:pPr>
        <w:numPr>
          <w:ilvl w:val="0"/>
          <w:numId w:val="3"/>
        </w:num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农村生态环境面貌显著改善。建立农村生活垃圾“户分类、村收集、镇转运、区处理”体系，形成覆盖“区、镇、村、组、户”五级垃圾收集处置网络，聘请1000余名保洁员全天清洁公共区域，常态化清理河湖、水库、沟渠及两岸垃圾，农村垃圾定点清运率、无害化处理率均达100%。</w:t>
      </w:r>
    </w:p>
    <w:p>
      <w:pPr>
        <w:numPr>
          <w:ilvl w:val="0"/>
          <w:numId w:val="3"/>
        </w:num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农村基础设施投入力度加大。近两年，全区大力开展农村公路“双百工程”，完成农村公路改造投资3.2亿元；实施农网升级改造工程，有效解决农村电网不稳定问题；实施行政村光纤宽带与“三通两平台”建设，建成4G基站265个，实现城乡全覆盖。</w:t>
      </w:r>
    </w:p>
    <w:p>
      <w:pPr>
        <w:numPr>
          <w:ilvl w:val="0"/>
          <w:numId w:val="3"/>
        </w:num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精准脱贫攻坚工作成效显著。社会治理体系得到显著完善深入实施“六个一批”、“六大建设”，加大驻村帮扶力度，全面贯彻落实产业扶贫、就业扶贫、教育扶贫、金融扶贫、健康扶贫、兜底扶贫等扶贫政策。</w:t>
      </w:r>
    </w:p>
    <w:p>
      <w:pPr>
        <w:numPr>
          <w:ilvl w:val="0"/>
          <w:numId w:val="3"/>
        </w:num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社会治理体系得到显著完善。健全选派村第一书记机制，持续整顿软弱涣散党组织，引导党组织和党员发挥战斗堡垒和先锋模范作用。建立完善“四位一体”村级自治制度，提升村民自治水平。加大普法力度，提高农民法治水平。全面完成区镇村三级综治中心建设，充分发挥综治中心等机构作用，依法调处矛盾纠纷4080起。开展“感动赫山人物”评选表彰活动，强化道德教化作用。深入开展平安创建“五十百千”竞赛活动，严厉打击农村黑恶势力、黄赌毒、盗抢骗等违法犯罪，积极开展治安巡逻，推进“雪亮工程”建设和网格化服务管理，人民群众的安全感、获得感和幸福感不断提升。</w:t>
      </w:r>
    </w:p>
    <w:p>
      <w:pPr>
        <w:spacing w:line="560" w:lineRule="exact"/>
        <w:ind w:firstLine="640" w:firstLineChars="200"/>
        <w:rPr>
          <w:rFonts w:ascii="黑体" w:hAnsi="黑体" w:eastAsia="黑体"/>
          <w:color w:val="auto"/>
        </w:rPr>
      </w:pPr>
      <w:r>
        <w:rPr>
          <w:rFonts w:hint="eastAsia" w:ascii="黑体" w:hAnsi="黑体" w:eastAsia="黑体" w:cs="黑体"/>
          <w:color w:val="auto"/>
          <w:sz w:val="32"/>
          <w:szCs w:val="32"/>
        </w:rPr>
        <w:t>四、存在的问题</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专项管理方面的问题。</w:t>
      </w:r>
      <w:r>
        <w:rPr>
          <w:rFonts w:hint="eastAsia" w:ascii="仿宋_GB2312" w:eastAsia="仿宋_GB2312" w:cs="仿宋_GB2312"/>
          <w:color w:val="auto"/>
          <w:sz w:val="32"/>
          <w:szCs w:val="32"/>
          <w:lang w:eastAsia="zh-CN"/>
        </w:rPr>
        <w:t>由于我局的编制规划工作是全区方面的统筹工作，主要支出为编制规划业务委托费支出，少数部分为管理业务支出，</w:t>
      </w:r>
      <w:r>
        <w:rPr>
          <w:rFonts w:hint="eastAsia" w:ascii="仿宋_GB2312" w:eastAsia="仿宋_GB2312" w:cs="仿宋_GB2312"/>
          <w:color w:val="auto"/>
          <w:sz w:val="32"/>
          <w:szCs w:val="32"/>
        </w:rPr>
        <w:t>专项立项依据</w:t>
      </w:r>
      <w:r>
        <w:rPr>
          <w:rFonts w:hint="eastAsia" w:ascii="仿宋_GB2312" w:eastAsia="仿宋_GB2312" w:cs="仿宋_GB2312"/>
          <w:color w:val="auto"/>
          <w:sz w:val="32"/>
          <w:szCs w:val="32"/>
          <w:lang w:eastAsia="zh-CN"/>
        </w:rPr>
        <w:t>不够</w:t>
      </w:r>
      <w:r>
        <w:rPr>
          <w:rFonts w:hint="eastAsia" w:ascii="仿宋_GB2312" w:eastAsia="仿宋_GB2312" w:cs="仿宋_GB2312"/>
          <w:color w:val="auto"/>
          <w:sz w:val="32"/>
          <w:szCs w:val="32"/>
        </w:rPr>
        <w:t>充分</w:t>
      </w:r>
      <w:r>
        <w:rPr>
          <w:rFonts w:hint="eastAsia" w:ascii="仿宋_GB2312" w:eastAsia="仿宋_GB2312" w:cs="仿宋_GB2312"/>
          <w:color w:val="auto"/>
          <w:sz w:val="32"/>
          <w:szCs w:val="32"/>
          <w:lang w:eastAsia="zh-CN"/>
        </w:rPr>
        <w:t>，资金管理办法参照单位业务费用管理办法。</w:t>
      </w:r>
    </w:p>
    <w:p>
      <w:pPr>
        <w:numPr>
          <w:ilvl w:val="0"/>
          <w:numId w:val="4"/>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其他需要说明的问题</w:t>
      </w:r>
    </w:p>
    <w:p>
      <w:pPr>
        <w:spacing w:line="560" w:lineRule="exact"/>
        <w:ind w:firstLine="640" w:firstLineChars="200"/>
        <w:rPr>
          <w:rFonts w:hint="eastAsia"/>
          <w:color w:val="auto"/>
        </w:rPr>
      </w:pPr>
      <w:r>
        <w:rPr>
          <w:rFonts w:hint="eastAsia" w:ascii="仿宋_GB2312" w:eastAsia="仿宋_GB2312" w:cs="仿宋_GB2312"/>
          <w:color w:val="auto"/>
          <w:sz w:val="32"/>
          <w:szCs w:val="32"/>
          <w:lang w:eastAsia="zh-CN"/>
        </w:rPr>
        <w:t>乡村振兴战略编制规划已全面、如期完成编制规划任务，但是目前还存在一定的困难，如：农业产业基础相对薄弱，缺乏品牌效益；旅游资源利用度低，产业融合发展较慢；农业从业人员素质偏低，人才引进困难；生态环境要求提高，公共财政相对短缺；存在农村发展机制障碍，建设任重道远；基层组织缺乏战斗力、凝聚力和创造性等。下一步我们需加强各相关单位联系沟通，确保按规划落实，促进赫山经济全面健康、有规划的发展。</w:t>
      </w:r>
    </w:p>
    <w:p>
      <w:pPr>
        <w:numPr>
          <w:ilvl w:val="0"/>
          <w:numId w:val="0"/>
        </w:num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p>
      <w:pPr>
        <w:numPr>
          <w:ilvl w:val="0"/>
          <w:numId w:val="0"/>
        </w:numPr>
        <w:spacing w:line="560" w:lineRule="exact"/>
        <w:ind w:firstLine="640" w:firstLineChars="200"/>
        <w:rPr>
          <w:rFonts w:hint="default" w:ascii="黑体" w:hAnsi="黑体" w:eastAsia="黑体" w:cs="黑体"/>
          <w:color w:val="auto"/>
          <w:sz w:val="32"/>
          <w:szCs w:val="32"/>
          <w:lang w:val="en-US" w:eastAsia="zh-CN"/>
        </w:rPr>
      </w:pPr>
      <w:bookmarkStart w:id="7" w:name="_GoBack"/>
      <w:bookmarkEnd w:id="7"/>
    </w:p>
    <w:p>
      <w:pPr>
        <w:numPr>
          <w:ilvl w:val="0"/>
          <w:numId w:val="0"/>
        </w:numPr>
        <w:spacing w:line="560" w:lineRule="exact"/>
        <w:ind w:firstLine="640" w:firstLineChars="200"/>
        <w:rPr>
          <w:rFonts w:hint="default" w:asci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仿宋_GB2312" w:eastAsia="仿宋_GB2312" w:cs="仿宋_GB2312"/>
          <w:color w:val="auto"/>
          <w:sz w:val="32"/>
          <w:szCs w:val="32"/>
          <w:lang w:val="en-US" w:eastAsia="zh-CN"/>
        </w:rPr>
        <w:t xml:space="preserve">   益阳市赫山区发改局</w:t>
      </w:r>
    </w:p>
    <w:p>
      <w:pPr>
        <w:spacing w:line="560" w:lineRule="exact"/>
        <w:ind w:firstLine="6080" w:firstLineChars="19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2020年7月30日</w:t>
      </w:r>
    </w:p>
    <w:p>
      <w:pPr>
        <w:spacing w:line="40" w:lineRule="exact"/>
        <w:rPr>
          <w:color w:val="auto"/>
        </w:rPr>
      </w:pPr>
    </w:p>
    <w:sectPr>
      <w:footerReference r:id="rId3" w:type="default"/>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- 9 -</w:t>
    </w:r>
    <w:r>
      <w:rPr>
        <w:rStyle w:val="9"/>
        <w:rFonts w:ascii="宋体" w:hAnsi="宋体"/>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D222B"/>
    <w:multiLevelType w:val="singleLevel"/>
    <w:tmpl w:val="B3BD222B"/>
    <w:lvl w:ilvl="0" w:tentative="0">
      <w:start w:val="2"/>
      <w:numFmt w:val="chineseCounting"/>
      <w:suff w:val="nothing"/>
      <w:lvlText w:val="（%1）"/>
      <w:lvlJc w:val="left"/>
      <w:rPr>
        <w:rFonts w:hint="eastAsia"/>
      </w:rPr>
    </w:lvl>
  </w:abstractNum>
  <w:abstractNum w:abstractNumId="1">
    <w:nsid w:val="00000003"/>
    <w:multiLevelType w:val="multilevel"/>
    <w:tmpl w:val="00000003"/>
    <w:lvl w:ilvl="0" w:tentative="0">
      <w:start w:val="1"/>
      <w:numFmt w:val="chineseCountingThousand"/>
      <w:suff w:val="space"/>
      <w:lvlText w:val="第%1章"/>
      <w:lvlJc w:val="left"/>
      <w:pPr>
        <w:ind w:left="425" w:hanging="425"/>
      </w:pPr>
      <w:rPr>
        <w:rFonts w:hint="eastAsia"/>
      </w:rPr>
    </w:lvl>
    <w:lvl w:ilvl="1" w:tentative="0">
      <w:start w:val="1"/>
      <w:numFmt w:val="decimal"/>
      <w:isLgl/>
      <w:suff w:val="nothing"/>
      <w:lvlText w:val="%1.%2"/>
      <w:lvlJc w:val="left"/>
      <w:pPr>
        <w:ind w:left="567" w:hanging="567"/>
      </w:pPr>
      <w:rPr>
        <w:rFonts w:hint="eastAsia"/>
      </w:rPr>
    </w:lvl>
    <w:lvl w:ilvl="2" w:tentative="0">
      <w:start w:val="1"/>
      <w:numFmt w:val="decimal"/>
      <w:pStyle w:val="2"/>
      <w:isLgl/>
      <w:suff w:val="nothing"/>
      <w:lvlText w:val="%1.%2.%3"/>
      <w:lvlJc w:val="left"/>
      <w:pPr>
        <w:ind w:left="709" w:hanging="709"/>
      </w:pPr>
      <w:rPr>
        <w:rFonts w:hint="eastAsia"/>
      </w:rPr>
    </w:lvl>
    <w:lvl w:ilvl="3" w:tentative="0">
      <w:start w:val="1"/>
      <w:numFmt w:val="decimal"/>
      <w:isLgl/>
      <w:suff w:val="nothing"/>
      <w:lvlText w:val="%1.%2.%3.%4"/>
      <w:lvlJc w:val="left"/>
      <w:pPr>
        <w:ind w:left="851" w:hanging="851"/>
      </w:pPr>
      <w:rPr>
        <w:rFonts w:hint="eastAsia"/>
      </w:rPr>
    </w:lvl>
    <w:lvl w:ilvl="4" w:tentative="0">
      <w:start w:val="1"/>
      <w:numFmt w:val="decimal"/>
      <w:isLgl/>
      <w:suff w:val="nothing"/>
      <w:lvlText w:val="%1.%2.%3.%4.%5"/>
      <w:lvlJc w:val="left"/>
      <w:pPr>
        <w:ind w:left="992" w:hanging="992"/>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6" w:hanging="1276"/>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9" w:hanging="1559"/>
      </w:pPr>
      <w:rPr>
        <w:rFonts w:hint="eastAsia"/>
      </w:rPr>
    </w:lvl>
  </w:abstractNum>
  <w:abstractNum w:abstractNumId="2">
    <w:nsid w:val="31E6CAC6"/>
    <w:multiLevelType w:val="singleLevel"/>
    <w:tmpl w:val="31E6CAC6"/>
    <w:lvl w:ilvl="0" w:tentative="0">
      <w:start w:val="1"/>
      <w:numFmt w:val="chineseCounting"/>
      <w:suff w:val="nothing"/>
      <w:lvlText w:val="（%1）"/>
      <w:lvlJc w:val="left"/>
      <w:rPr>
        <w:rFonts w:hint="eastAsia"/>
      </w:rPr>
    </w:lvl>
  </w:abstractNum>
  <w:abstractNum w:abstractNumId="3">
    <w:nsid w:val="66889989"/>
    <w:multiLevelType w:val="singleLevel"/>
    <w:tmpl w:val="66889989"/>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6E4E"/>
    <w:rsid w:val="00043673"/>
    <w:rsid w:val="00046499"/>
    <w:rsid w:val="0004784E"/>
    <w:rsid w:val="00053547"/>
    <w:rsid w:val="00062EEC"/>
    <w:rsid w:val="0006715E"/>
    <w:rsid w:val="000700BE"/>
    <w:rsid w:val="000707EC"/>
    <w:rsid w:val="00076E70"/>
    <w:rsid w:val="0008086E"/>
    <w:rsid w:val="000B6D0E"/>
    <w:rsid w:val="000C0EA0"/>
    <w:rsid w:val="000E1641"/>
    <w:rsid w:val="000E187E"/>
    <w:rsid w:val="000F1A10"/>
    <w:rsid w:val="001042CA"/>
    <w:rsid w:val="001047F5"/>
    <w:rsid w:val="0010701A"/>
    <w:rsid w:val="0011361A"/>
    <w:rsid w:val="00114A8C"/>
    <w:rsid w:val="0014492C"/>
    <w:rsid w:val="00151A57"/>
    <w:rsid w:val="00160F3B"/>
    <w:rsid w:val="001702C0"/>
    <w:rsid w:val="001771F3"/>
    <w:rsid w:val="00195999"/>
    <w:rsid w:val="0019608B"/>
    <w:rsid w:val="001C0DB6"/>
    <w:rsid w:val="001C28CB"/>
    <w:rsid w:val="001D026B"/>
    <w:rsid w:val="001E1C3E"/>
    <w:rsid w:val="001F53C0"/>
    <w:rsid w:val="00204C7D"/>
    <w:rsid w:val="00206067"/>
    <w:rsid w:val="00226FD4"/>
    <w:rsid w:val="00261F7B"/>
    <w:rsid w:val="00275E2C"/>
    <w:rsid w:val="0028032E"/>
    <w:rsid w:val="002A1B49"/>
    <w:rsid w:val="002B3F1D"/>
    <w:rsid w:val="002B6584"/>
    <w:rsid w:val="002C26E1"/>
    <w:rsid w:val="002C2D45"/>
    <w:rsid w:val="002E2FC3"/>
    <w:rsid w:val="002E30FC"/>
    <w:rsid w:val="002E7E64"/>
    <w:rsid w:val="003055D2"/>
    <w:rsid w:val="00320A92"/>
    <w:rsid w:val="0032411A"/>
    <w:rsid w:val="00326E8D"/>
    <w:rsid w:val="00341268"/>
    <w:rsid w:val="00355C64"/>
    <w:rsid w:val="00360B49"/>
    <w:rsid w:val="00361F64"/>
    <w:rsid w:val="00366D3D"/>
    <w:rsid w:val="00380BFF"/>
    <w:rsid w:val="00381196"/>
    <w:rsid w:val="003C55D6"/>
    <w:rsid w:val="003D5823"/>
    <w:rsid w:val="003D65CB"/>
    <w:rsid w:val="003F5B92"/>
    <w:rsid w:val="00414180"/>
    <w:rsid w:val="00423918"/>
    <w:rsid w:val="00434F00"/>
    <w:rsid w:val="00437866"/>
    <w:rsid w:val="00441D58"/>
    <w:rsid w:val="00471E21"/>
    <w:rsid w:val="00474423"/>
    <w:rsid w:val="004842A1"/>
    <w:rsid w:val="004852A1"/>
    <w:rsid w:val="004A1303"/>
    <w:rsid w:val="004C2EAB"/>
    <w:rsid w:val="004D76CB"/>
    <w:rsid w:val="004E4B88"/>
    <w:rsid w:val="004E67A5"/>
    <w:rsid w:val="00510B8E"/>
    <w:rsid w:val="005130D4"/>
    <w:rsid w:val="00527477"/>
    <w:rsid w:val="005377A9"/>
    <w:rsid w:val="00560BD3"/>
    <w:rsid w:val="0057391C"/>
    <w:rsid w:val="00574727"/>
    <w:rsid w:val="00577793"/>
    <w:rsid w:val="005C25B9"/>
    <w:rsid w:val="005E7B42"/>
    <w:rsid w:val="005E7BED"/>
    <w:rsid w:val="00602551"/>
    <w:rsid w:val="00603866"/>
    <w:rsid w:val="00607699"/>
    <w:rsid w:val="00611C0D"/>
    <w:rsid w:val="00625C49"/>
    <w:rsid w:val="00626307"/>
    <w:rsid w:val="006269B7"/>
    <w:rsid w:val="0062726E"/>
    <w:rsid w:val="00652C8A"/>
    <w:rsid w:val="00653E1D"/>
    <w:rsid w:val="006733AA"/>
    <w:rsid w:val="00691477"/>
    <w:rsid w:val="006A17BE"/>
    <w:rsid w:val="006C613F"/>
    <w:rsid w:val="006E452E"/>
    <w:rsid w:val="006F0B10"/>
    <w:rsid w:val="00725319"/>
    <w:rsid w:val="00731951"/>
    <w:rsid w:val="0075061C"/>
    <w:rsid w:val="00752C69"/>
    <w:rsid w:val="00773BB2"/>
    <w:rsid w:val="007742CB"/>
    <w:rsid w:val="00784A33"/>
    <w:rsid w:val="00785F00"/>
    <w:rsid w:val="007B4ACB"/>
    <w:rsid w:val="007C129E"/>
    <w:rsid w:val="007C5A47"/>
    <w:rsid w:val="007C772C"/>
    <w:rsid w:val="007E43B2"/>
    <w:rsid w:val="008116C4"/>
    <w:rsid w:val="00817FE8"/>
    <w:rsid w:val="008232D3"/>
    <w:rsid w:val="00837352"/>
    <w:rsid w:val="00853BC3"/>
    <w:rsid w:val="00854FFD"/>
    <w:rsid w:val="0086026A"/>
    <w:rsid w:val="008630D6"/>
    <w:rsid w:val="00886C5B"/>
    <w:rsid w:val="008A23A0"/>
    <w:rsid w:val="008D28B7"/>
    <w:rsid w:val="00904337"/>
    <w:rsid w:val="00923B36"/>
    <w:rsid w:val="00923DDB"/>
    <w:rsid w:val="00927ABE"/>
    <w:rsid w:val="009361B3"/>
    <w:rsid w:val="00945B69"/>
    <w:rsid w:val="009773D3"/>
    <w:rsid w:val="00993293"/>
    <w:rsid w:val="009C29E3"/>
    <w:rsid w:val="009C6B47"/>
    <w:rsid w:val="009D0F9D"/>
    <w:rsid w:val="009F6864"/>
    <w:rsid w:val="00A53B16"/>
    <w:rsid w:val="00A751A4"/>
    <w:rsid w:val="00A75930"/>
    <w:rsid w:val="00A92BDD"/>
    <w:rsid w:val="00A96E4E"/>
    <w:rsid w:val="00A973F9"/>
    <w:rsid w:val="00AA2837"/>
    <w:rsid w:val="00AA5AC6"/>
    <w:rsid w:val="00AC0F3E"/>
    <w:rsid w:val="00AF6539"/>
    <w:rsid w:val="00B403DD"/>
    <w:rsid w:val="00B47A0F"/>
    <w:rsid w:val="00B72E63"/>
    <w:rsid w:val="00B83098"/>
    <w:rsid w:val="00B839DE"/>
    <w:rsid w:val="00B92B2D"/>
    <w:rsid w:val="00B938AA"/>
    <w:rsid w:val="00BA66EB"/>
    <w:rsid w:val="00BB6083"/>
    <w:rsid w:val="00BC240C"/>
    <w:rsid w:val="00BD32A3"/>
    <w:rsid w:val="00BD5B91"/>
    <w:rsid w:val="00C03C28"/>
    <w:rsid w:val="00C06A90"/>
    <w:rsid w:val="00C203B9"/>
    <w:rsid w:val="00C2173E"/>
    <w:rsid w:val="00C26BEE"/>
    <w:rsid w:val="00C420B8"/>
    <w:rsid w:val="00C5323B"/>
    <w:rsid w:val="00C533D0"/>
    <w:rsid w:val="00C73AD8"/>
    <w:rsid w:val="00C9623F"/>
    <w:rsid w:val="00CA1071"/>
    <w:rsid w:val="00CB35CB"/>
    <w:rsid w:val="00CB4481"/>
    <w:rsid w:val="00CC344F"/>
    <w:rsid w:val="00CC71D0"/>
    <w:rsid w:val="00CD4EFC"/>
    <w:rsid w:val="00CD59F7"/>
    <w:rsid w:val="00CD5DCF"/>
    <w:rsid w:val="00CE6698"/>
    <w:rsid w:val="00CF30EA"/>
    <w:rsid w:val="00D05980"/>
    <w:rsid w:val="00D11810"/>
    <w:rsid w:val="00D15C1A"/>
    <w:rsid w:val="00D32BE3"/>
    <w:rsid w:val="00D3437D"/>
    <w:rsid w:val="00D35035"/>
    <w:rsid w:val="00D35A8F"/>
    <w:rsid w:val="00D77BEC"/>
    <w:rsid w:val="00D87615"/>
    <w:rsid w:val="00DA6DED"/>
    <w:rsid w:val="00DC17E6"/>
    <w:rsid w:val="00DC2097"/>
    <w:rsid w:val="00DC6F0F"/>
    <w:rsid w:val="00DE7156"/>
    <w:rsid w:val="00DE7D4B"/>
    <w:rsid w:val="00DF6034"/>
    <w:rsid w:val="00E02435"/>
    <w:rsid w:val="00E36B6C"/>
    <w:rsid w:val="00E706A0"/>
    <w:rsid w:val="00E73877"/>
    <w:rsid w:val="00E73F64"/>
    <w:rsid w:val="00EA3651"/>
    <w:rsid w:val="00EC4A69"/>
    <w:rsid w:val="00ED2F5C"/>
    <w:rsid w:val="00ED4225"/>
    <w:rsid w:val="00ED6DD5"/>
    <w:rsid w:val="00EF2546"/>
    <w:rsid w:val="00F05BDC"/>
    <w:rsid w:val="00F219BE"/>
    <w:rsid w:val="00F3496C"/>
    <w:rsid w:val="00F35707"/>
    <w:rsid w:val="00F457B7"/>
    <w:rsid w:val="00F5634F"/>
    <w:rsid w:val="00FA0698"/>
    <w:rsid w:val="00FA11BF"/>
    <w:rsid w:val="00FA500A"/>
    <w:rsid w:val="00FE0362"/>
    <w:rsid w:val="00FF0B19"/>
    <w:rsid w:val="00FF5A97"/>
    <w:rsid w:val="116A7D5A"/>
    <w:rsid w:val="14230373"/>
    <w:rsid w:val="249B2A08"/>
    <w:rsid w:val="2C9215CE"/>
    <w:rsid w:val="3BEF675E"/>
    <w:rsid w:val="474C653D"/>
    <w:rsid w:val="4BED179E"/>
    <w:rsid w:val="5FB4283F"/>
    <w:rsid w:val="6A4838DA"/>
    <w:rsid w:val="79DB751B"/>
    <w:rsid w:val="7DE2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after="120"/>
      <w:outlineLvl w:val="2"/>
    </w:pPr>
    <w:rPr>
      <w:rFonts w:eastAsia="黑体"/>
      <w:bCs/>
      <w:sz w:val="24"/>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styleId="10">
    <w:name w:val="FollowedHyperlink"/>
    <w:basedOn w:val="8"/>
    <w:qFormat/>
    <w:uiPriority w:val="99"/>
    <w:rPr>
      <w:color w:val="800080"/>
      <w:u w:val="single"/>
    </w:rPr>
  </w:style>
  <w:style w:type="character" w:styleId="11">
    <w:name w:val="Hyperlink"/>
    <w:basedOn w:val="8"/>
    <w:qFormat/>
    <w:uiPriority w:val="99"/>
    <w:rPr>
      <w:color w:val="0000FF"/>
      <w:u w:val="single"/>
    </w:rPr>
  </w:style>
  <w:style w:type="paragraph" w:customStyle="1" w:styleId="12">
    <w:name w:val="列出段落1"/>
    <w:basedOn w:val="1"/>
    <w:qFormat/>
    <w:uiPriority w:val="99"/>
    <w:pPr>
      <w:ind w:firstLine="420" w:firstLineChars="200"/>
    </w:pPr>
    <w:rPr>
      <w:rFonts w:ascii="Calibri" w:hAnsi="Calibri" w:cs="Calibri"/>
      <w:szCs w:val="21"/>
    </w:rPr>
  </w:style>
  <w:style w:type="character" w:customStyle="1" w:styleId="13">
    <w:name w:val="页脚 Char"/>
    <w:basedOn w:val="8"/>
    <w:link w:val="4"/>
    <w:qFormat/>
    <w:locked/>
    <w:uiPriority w:val="99"/>
    <w:rPr>
      <w:kern w:val="2"/>
      <w:sz w:val="18"/>
      <w:szCs w:val="18"/>
    </w:rPr>
  </w:style>
  <w:style w:type="character" w:customStyle="1" w:styleId="14">
    <w:name w:val="页眉 Char"/>
    <w:basedOn w:val="8"/>
    <w:link w:val="5"/>
    <w:qFormat/>
    <w:locked/>
    <w:uiPriority w:val="99"/>
    <w:rPr>
      <w:kern w:val="2"/>
      <w:sz w:val="18"/>
      <w:szCs w:val="18"/>
    </w:rPr>
  </w:style>
  <w:style w:type="character" w:customStyle="1" w:styleId="15">
    <w:name w:val="日期 Char"/>
    <w:basedOn w:val="8"/>
    <w:link w:val="3"/>
    <w:qFormat/>
    <w:locked/>
    <w:uiPriority w:val="99"/>
    <w:rPr>
      <w:kern w:val="2"/>
      <w:sz w:val="21"/>
      <w:szCs w:val="24"/>
    </w:rPr>
  </w:style>
  <w:style w:type="paragraph" w:customStyle="1" w:styleId="16">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7">
    <w:name w:val="xl66"/>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8">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xl69"/>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9">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样式1"/>
    <w:basedOn w:val="2"/>
    <w:qFormat/>
    <w:uiPriority w:val="0"/>
    <w:pPr>
      <w:numPr>
        <w:ilvl w:val="0"/>
        <w:numId w:val="0"/>
      </w:numPr>
      <w:snapToGrid w:val="0"/>
      <w:spacing w:before="50" w:beforeLines="50" w:after="10" w:afterLines="10"/>
      <w:ind w:firstLine="200" w:firstLineChars="200"/>
      <w:jc w:val="left"/>
    </w:pPr>
    <w:rPr>
      <w:rFonts w:ascii="楷体" w:hAnsi="楷体" w:eastAsia="楷体"/>
      <w:sz w:val="3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24B80-0DF0-472C-AC16-2859E2952240}">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30</Pages>
  <Words>4613</Words>
  <Characters>26295</Characters>
  <Lines>219</Lines>
  <Paragraphs>61</Paragraphs>
  <TotalTime>12</TotalTime>
  <ScaleCrop>false</ScaleCrop>
  <LinksUpToDate>false</LinksUpToDate>
  <CharactersWithSpaces>30847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2020-07-01T07:43:00Z</dcterms:created>
  <dc:creator>Administrator</dc:creator>
  <cp:lastModifiedBy>Administrator</cp:lastModifiedBy>
  <cp:lastPrinted>2020-08-04T01:31:54Z</cp:lastPrinted>
  <dcterms:modified xsi:type="dcterms:W3CDTF">2020-08-04T01:33:58Z</dcterms:modified>
  <dc:title>益赫财办〔2013〕15号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