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项目支出绩效评价报告</w:t>
      </w:r>
    </w:p>
    <w:p>
      <w:pPr>
        <w:spacing w:line="560" w:lineRule="exact"/>
        <w:jc w:val="center"/>
        <w:rPr>
          <w:rFonts w:ascii="仿宋_GB2312" w:eastAsia="仿宋_GB2312"/>
          <w:sz w:val="22"/>
          <w:szCs w:val="22"/>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lang w:eastAsia="zh-CN"/>
        </w:rPr>
        <w:t>—优质粮油工程项目</w:t>
      </w:r>
    </w:p>
    <w:p>
      <w:pPr>
        <w:spacing w:line="560" w:lineRule="exact"/>
        <w:ind w:firstLine="640" w:firstLineChars="200"/>
        <w:rPr>
          <w:rFonts w:ascii="黑体" w:hAnsi="黑体" w:eastAsia="黑体"/>
          <w:szCs w:val="32"/>
        </w:rPr>
      </w:pPr>
      <w:r>
        <w:rPr>
          <w:rFonts w:hint="eastAsia" w:ascii="黑体" w:hAnsi="黑体" w:eastAsia="黑体"/>
          <w:sz w:val="32"/>
          <w:szCs w:val="32"/>
        </w:rPr>
        <w:t>一、项目基本情况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（一）项目基本情况简介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立足我区农业资源禀赋和产业发展现状，以“优品种、提品质、创品牌、增效益”为重点，依托兰溪米市，以兰溪粮食产业园为核心，以增加绿色优质粮油产品供给、壮大粮油产业规模、增加农民收入为目标，重点加强优质粮油原料订单收购、新产品研发、销售渠道、技术创新、追溯体系建设、品牌建设等方面建设力度，做优做强我区粮食产业经济</w:t>
      </w:r>
      <w:r>
        <w:rPr>
          <w:rFonts w:hint="eastAsia" w:ascii="仿宋_GB2312" w:eastAsia="仿宋_GB2312"/>
          <w:sz w:val="32"/>
          <w:szCs w:val="32"/>
          <w:lang w:eastAsia="zh-CN"/>
        </w:rPr>
        <w:t>。</w:t>
      </w:r>
      <w:r>
        <w:rPr>
          <w:rFonts w:hint="eastAsia" w:ascii="仿宋_GB2312" w:eastAsia="仿宋_GB2312"/>
          <w:sz w:val="32"/>
          <w:szCs w:val="32"/>
        </w:rPr>
        <w:t>拟通过三年努力，到2020年，全区粮油优质品率达70%以上，粮油加工总产值突破80亿元，培育2-3个中国驰名商标、12个湖南省著名商标，建立覆盖全国主销城市的线上线下销售体系，全面达到创建标准。</w:t>
      </w:r>
    </w:p>
    <w:p>
      <w:pPr>
        <w:ind w:firstLine="640" w:firstLineChars="200"/>
        <w:rPr>
          <w:rFonts w:hint="eastAsia" w:ascii="黑体" w:hAnsi="黑体" w:eastAsia="黑体" w:cs="仿宋"/>
          <w:sz w:val="32"/>
          <w:szCs w:val="32"/>
        </w:rPr>
      </w:pPr>
      <w:r>
        <w:rPr>
          <w:rFonts w:hint="eastAsia" w:ascii="黑体" w:hAnsi="黑体" w:eastAsia="黑体" w:cs="仿宋"/>
          <w:sz w:val="32"/>
          <w:szCs w:val="32"/>
          <w:lang w:eastAsia="zh-CN"/>
        </w:rPr>
        <w:t>二</w:t>
      </w:r>
      <w:r>
        <w:rPr>
          <w:rFonts w:hint="eastAsia" w:ascii="黑体" w:hAnsi="黑体" w:eastAsia="黑体" w:cs="仿宋"/>
          <w:sz w:val="32"/>
          <w:szCs w:val="32"/>
        </w:rPr>
        <w:t>、绩效目标分解下达情况</w:t>
      </w:r>
    </w:p>
    <w:p>
      <w:pPr>
        <w:ind w:firstLine="640" w:firstLineChars="200"/>
        <w:rPr>
          <w:rFonts w:hint="eastAsia" w:ascii="仿宋" w:hAnsi="仿宋" w:eastAsia="仿宋" w:cs="仿宋"/>
          <w:sz w:val="32"/>
          <w:szCs w:val="32"/>
        </w:rPr>
      </w:pPr>
      <w:r>
        <w:rPr>
          <w:rFonts w:hint="eastAsia" w:ascii="仿宋" w:hAnsi="仿宋" w:eastAsia="仿宋" w:cs="仿宋"/>
          <w:kern w:val="0"/>
          <w:sz w:val="32"/>
          <w:szCs w:val="32"/>
        </w:rPr>
        <w:t>2018-2019年，赫山区“优质粮油工程”项目建设总投资10650万元，其中示范企业建设投资8600万元，公共平台建设投资1550万元，粮油质量安全检验检测能力建设500万元。资金筹措方案为</w:t>
      </w:r>
      <w:r>
        <w:rPr>
          <w:rFonts w:hint="eastAsia" w:ascii="仿宋" w:hAnsi="仿宋" w:eastAsia="仿宋" w:cs="仿宋"/>
          <w:sz w:val="32"/>
          <w:szCs w:val="32"/>
        </w:rPr>
        <w:t>中央财政资金2100万元，地方配套及企业资金8550万元。</w:t>
      </w:r>
    </w:p>
    <w:p>
      <w:pPr>
        <w:ind w:firstLine="640" w:firstLineChars="200"/>
        <w:rPr>
          <w:rFonts w:hint="eastAsia" w:ascii="楷体" w:hAnsi="楷体" w:eastAsia="楷体" w:cs="仿宋"/>
          <w:sz w:val="32"/>
          <w:szCs w:val="32"/>
        </w:rPr>
      </w:pPr>
      <w:r>
        <w:rPr>
          <w:rFonts w:hint="eastAsia" w:ascii="楷体" w:hAnsi="楷体" w:eastAsia="楷体" w:cs="仿宋"/>
          <w:sz w:val="32"/>
          <w:szCs w:val="32"/>
        </w:rPr>
        <w:t>（一）示范企业建设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总投资8600万元，其中中央投资1500万元，地方配套及企业自筹资金7100万元。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1、大力发展订单，推广优质特色粮油品种种植总投资3000万元，其中中央投资600万元，地方配套及企业自筹资金2400万元。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（2）发展现代粮油产业体系，做大做强龙头企业总投资5600万元，其中中央投资900万元，地方配套及企业自筹资金4700万元。</w:t>
      </w:r>
    </w:p>
    <w:p>
      <w:pPr>
        <w:ind w:firstLine="640" w:firstLineChars="200"/>
        <w:rPr>
          <w:rFonts w:hint="eastAsia" w:ascii="楷体" w:hAnsi="楷体" w:eastAsia="楷体" w:cs="仿宋"/>
          <w:sz w:val="32"/>
          <w:szCs w:val="32"/>
        </w:rPr>
      </w:pPr>
      <w:r>
        <w:rPr>
          <w:rFonts w:hint="eastAsia" w:ascii="楷体" w:hAnsi="楷体" w:eastAsia="楷体" w:cs="仿宋"/>
          <w:sz w:val="32"/>
          <w:szCs w:val="32"/>
        </w:rPr>
        <w:t>（二）公共平台建设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总投资1550万元，包括：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1、构建“好粮油”销售体系，拓宽销售渠道总投资600万元，其中中央投资140万元，地方配套及企业自筹资金460万元。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2、加强宣传推广，开展“好粮油”品牌及膳食营养宣传总投资950万元，其中中央投资260万元，地方配套及企业自筹资金690万元。</w:t>
      </w:r>
    </w:p>
    <w:p>
      <w:pPr>
        <w:ind w:firstLine="640" w:firstLineChars="200"/>
        <w:rPr>
          <w:rFonts w:hint="eastAsia" w:ascii="楷体" w:hAnsi="楷体" w:eastAsia="楷体" w:cs="仿宋"/>
          <w:sz w:val="32"/>
          <w:szCs w:val="32"/>
        </w:rPr>
      </w:pPr>
      <w:r>
        <w:rPr>
          <w:rFonts w:hint="eastAsia" w:ascii="楷体" w:hAnsi="楷体" w:eastAsia="楷体" w:cs="仿宋"/>
          <w:sz w:val="32"/>
          <w:szCs w:val="32"/>
        </w:rPr>
        <w:t>（三）</w:t>
      </w:r>
      <w:r>
        <w:rPr>
          <w:rFonts w:hint="eastAsia" w:ascii="楷体" w:hAnsi="楷体" w:eastAsia="楷体" w:cs="仿宋"/>
          <w:sz w:val="32"/>
          <w:szCs w:val="32"/>
          <w:shd w:val="clear" w:color="auto" w:fill="FFFFFF"/>
        </w:rPr>
        <w:t>粮食质量监测站</w:t>
      </w:r>
      <w:r>
        <w:rPr>
          <w:rFonts w:hint="eastAsia" w:ascii="楷体" w:hAnsi="楷体" w:eastAsia="楷体" w:cs="仿宋"/>
          <w:sz w:val="32"/>
          <w:szCs w:val="32"/>
        </w:rPr>
        <w:t>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总投资500万元，其中中央投资200万元，地方配套及企业自筹资金300万元。</w:t>
      </w:r>
    </w:p>
    <w:p>
      <w:pPr>
        <w:spacing w:line="560" w:lineRule="exact"/>
        <w:ind w:firstLine="640" w:firstLineChars="200"/>
        <w:rPr>
          <w:rFonts w:ascii="黑体" w:hAnsi="黑体" w:eastAsia="黑体"/>
          <w:szCs w:val="32"/>
        </w:rPr>
      </w:pPr>
      <w:r>
        <w:rPr>
          <w:rFonts w:hint="eastAsia" w:ascii="黑体" w:hAnsi="黑体" w:eastAsia="黑体"/>
          <w:sz w:val="32"/>
          <w:szCs w:val="32"/>
          <w:lang w:eastAsia="zh-CN"/>
        </w:rPr>
        <w:t>三</w:t>
      </w:r>
      <w:r>
        <w:rPr>
          <w:rFonts w:hint="eastAsia" w:ascii="黑体" w:hAnsi="黑体" w:eastAsia="黑体"/>
          <w:sz w:val="32"/>
          <w:szCs w:val="32"/>
        </w:rPr>
        <w:t>、绩效评价工作情况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（一）绩效评价目的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通过“优质粮油工程”建设，实现我区由产粮大</w:t>
      </w:r>
      <w:r>
        <w:rPr>
          <w:rFonts w:hint="eastAsia" w:ascii="仿宋_GB2312" w:eastAsia="仿宋_GB2312"/>
          <w:sz w:val="32"/>
          <w:szCs w:val="32"/>
          <w:lang w:eastAsia="zh-CN"/>
        </w:rPr>
        <w:t>区</w:t>
      </w:r>
      <w:r>
        <w:rPr>
          <w:rFonts w:hint="eastAsia" w:ascii="仿宋_GB2312" w:eastAsia="仿宋_GB2312"/>
          <w:sz w:val="32"/>
          <w:szCs w:val="32"/>
        </w:rPr>
        <w:t>向粮食经济强</w:t>
      </w:r>
      <w:r>
        <w:rPr>
          <w:rFonts w:hint="eastAsia" w:ascii="仿宋_GB2312" w:eastAsia="仿宋_GB2312"/>
          <w:sz w:val="32"/>
          <w:szCs w:val="32"/>
          <w:lang w:eastAsia="zh-CN"/>
        </w:rPr>
        <w:t>区</w:t>
      </w:r>
      <w:r>
        <w:rPr>
          <w:rFonts w:hint="eastAsia" w:ascii="仿宋_GB2312" w:eastAsia="仿宋_GB2312"/>
          <w:sz w:val="32"/>
          <w:szCs w:val="32"/>
        </w:rPr>
        <w:t>的转变，全区粮油产品加工业经济总量明显扩大，带动能力明显增强，形成优质高效、绿色生态、布局合理、结构优化、协调发展的粮油产品加工产业体系，产业发展水平明显提升，粮油产品质量和安全水平不断提高。</w:t>
      </w:r>
    </w:p>
    <w:p>
      <w:pPr>
        <w:numPr>
          <w:ilvl w:val="0"/>
          <w:numId w:val="0"/>
        </w:numPr>
        <w:spacing w:line="560" w:lineRule="exact"/>
        <w:ind w:left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项目资金实际使用等情况分析</w:t>
      </w:r>
    </w:p>
    <w:p>
      <w:pPr>
        <w:numPr>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我们制定了《赫山区“优质粮油工程”项目专项资金管理使用办法》规范使用财政专项资金使用。</w:t>
      </w:r>
      <w:r>
        <w:rPr>
          <w:rFonts w:hint="eastAsia" w:ascii="仿宋" w:hAnsi="仿宋" w:eastAsia="仿宋" w:cs="仿宋_GB2312"/>
          <w:sz w:val="32"/>
          <w:szCs w:val="32"/>
        </w:rPr>
        <w:t>项目建设主体完成建设任务，2019年9月30日前，对2018年9月—2019年9月时间段的专项资金先期拨付40%，在年底通过优质粮油工程项目建设绩效考评小组验收后，拨付该项目40%的资金。通过省级绩效考评小组验收，拨付该项目剩余资金的要求，我们按时间节点拨付二批好粮油</w:t>
      </w:r>
      <w:r>
        <w:rPr>
          <w:rFonts w:hint="eastAsia" w:ascii="仿宋" w:hAnsi="仿宋" w:eastAsia="仿宋" w:cs="仿宋"/>
          <w:sz w:val="32"/>
          <w:szCs w:val="32"/>
        </w:rPr>
        <w:t>中央财政资金1613.5802万元，其中三家示范企业拨付1236万元，电商企业拨付104万元，品牌宣传拨付173.0182万元，质检站拨付100.562万元，资金拨付到位率76.84%。</w:t>
      </w:r>
    </w:p>
    <w:p>
      <w:pPr>
        <w:ind w:firstLine="640" w:firstLineChars="200"/>
        <w:rPr>
          <w:rFonts w:hint="eastAsia" w:ascii="楷体" w:hAnsi="楷体" w:eastAsia="楷体" w:cs="仿宋"/>
          <w:sz w:val="32"/>
          <w:szCs w:val="32"/>
        </w:rPr>
      </w:pPr>
      <w:r>
        <w:rPr>
          <w:rFonts w:hint="eastAsia" w:ascii="楷体" w:hAnsi="楷体" w:eastAsia="楷体" w:cs="仿宋"/>
          <w:sz w:val="32"/>
          <w:szCs w:val="32"/>
        </w:rPr>
        <w:t>2、项目资金执行情况分析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统筹规划，一是在预算编制环节整合资金。设立专项资金，确保项目启动、连续投入、连片建设、不被资金卡壳。二是对现行专项资金进行梳理分类盘活，将其与立项所支持的特色产业相关专项资金进行盘底，切一块用于搭建支持“好粮油”示范工程发展平台；自下而上对口申报的相应专项资金，以项目整合带动资金整合，实现集中投入、重点支持。三是有关项目合同及资金收支票证均符合财务规定，所有发票为正规税务发票，财政资金开支均为对公财户支付。四是建立发展“好粮油”项目绿色贷款通道，鼓励银行等金融机构加大对建设“好粮油”项目建设的信贷投放力度，简化担保审贷和报批手续，山岭米业、大宏米业分别从华融湘江银行贷款1000万元，益阳农发行赫山区支行正在与三家示范企业对接放贷事宜，支持企业做大做强优质粮油工程。四是按照先建后补的原则，全区财政资金均按项目建设进度拨付资金。</w:t>
      </w:r>
    </w:p>
    <w:p>
      <w:pPr>
        <w:ind w:firstLine="640" w:firstLineChars="200"/>
        <w:rPr>
          <w:rFonts w:hint="eastAsia" w:ascii="楷体" w:hAnsi="楷体" w:eastAsia="楷体" w:cs="仿宋"/>
          <w:sz w:val="32"/>
          <w:szCs w:val="32"/>
        </w:rPr>
      </w:pPr>
      <w:r>
        <w:rPr>
          <w:rFonts w:hint="eastAsia" w:ascii="楷体" w:hAnsi="楷体" w:eastAsia="楷体" w:cs="仿宋"/>
          <w:sz w:val="32"/>
          <w:szCs w:val="32"/>
        </w:rPr>
        <w:t>3、项目资金管理情况分析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建“好粮油”示范工程是一项系统工程，须有超前的眼光、全局的思考、统筹的安排。首先，坚持“规划先行”的原则，根据赫山区“十三五”经济发展规划和相关部门经济发展规划，作好“好粮油”示范工程建设规划，制定项目实施详细方案。二是严格实行招投标、监理、验收和政府采购等制度，规范项目实施程序，确保项目程序合法合规。三是加强项目调度、督导、重点抓好工程质量、资金管理、过程监督和考核验收，确保项目预期绩效。四是资金使用规范，区发改局、区财政局等部门共同参与，积极支持，全力配合，确保各项工作稳步推进，项目建设没有截留、挤占、挪用补助资金，或虚报冒含领补助资金的行为。</w:t>
      </w:r>
    </w:p>
    <w:p>
      <w:pPr>
        <w:ind w:firstLine="640" w:firstLineChars="200"/>
        <w:rPr>
          <w:rFonts w:hint="eastAsia" w:ascii="楷体" w:hAnsi="楷体" w:eastAsia="楷体" w:cs="仿宋"/>
          <w:sz w:val="32"/>
          <w:szCs w:val="32"/>
        </w:rPr>
      </w:pPr>
      <w:r>
        <w:rPr>
          <w:rFonts w:hint="eastAsia" w:ascii="楷体" w:hAnsi="楷体" w:eastAsia="楷体" w:cs="仿宋"/>
          <w:sz w:val="32"/>
          <w:szCs w:val="32"/>
          <w:lang w:val="en-US" w:eastAsia="zh-CN"/>
        </w:rPr>
        <w:t>4、</w:t>
      </w:r>
      <w:r>
        <w:rPr>
          <w:rFonts w:hint="eastAsia" w:ascii="楷体" w:hAnsi="楷体" w:eastAsia="楷体" w:cs="仿宋"/>
          <w:sz w:val="32"/>
          <w:szCs w:val="32"/>
        </w:rPr>
        <w:t>总体绩效目标完成情况分析</w:t>
      </w:r>
    </w:p>
    <w:p>
      <w:pPr>
        <w:pStyle w:val="2"/>
        <w:shd w:val="clear" w:color="auto" w:fill="FFFFFF"/>
        <w:spacing w:before="0" w:beforeAutospacing="0" w:after="0" w:afterAutospacing="0"/>
        <w:ind w:firstLine="643" w:firstLineChars="200"/>
        <w:rPr>
          <w:rFonts w:hint="eastAsia" w:ascii="仿宋" w:hAnsi="仿宋" w:eastAsia="仿宋"/>
          <w:b/>
          <w:sz w:val="32"/>
          <w:szCs w:val="32"/>
        </w:rPr>
      </w:pPr>
      <w:r>
        <w:rPr>
          <w:rFonts w:hint="eastAsia" w:ascii="仿宋" w:hAnsi="仿宋" w:eastAsia="仿宋"/>
          <w:b/>
          <w:sz w:val="32"/>
          <w:szCs w:val="32"/>
          <w:lang w:eastAsia="zh-CN"/>
        </w:rPr>
        <w:t>①、</w:t>
      </w:r>
      <w:r>
        <w:rPr>
          <w:rFonts w:hint="eastAsia" w:ascii="仿宋" w:hAnsi="仿宋" w:eastAsia="仿宋"/>
          <w:b/>
          <w:sz w:val="32"/>
          <w:szCs w:val="32"/>
        </w:rPr>
        <w:t>突出订单粮食，“优粮优产”有新服务</w:t>
      </w:r>
    </w:p>
    <w:p>
      <w:pPr>
        <w:pStyle w:val="2"/>
        <w:shd w:val="clear" w:color="auto" w:fill="FFFFFF"/>
        <w:spacing w:before="0" w:beforeAutospacing="0" w:after="0" w:afterAutospacing="0"/>
        <w:ind w:firstLine="640" w:firstLineChars="200"/>
        <w:rPr>
          <w:rFonts w:hint="eastAsia" w:ascii="仿宋" w:hAnsi="仿宋" w:eastAsia="仿宋"/>
          <w:spacing w:val="15"/>
          <w:sz w:val="32"/>
          <w:szCs w:val="32"/>
        </w:rPr>
      </w:pPr>
      <w:r>
        <w:rPr>
          <w:rFonts w:hint="eastAsia" w:ascii="仿宋" w:hAnsi="仿宋" w:eastAsia="仿宋"/>
          <w:sz w:val="32"/>
          <w:szCs w:val="32"/>
        </w:rPr>
        <w:t>近年来，我区加快土地流转步伐，发展规模化专业合作社459家、家庭农场726户、200亩以上种粮大户338家，流转土地64.4万亩，实现规模经营49.5万亩。</w:t>
      </w:r>
      <w:r>
        <w:rPr>
          <w:rFonts w:hint="eastAsia" w:ascii="仿宋" w:hAnsi="仿宋" w:eastAsia="仿宋" w:cs="仿宋_GB2312"/>
          <w:sz w:val="32"/>
          <w:szCs w:val="32"/>
        </w:rPr>
        <w:t>组建了绿色高端稻米协会，</w:t>
      </w:r>
      <w:r>
        <w:rPr>
          <w:rFonts w:ascii="仿宋" w:hAnsi="仿宋" w:eastAsia="仿宋" w:cs="仿宋_GB2312"/>
          <w:sz w:val="32"/>
          <w:szCs w:val="32"/>
        </w:rPr>
        <w:t>建立“企业+协会+</w:t>
      </w:r>
      <w:r>
        <w:rPr>
          <w:rFonts w:hint="eastAsia" w:ascii="仿宋" w:hAnsi="仿宋" w:eastAsia="仿宋" w:cs="仿宋_GB2312"/>
          <w:sz w:val="32"/>
          <w:szCs w:val="32"/>
        </w:rPr>
        <w:t>新型经营主体+基地</w:t>
      </w:r>
      <w:r>
        <w:rPr>
          <w:rFonts w:ascii="仿宋" w:hAnsi="仿宋" w:eastAsia="仿宋" w:cs="仿宋_GB2312"/>
          <w:sz w:val="32"/>
          <w:szCs w:val="32"/>
        </w:rPr>
        <w:t>”</w:t>
      </w:r>
      <w:r>
        <w:rPr>
          <w:rFonts w:hint="eastAsia" w:ascii="仿宋" w:hAnsi="仿宋" w:eastAsia="仿宋" w:cs="仿宋_GB2312"/>
          <w:sz w:val="32"/>
          <w:szCs w:val="32"/>
        </w:rPr>
        <w:t>的</w:t>
      </w:r>
      <w:r>
        <w:rPr>
          <w:rFonts w:ascii="仿宋" w:hAnsi="仿宋" w:eastAsia="仿宋" w:cs="仿宋_GB2312"/>
          <w:sz w:val="32"/>
          <w:szCs w:val="32"/>
        </w:rPr>
        <w:t>订单粮食</w:t>
      </w:r>
      <w:r>
        <w:rPr>
          <w:rFonts w:hint="eastAsia" w:ascii="仿宋" w:hAnsi="仿宋" w:eastAsia="仿宋" w:cs="仿宋_GB2312"/>
          <w:sz w:val="32"/>
          <w:szCs w:val="32"/>
        </w:rPr>
        <w:t>四</w:t>
      </w:r>
      <w:r>
        <w:rPr>
          <w:rFonts w:ascii="仿宋" w:hAnsi="仿宋" w:eastAsia="仿宋" w:cs="仿宋_GB2312"/>
          <w:sz w:val="32"/>
          <w:szCs w:val="32"/>
        </w:rPr>
        <w:t>级平台</w:t>
      </w:r>
      <w:r>
        <w:rPr>
          <w:rFonts w:hint="eastAsia" w:ascii="仿宋" w:hAnsi="仿宋" w:eastAsia="仿宋" w:cs="仿宋_GB2312"/>
          <w:sz w:val="32"/>
          <w:szCs w:val="32"/>
        </w:rPr>
        <w:t>。通过连片种植市场畅销品种，实现生态化种植、标准化生产、规模化经营、数字化管理。投入资金3000万元，其中中央资金600万元，2019年落实订单粮食20万亩，订单价格高出市场价格8%-10%，带动农户增收逾亿元。农田谋士、中亿现代农业等企业为农户提供“九代”（即：代育秧、代耕旋、代机插、代大田管理、代病虫草害防治、代收割、代烘干、代销售、代存储）“九化”（专业化服务、区域化布局、集团化结盟、多元化解难、机械化作业、标准化操作、契约化约束、数字化管控、规模化推进）服务面积达6万多亩。</w:t>
      </w:r>
      <w:r>
        <w:rPr>
          <w:rFonts w:hint="eastAsia" w:ascii="仿宋" w:hAnsi="仿宋" w:eastAsia="仿宋"/>
          <w:sz w:val="32"/>
          <w:szCs w:val="32"/>
        </w:rPr>
        <w:t>实现绿色防控全覆盖和电子监控全覆盖，达到稻米从育秧、栽插、管理、收割全过程可视化，有效地保证了产品的质量可追溯</w:t>
      </w:r>
      <w:r>
        <w:rPr>
          <w:rFonts w:hint="eastAsia" w:ascii="仿宋" w:hAnsi="仿宋" w:eastAsia="仿宋" w:cs="仿宋_GB2312"/>
          <w:sz w:val="32"/>
          <w:szCs w:val="32"/>
        </w:rPr>
        <w:t>。</w:t>
      </w:r>
    </w:p>
    <w:p>
      <w:pPr>
        <w:ind w:firstLine="643" w:firstLineChars="200"/>
        <w:jc w:val="left"/>
        <w:rPr>
          <w:rFonts w:hint="eastAsia" w:ascii="仿宋" w:hAnsi="仿宋" w:eastAsia="仿宋" w:cs="Arial"/>
          <w:b/>
          <w:kern w:val="0"/>
          <w:sz w:val="32"/>
          <w:szCs w:val="32"/>
        </w:rPr>
      </w:pPr>
      <w:r>
        <w:rPr>
          <w:rFonts w:hint="eastAsia" w:ascii="仿宋" w:hAnsi="仿宋" w:eastAsia="仿宋" w:cs="宋体"/>
          <w:b/>
          <w:kern w:val="0"/>
          <w:sz w:val="32"/>
          <w:szCs w:val="32"/>
          <w:shd w:val="clear" w:color="auto" w:fill="FFFFFF"/>
          <w:lang w:eastAsia="zh-CN"/>
        </w:rPr>
        <w:t>②、</w:t>
      </w:r>
      <w:r>
        <w:rPr>
          <w:rFonts w:hint="eastAsia" w:ascii="仿宋" w:hAnsi="仿宋" w:eastAsia="仿宋" w:cs="Arial"/>
          <w:b/>
          <w:kern w:val="0"/>
          <w:sz w:val="32"/>
          <w:szCs w:val="32"/>
        </w:rPr>
        <w:t>突出市场需求，“优粮优购”有新导向</w:t>
      </w:r>
    </w:p>
    <w:p>
      <w:pPr>
        <w:ind w:firstLine="640" w:firstLineChars="200"/>
        <w:jc w:val="left"/>
        <w:rPr>
          <w:rFonts w:hint="eastAsia" w:ascii="仿宋" w:hAnsi="仿宋" w:eastAsia="仿宋" w:cs="宋体"/>
          <w:kern w:val="0"/>
          <w:sz w:val="32"/>
          <w:szCs w:val="32"/>
          <w:shd w:val="clear" w:color="auto" w:fill="FFFFFF"/>
        </w:rPr>
      </w:pPr>
      <w:r>
        <w:rPr>
          <w:rFonts w:hint="eastAsia" w:ascii="仿宋" w:hAnsi="仿宋" w:eastAsia="仿宋" w:cs="仿宋_GB2312"/>
          <w:sz w:val="32"/>
          <w:szCs w:val="32"/>
        </w:rPr>
        <w:t>以市场需求为导向，一解过去农民种什么卖什么，市场有什么企业收什么的模式，</w:t>
      </w:r>
      <w:r>
        <w:rPr>
          <w:rFonts w:ascii="仿宋" w:hAnsi="仿宋" w:eastAsia="仿宋" w:cs="仿宋_GB2312"/>
          <w:sz w:val="32"/>
          <w:szCs w:val="32"/>
        </w:rPr>
        <w:t>引导农民</w:t>
      </w:r>
      <w:r>
        <w:rPr>
          <w:rFonts w:hint="eastAsia" w:ascii="仿宋" w:hAnsi="仿宋" w:eastAsia="仿宋" w:cs="仿宋_GB2312"/>
          <w:sz w:val="32"/>
          <w:szCs w:val="32"/>
        </w:rPr>
        <w:t>根据市场调强调优种植结构。</w:t>
      </w:r>
      <w:r>
        <w:rPr>
          <w:rFonts w:hint="eastAsia" w:ascii="仿宋" w:hAnsi="仿宋" w:eastAsia="仿宋" w:cs="仿宋"/>
          <w:sz w:val="32"/>
          <w:szCs w:val="32"/>
        </w:rPr>
        <w:t>大宏米业、农田谋士、五粒米等企业与新型经营主体达成战略合作，共同实施国家重点研发计划项目“粮食丰产增效科技创新重点专项”，基地面积达10万亩。</w:t>
      </w:r>
      <w:r>
        <w:rPr>
          <w:rFonts w:hint="eastAsia" w:ascii="仿宋" w:hAnsi="仿宋" w:eastAsia="仿宋" w:cs="宋体"/>
          <w:kern w:val="0"/>
          <w:sz w:val="32"/>
          <w:szCs w:val="32"/>
          <w:shd w:val="clear" w:color="auto" w:fill="FFFFFF"/>
        </w:rPr>
        <w:t>组织示范企业与湖南农大、省农科院等高等院校及科研机构建立了长期密切的合作关系，研发了玉针香、泰优390、粤王丝苗等一批优质、高档、畅销的大米品牌。2019年，优质品种黄华占价格为每百斤128－129元，市场紧俏的桃优香占、泰优390价格分别为每百斤150-160元，高档品种玉针香价格最高达每百斤190元。订单粮食和配套服务为“中国好粮油”提供了优质粮源，优粮优价又带动农民大幅增收。</w:t>
      </w:r>
    </w:p>
    <w:p>
      <w:pPr>
        <w:ind w:firstLine="643" w:firstLineChars="200"/>
        <w:rPr>
          <w:rFonts w:hint="eastAsia" w:ascii="仿宋" w:hAnsi="仿宋" w:eastAsia="仿宋"/>
          <w:b/>
          <w:sz w:val="32"/>
          <w:szCs w:val="32"/>
        </w:rPr>
      </w:pPr>
      <w:r>
        <w:rPr>
          <w:rFonts w:hint="eastAsia" w:ascii="仿宋" w:hAnsi="仿宋" w:eastAsia="仿宋"/>
          <w:b/>
          <w:sz w:val="32"/>
          <w:szCs w:val="32"/>
          <w:lang w:eastAsia="zh-CN"/>
        </w:rPr>
        <w:t>③、</w:t>
      </w:r>
      <w:r>
        <w:rPr>
          <w:rFonts w:hint="eastAsia" w:ascii="仿宋" w:hAnsi="仿宋" w:eastAsia="仿宋"/>
          <w:b/>
          <w:sz w:val="32"/>
          <w:szCs w:val="32"/>
        </w:rPr>
        <w:t>突出产后服务，“优粮优储”有新突破</w:t>
      </w:r>
    </w:p>
    <w:p>
      <w:pPr>
        <w:ind w:firstLine="640" w:firstLineChars="200"/>
        <w:rPr>
          <w:rFonts w:hint="eastAsia" w:ascii="仿宋" w:hAnsi="仿宋" w:eastAsia="仿宋"/>
          <w:sz w:val="32"/>
          <w:szCs w:val="32"/>
        </w:rPr>
      </w:pPr>
      <w:r>
        <w:rPr>
          <w:rFonts w:hint="eastAsia" w:ascii="仿宋" w:hAnsi="仿宋" w:eastAsia="仿宋" w:cs="Arial"/>
          <w:sz w:val="32"/>
          <w:szCs w:val="32"/>
        </w:rPr>
        <w:t>在产后服务方面，我们逐步完善“代清理、代干燥、代储存、代检测、代加工、代销售”，总投资8500万元，建成粮食产后服务中心8个和企业烘干车间20个，建立了覆盖全区主产乡镇的粮食产后服务体系，让农民全天候收割无忧，减少产后损失8%左右，年促农民增收近亿元，服务体系年创收在2000万元以上。投入资金500万元，其中中央资金200万元，新建成粮食质量检测中心，加强入库粮食和销售粮食检测，确保粮食符合质量要求。</w:t>
      </w:r>
      <w:r>
        <w:rPr>
          <w:rFonts w:hint="eastAsia" w:ascii="仿宋" w:hAnsi="仿宋" w:eastAsia="仿宋"/>
          <w:sz w:val="32"/>
          <w:szCs w:val="32"/>
        </w:rPr>
        <w:t>在</w:t>
      </w:r>
      <w:r>
        <w:rPr>
          <w:rFonts w:hint="eastAsia" w:ascii="仿宋" w:hAnsi="仿宋" w:eastAsia="仿宋" w:cs="仿宋"/>
          <w:color w:val="000000"/>
          <w:sz w:val="32"/>
          <w:szCs w:val="32"/>
          <w:lang w:bidi="ar"/>
        </w:rPr>
        <w:t>分品储存、低温保鲜仓方面，示范企业大宏米业新建成</w:t>
      </w:r>
      <w:r>
        <w:rPr>
          <w:rFonts w:hint="eastAsia" w:ascii="仿宋" w:hAnsi="仿宋" w:eastAsia="仿宋"/>
          <w:color w:val="000000"/>
          <w:sz w:val="32"/>
          <w:szCs w:val="32"/>
        </w:rPr>
        <w:t>1万吨</w:t>
      </w:r>
      <w:r>
        <w:rPr>
          <w:rFonts w:hint="eastAsia" w:ascii="仿宋" w:hAnsi="仿宋" w:eastAsia="仿宋" w:cs="仿宋"/>
          <w:color w:val="000000"/>
          <w:sz w:val="32"/>
          <w:szCs w:val="32"/>
          <w:lang w:bidi="ar"/>
        </w:rPr>
        <w:t>分品储存、低温保鲜仓，</w:t>
      </w:r>
      <w:r>
        <w:rPr>
          <w:rFonts w:hint="eastAsia" w:ascii="仿宋" w:hAnsi="仿宋" w:eastAsia="仿宋" w:cs="仿宋"/>
          <w:sz w:val="32"/>
          <w:szCs w:val="32"/>
        </w:rPr>
        <w:t>可长期保持设定温度的储存环境（16度低温），仓库配备了温度、湿度感应系统，可根据仓内温度湿度的变化自动启动降温设备和风网等，确保仓库内储存原粮的新鲜度，是目前全市乃至全省自动化设计运用程度最高的原粮保鲜仓，整个仓库分为120个原粮存储斗，因此也是目前全省粮食加工企业中第一个运用分斗存储原粮的私营企业和可分品种、等级存储粮食最多的粮食加工企业。</w:t>
      </w:r>
    </w:p>
    <w:p>
      <w:pPr>
        <w:ind w:firstLine="643" w:firstLineChars="200"/>
        <w:rPr>
          <w:rFonts w:hint="eastAsia" w:ascii="仿宋" w:hAnsi="仿宋" w:eastAsia="仿宋" w:cs="Arial"/>
          <w:b/>
          <w:kern w:val="0"/>
          <w:sz w:val="32"/>
          <w:szCs w:val="32"/>
        </w:rPr>
      </w:pPr>
      <w:r>
        <w:rPr>
          <w:rFonts w:hint="eastAsia" w:ascii="仿宋" w:hAnsi="仿宋" w:eastAsia="仿宋" w:cs="Arial"/>
          <w:b/>
          <w:kern w:val="0"/>
          <w:sz w:val="32"/>
          <w:szCs w:val="32"/>
          <w:lang w:eastAsia="zh-CN"/>
        </w:rPr>
        <w:t>④、</w:t>
      </w:r>
      <w:r>
        <w:rPr>
          <w:rFonts w:hint="eastAsia" w:ascii="仿宋" w:hAnsi="仿宋" w:eastAsia="仿宋" w:cs="Arial"/>
          <w:b/>
          <w:kern w:val="0"/>
          <w:sz w:val="32"/>
          <w:szCs w:val="32"/>
        </w:rPr>
        <w:t>突出科技支撑，“优粮优加”有新理念</w:t>
      </w:r>
    </w:p>
    <w:p>
      <w:pPr>
        <w:ind w:firstLine="640" w:firstLineChars="200"/>
        <w:rPr>
          <w:rFonts w:hint="eastAsia" w:ascii="仿宋" w:hAnsi="仿宋" w:eastAsia="仿宋" w:cs="仿宋"/>
          <w:sz w:val="32"/>
          <w:szCs w:val="32"/>
        </w:rPr>
      </w:pPr>
      <w:r>
        <w:rPr>
          <w:rFonts w:hint="eastAsia" w:ascii="仿宋" w:hAnsi="仿宋" w:eastAsia="仿宋"/>
          <w:color w:val="000000"/>
          <w:sz w:val="32"/>
          <w:szCs w:val="32"/>
        </w:rPr>
        <w:t>近年来，通过争取专项扶持、地方配套、整合涉粮资金、企业自筹，多管齐下，先后投入科技创新资金近2亿元，仅3家好粮油示范企业，共投入科技创新资金5600万元，其中中央资金900万元，企业装备和技术水平明显提升，产业提质升级有所突破。如</w:t>
      </w:r>
      <w:r>
        <w:rPr>
          <w:rStyle w:val="5"/>
          <w:rFonts w:ascii="仿宋" w:hAnsi="仿宋" w:eastAsia="仿宋"/>
          <w:sz w:val="32"/>
          <w:szCs w:val="32"/>
        </w:rPr>
        <w:t>大宏米业</w:t>
      </w:r>
      <w:r>
        <w:rPr>
          <w:rFonts w:hint="eastAsia" w:ascii="仿宋" w:hAnsi="仿宋" w:eastAsia="仿宋"/>
          <w:color w:val="000000"/>
          <w:sz w:val="32"/>
          <w:szCs w:val="32"/>
        </w:rPr>
        <w:t>共</w:t>
      </w:r>
      <w:r>
        <w:rPr>
          <w:rFonts w:ascii="仿宋" w:hAnsi="仿宋" w:eastAsia="仿宋"/>
          <w:color w:val="000000"/>
          <w:sz w:val="32"/>
          <w:szCs w:val="32"/>
        </w:rPr>
        <w:t>投资4000</w:t>
      </w:r>
      <w:r>
        <w:rPr>
          <w:rFonts w:hint="eastAsia" w:ascii="仿宋" w:hAnsi="仿宋" w:eastAsia="仿宋"/>
          <w:color w:val="000000"/>
          <w:sz w:val="32"/>
          <w:szCs w:val="32"/>
        </w:rPr>
        <w:t>多</w:t>
      </w:r>
      <w:r>
        <w:rPr>
          <w:rFonts w:ascii="仿宋" w:hAnsi="仿宋" w:eastAsia="仿宋"/>
          <w:color w:val="000000"/>
          <w:sz w:val="32"/>
          <w:szCs w:val="32"/>
        </w:rPr>
        <w:t>万元，</w:t>
      </w:r>
      <w:r>
        <w:rPr>
          <w:rFonts w:hint="eastAsia" w:ascii="仿宋" w:hAnsi="仿宋" w:eastAsia="仿宋"/>
          <w:color w:val="000000"/>
          <w:sz w:val="32"/>
          <w:szCs w:val="32"/>
        </w:rPr>
        <w:t>改扩建</w:t>
      </w:r>
      <w:r>
        <w:rPr>
          <w:rFonts w:ascii="仿宋" w:hAnsi="仿宋" w:eastAsia="仿宋"/>
          <w:color w:val="000000"/>
          <w:sz w:val="32"/>
          <w:szCs w:val="32"/>
        </w:rPr>
        <w:t>日产500吨</w:t>
      </w:r>
      <w:r>
        <w:rPr>
          <w:rFonts w:hint="eastAsia" w:ascii="仿宋" w:hAnsi="仿宋" w:eastAsia="仿宋"/>
          <w:color w:val="000000"/>
          <w:sz w:val="32"/>
          <w:szCs w:val="32"/>
        </w:rPr>
        <w:t>红外线云色选机</w:t>
      </w:r>
      <w:r>
        <w:rPr>
          <w:rFonts w:hint="eastAsia" w:ascii="仿宋" w:hAnsi="仿宋" w:eastAsia="仿宋" w:cs="仿宋"/>
          <w:color w:val="000000"/>
          <w:kern w:val="0"/>
          <w:sz w:val="32"/>
          <w:szCs w:val="32"/>
          <w:lang w:bidi="ar"/>
        </w:rPr>
        <w:t>全自动、无人值守、多参数、多等级设定可同选分选，单台机器效率同比提升50%；采取独立除尘系统、分层分隔除尘方式，加工车间粉尘污染控制达到99.5%。</w:t>
      </w:r>
      <w:r>
        <w:rPr>
          <w:rFonts w:hint="eastAsia" w:ascii="仿宋" w:hAnsi="仿宋" w:eastAsia="仿宋"/>
          <w:color w:val="000000"/>
          <w:sz w:val="32"/>
          <w:szCs w:val="32"/>
        </w:rPr>
        <w:t>建成</w:t>
      </w:r>
      <w:r>
        <w:rPr>
          <w:rFonts w:ascii="仿宋" w:hAnsi="仿宋" w:eastAsia="仿宋"/>
          <w:color w:val="000000"/>
          <w:sz w:val="32"/>
          <w:szCs w:val="32"/>
        </w:rPr>
        <w:t>国内一流、全市独有的</w:t>
      </w:r>
      <w:r>
        <w:rPr>
          <w:rFonts w:hint="eastAsia" w:ascii="仿宋" w:hAnsi="仿宋" w:eastAsia="仿宋" w:cs="仿宋"/>
          <w:color w:val="000000"/>
          <w:kern w:val="0"/>
          <w:sz w:val="32"/>
          <w:szCs w:val="32"/>
          <w:lang w:bidi="ar"/>
        </w:rPr>
        <w:t>中央电控系统</w:t>
      </w:r>
      <w:r>
        <w:rPr>
          <w:rFonts w:hint="eastAsia" w:ascii="仿宋" w:hAnsi="仿宋" w:eastAsia="仿宋"/>
          <w:color w:val="000000"/>
          <w:sz w:val="32"/>
          <w:szCs w:val="32"/>
        </w:rPr>
        <w:t>、</w:t>
      </w:r>
      <w:r>
        <w:rPr>
          <w:rFonts w:hint="eastAsia" w:ascii="仿宋" w:hAnsi="仿宋" w:eastAsia="仿宋" w:cs="仿宋"/>
          <w:color w:val="000000"/>
          <w:kern w:val="0"/>
          <w:sz w:val="32"/>
          <w:szCs w:val="32"/>
          <w:lang w:bidi="ar"/>
        </w:rPr>
        <w:t>ERP资源系统、</w:t>
      </w:r>
      <w:r>
        <w:rPr>
          <w:rFonts w:hint="eastAsia" w:ascii="仿宋" w:hAnsi="仿宋" w:eastAsia="仿宋"/>
          <w:color w:val="000000"/>
          <w:sz w:val="32"/>
          <w:szCs w:val="32"/>
        </w:rPr>
        <w:t>卸粮自动化系统</w:t>
      </w:r>
      <w:r>
        <w:rPr>
          <w:rFonts w:ascii="仿宋" w:hAnsi="仿宋" w:eastAsia="仿宋"/>
          <w:color w:val="000000"/>
          <w:sz w:val="32"/>
          <w:szCs w:val="32"/>
        </w:rPr>
        <w:t>、</w:t>
      </w:r>
      <w:r>
        <w:rPr>
          <w:rFonts w:hint="eastAsia" w:ascii="仿宋" w:hAnsi="仿宋" w:eastAsia="仿宋"/>
          <w:color w:val="000000"/>
          <w:sz w:val="32"/>
          <w:szCs w:val="32"/>
        </w:rPr>
        <w:t>安全监控系统、</w:t>
      </w:r>
      <w:r>
        <w:rPr>
          <w:rFonts w:ascii="仿宋" w:hAnsi="仿宋" w:eastAsia="仿宋"/>
          <w:color w:val="000000"/>
          <w:sz w:val="32"/>
          <w:szCs w:val="32"/>
        </w:rPr>
        <w:t>检验检测</w:t>
      </w:r>
      <w:r>
        <w:rPr>
          <w:rFonts w:hint="eastAsia" w:ascii="仿宋" w:hAnsi="仿宋" w:eastAsia="仿宋"/>
          <w:color w:val="000000"/>
          <w:sz w:val="32"/>
          <w:szCs w:val="32"/>
        </w:rPr>
        <w:t>系统</w:t>
      </w:r>
      <w:r>
        <w:rPr>
          <w:rFonts w:ascii="仿宋" w:hAnsi="仿宋" w:eastAsia="仿宋"/>
          <w:color w:val="000000"/>
          <w:sz w:val="32"/>
          <w:szCs w:val="32"/>
        </w:rPr>
        <w:t>，实现</w:t>
      </w:r>
      <w:r>
        <w:rPr>
          <w:rFonts w:hint="eastAsia" w:ascii="仿宋" w:hAnsi="仿宋" w:eastAsia="仿宋"/>
          <w:color w:val="000000"/>
          <w:sz w:val="32"/>
          <w:szCs w:val="32"/>
        </w:rPr>
        <w:t>了</w:t>
      </w:r>
      <w:r>
        <w:rPr>
          <w:rFonts w:ascii="仿宋" w:hAnsi="仿宋" w:eastAsia="仿宋"/>
          <w:color w:val="000000"/>
          <w:sz w:val="32"/>
          <w:szCs w:val="32"/>
        </w:rPr>
        <w:t>一键化数字</w:t>
      </w:r>
      <w:r>
        <w:rPr>
          <w:rFonts w:hint="eastAsia" w:ascii="仿宋" w:hAnsi="仿宋" w:eastAsia="仿宋"/>
          <w:color w:val="000000"/>
          <w:sz w:val="32"/>
          <w:szCs w:val="32"/>
        </w:rPr>
        <w:t>智能</w:t>
      </w:r>
      <w:r>
        <w:rPr>
          <w:rFonts w:ascii="仿宋" w:hAnsi="仿宋" w:eastAsia="仿宋"/>
          <w:color w:val="000000"/>
          <w:sz w:val="32"/>
          <w:szCs w:val="32"/>
        </w:rPr>
        <w:t>控制</w:t>
      </w:r>
      <w:r>
        <w:rPr>
          <w:rFonts w:hint="eastAsia" w:ascii="仿宋" w:hAnsi="仿宋" w:eastAsia="仿宋"/>
          <w:color w:val="000000"/>
          <w:sz w:val="32"/>
          <w:szCs w:val="32"/>
        </w:rPr>
        <w:t>。</w:t>
      </w:r>
      <w:r>
        <w:rPr>
          <w:rFonts w:hint="eastAsia" w:ascii="仿宋" w:hAnsi="仿宋" w:eastAsia="仿宋" w:cs="仿宋"/>
          <w:sz w:val="32"/>
          <w:szCs w:val="32"/>
        </w:rPr>
        <w:t>加工车间改造升级后，将成为湖南省乃至中南地区大米加工行业智能化设备设施运用水平最高和加工规模、加工效率、加工标准化水平领先区域行业的现代化大米加工企业。</w:t>
      </w:r>
    </w:p>
    <w:p>
      <w:pPr>
        <w:ind w:firstLine="643" w:firstLineChars="200"/>
        <w:rPr>
          <w:rFonts w:hint="eastAsia" w:ascii="仿宋" w:hAnsi="仿宋" w:eastAsia="仿宋"/>
          <w:b/>
          <w:sz w:val="32"/>
          <w:szCs w:val="32"/>
        </w:rPr>
      </w:pPr>
      <w:r>
        <w:rPr>
          <w:rFonts w:hint="eastAsia" w:ascii="仿宋" w:hAnsi="仿宋" w:eastAsia="仿宋"/>
          <w:b/>
          <w:sz w:val="32"/>
          <w:szCs w:val="32"/>
          <w:lang w:eastAsia="zh-CN"/>
        </w:rPr>
        <w:t>⑤、</w:t>
      </w:r>
      <w:r>
        <w:rPr>
          <w:rFonts w:hint="eastAsia" w:ascii="仿宋" w:hAnsi="仿宋" w:eastAsia="仿宋"/>
          <w:b/>
          <w:sz w:val="32"/>
          <w:szCs w:val="32"/>
        </w:rPr>
        <w:t>突出“三品一标”，“优粮优销”有新亮点</w:t>
      </w:r>
    </w:p>
    <w:p>
      <w:pPr>
        <w:ind w:firstLine="640" w:firstLineChars="200"/>
        <w:rPr>
          <w:rFonts w:hint="eastAsia" w:ascii="仿宋" w:hAnsi="仿宋" w:eastAsia="仿宋" w:cs="仿宋"/>
          <w:sz w:val="32"/>
          <w:szCs w:val="32"/>
        </w:rPr>
      </w:pPr>
      <w:r>
        <w:rPr>
          <w:rFonts w:hint="eastAsia" w:ascii="仿宋" w:hAnsi="仿宋" w:eastAsia="仿宋" w:cs="Arial"/>
          <w:sz w:val="32"/>
          <w:szCs w:val="32"/>
        </w:rPr>
        <w:t>我们在品牌建设上持续发力，成功打造了“赫山兰溪大米”地理标志产品，还</w:t>
      </w:r>
      <w:r>
        <w:rPr>
          <w:rFonts w:hint="eastAsia" w:ascii="仿宋" w:hAnsi="仿宋" w:eastAsia="仿宋"/>
          <w:sz w:val="32"/>
          <w:szCs w:val="32"/>
        </w:rPr>
        <w:t>认证有机食品13个、绿色食品40个，无公害食品54个。</w:t>
      </w:r>
      <w:r>
        <w:rPr>
          <w:rFonts w:hint="eastAsia" w:ascii="仿宋" w:hAnsi="仿宋" w:eastAsia="仿宋" w:cs="Arial"/>
          <w:sz w:val="32"/>
          <w:szCs w:val="32"/>
        </w:rPr>
        <w:t>为擦亮“赫山兰溪大米”名片，制定了《“赫山兰溪大米”质量技术控制规范》、《“赫山兰溪大米”农产品地理标志使用管理办法》，聘请专业咨询机构，编制了《“赫山兰溪大米”品牌整合推广方案》，专项投入580万元，从品牌规划、品牌宣传、品牌发布会、赫山兰溪大米尝鲜节、兰溪听购节、兰溪农旅自驾、销售渠道等七大板块拓展宣传推介,从而实现赫山兰溪大米从产品优势向品牌优势价值跨越，从区域品牌向全国品牌飞跃。积极组织企业参会参展，仅郑州第二届中国粮食交易大会上，就签订中高档大米产销合同1.5万吨，合同金额达1.5亿元。投入资金480万元，其中中央资金110万元，大力发展“护农商城”“益农易商”等电商平台，加盟天猫和京东，开设网上旗舰店。投入资金120元，其中中央资金30万元，在长沙、东莞、福州等地设立“赫山兰溪大米”品牌店、形象店30个，年销售粮油产品82万吨。2019年创粮油工业总产值75.4亿元,增速13.5%，是全省唯一跻身全国粮油工业百强县。</w:t>
      </w:r>
    </w:p>
    <w:p>
      <w:pPr>
        <w:spacing w:line="560" w:lineRule="exact"/>
        <w:ind w:firstLine="640" w:firstLineChars="200"/>
        <w:rPr>
          <w:rFonts w:ascii="黑体" w:hAnsi="黑体" w:eastAsia="黑体"/>
          <w:szCs w:val="32"/>
        </w:rPr>
      </w:pPr>
      <w:r>
        <w:rPr>
          <w:rFonts w:hint="eastAsia" w:ascii="黑体" w:hAnsi="黑体" w:eastAsia="黑体"/>
          <w:sz w:val="32"/>
          <w:szCs w:val="32"/>
          <w:lang w:eastAsia="zh-CN"/>
        </w:rPr>
        <w:t>四</w:t>
      </w:r>
      <w:r>
        <w:rPr>
          <w:rFonts w:hint="eastAsia" w:ascii="黑体" w:hAnsi="黑体" w:eastAsia="黑体"/>
          <w:sz w:val="32"/>
          <w:szCs w:val="32"/>
        </w:rPr>
        <w:t>、项目绩效情况</w:t>
      </w:r>
    </w:p>
    <w:p>
      <w:pPr>
        <w:ind w:firstLine="640" w:firstLineChars="200"/>
        <w:rPr>
          <w:rFonts w:hint="eastAsia" w:ascii="仿宋" w:hAnsi="仿宋" w:eastAsia="仿宋" w:cs="仿宋"/>
          <w:bCs/>
          <w:sz w:val="32"/>
          <w:szCs w:val="32"/>
        </w:rPr>
      </w:pPr>
      <w:r>
        <w:rPr>
          <w:rStyle w:val="5"/>
          <w:rFonts w:hint="eastAsia" w:ascii="仿宋" w:hAnsi="仿宋" w:eastAsia="仿宋"/>
          <w:bCs/>
          <w:sz w:val="32"/>
          <w:szCs w:val="32"/>
        </w:rPr>
        <w:t>（1）经济效益。</w:t>
      </w:r>
      <w:r>
        <w:rPr>
          <w:rFonts w:hint="eastAsia" w:ascii="仿宋" w:hAnsi="仿宋" w:eastAsia="仿宋" w:cs="仿宋"/>
          <w:bCs/>
          <w:sz w:val="32"/>
          <w:szCs w:val="32"/>
        </w:rPr>
        <w:t>优质粮油产品市场占有率达42%，年创粮油加工业产值75亿元，增长13%。</w:t>
      </w:r>
    </w:p>
    <w:p>
      <w:pPr>
        <w:ind w:firstLine="640" w:firstLineChars="200"/>
        <w:rPr>
          <w:rFonts w:hint="eastAsia" w:ascii="仿宋" w:hAnsi="仿宋" w:eastAsia="仿宋" w:cs="Arial"/>
          <w:sz w:val="32"/>
          <w:szCs w:val="32"/>
        </w:rPr>
      </w:pPr>
      <w:r>
        <w:rPr>
          <w:rFonts w:hint="eastAsia" w:ascii="仿宋" w:hAnsi="仿宋" w:eastAsia="仿宋" w:cs="仿宋"/>
          <w:bCs/>
          <w:sz w:val="32"/>
          <w:szCs w:val="32"/>
        </w:rPr>
        <w:t>（2）社会效益指标。示范企业通过订单种植，引导农民调整品质结构，</w:t>
      </w:r>
      <w:r>
        <w:rPr>
          <w:rFonts w:hint="eastAsia" w:ascii="仿宋" w:hAnsi="仿宋" w:eastAsia="仿宋" w:cs="仿宋_GB2312"/>
          <w:sz w:val="32"/>
          <w:szCs w:val="32"/>
        </w:rPr>
        <w:t>订单价格高出市场价格8%-10%，带动农户增收逾亿元，当年农民种植优质粮油的收益提升比率达8%，</w:t>
      </w:r>
      <w:r>
        <w:rPr>
          <w:rFonts w:hint="eastAsia" w:ascii="仿宋" w:hAnsi="仿宋" w:eastAsia="仿宋" w:cs="仿宋"/>
          <w:bCs/>
          <w:sz w:val="32"/>
          <w:szCs w:val="32"/>
        </w:rPr>
        <w:t>优质粮油比例提高13%，粮食产后服务可</w:t>
      </w:r>
      <w:r>
        <w:rPr>
          <w:rFonts w:hint="eastAsia" w:ascii="仿宋" w:hAnsi="仿宋" w:eastAsia="仿宋" w:cs="Arial"/>
          <w:sz w:val="32"/>
          <w:szCs w:val="32"/>
        </w:rPr>
        <w:t>减少产后损失8%左右，年促农民增收近亿元，服务体系年创收在2000万元以上，检测服务满足当地粮食流通要求。</w:t>
      </w:r>
    </w:p>
    <w:p>
      <w:pPr>
        <w:ind w:firstLine="640" w:firstLineChars="200"/>
        <w:rPr>
          <w:rFonts w:hint="eastAsia" w:ascii="仿宋" w:hAnsi="仿宋" w:eastAsia="仿宋" w:cs="Arial"/>
          <w:sz w:val="32"/>
          <w:szCs w:val="32"/>
        </w:rPr>
      </w:pPr>
      <w:r>
        <w:rPr>
          <w:rFonts w:hint="eastAsia" w:ascii="仿宋" w:hAnsi="仿宋" w:eastAsia="仿宋" w:cs="Arial"/>
          <w:sz w:val="32"/>
          <w:szCs w:val="32"/>
        </w:rPr>
        <w:t>（3）生态效益。“好粮油”行动，重点打造绿色优质粮油产品。生产基地通过最大限度控制化学肥料的使用量，推广科学施肥，开展测土施肥，增施有机肥，改良土壤，增肥地力，减少肥料污染；通过最大限度的控制化学农药和推广生物农药、高效低毒低残留农药，灭蚊灯杀虫，减少农业生产对土壤和生态环境的污染，改善生态环境，提高生态效益，粮油产品大部符合绿色优质要求。</w:t>
      </w:r>
    </w:p>
    <w:p>
      <w:pPr>
        <w:pStyle w:val="2"/>
        <w:spacing w:before="0" w:beforeAutospacing="0" w:after="0" w:afterAutospacing="0"/>
        <w:ind w:firstLine="200"/>
        <w:rPr>
          <w:rFonts w:hint="eastAsia" w:ascii="仿宋" w:hAnsi="仿宋" w:eastAsia="仿宋" w:cs="Arial"/>
          <w:kern w:val="2"/>
          <w:sz w:val="32"/>
          <w:szCs w:val="32"/>
        </w:rPr>
      </w:pPr>
      <w:r>
        <w:rPr>
          <w:rFonts w:hint="eastAsia" w:ascii="仿宋" w:hAnsi="仿宋" w:eastAsia="仿宋" w:cs="Arial"/>
          <w:sz w:val="32"/>
          <w:szCs w:val="32"/>
        </w:rPr>
        <w:t>（4）可持续影响指标。</w:t>
      </w:r>
      <w:r>
        <w:rPr>
          <w:rFonts w:hint="eastAsia" w:ascii="仿宋" w:hAnsi="仿宋" w:eastAsia="仿宋" w:cs="Arial"/>
          <w:kern w:val="2"/>
          <w:sz w:val="32"/>
          <w:szCs w:val="32"/>
        </w:rPr>
        <w:t>通过“好粮油”行动国家示范县的创建，</w:t>
      </w:r>
      <w:r>
        <w:rPr>
          <w:rFonts w:ascii="仿宋" w:hAnsi="仿宋" w:eastAsia="仿宋" w:cs="Arial"/>
          <w:kern w:val="2"/>
          <w:sz w:val="32"/>
          <w:szCs w:val="32"/>
        </w:rPr>
        <w:t>发挥流通反馈激励作用，引导立足特色优势调整优化种植结构，促进“优粮优产”；发挥粮食质量安全检验监测作用，引导收购环节强化质量导向，促进“优粮优购”；发挥示范企业和粮食产后服务中心作用，引导分等、分仓储存和精细化管理，促进“优粮优储”；发挥龙头企业辐射带动作用，引导支持发展粮食精深加工，促进“优粮优加”；发挥粮食品牌建设作用，引导绿色优质产品供给消费，促进“优粮优销”，加</w:t>
      </w:r>
      <w:bookmarkStart w:id="0" w:name="_GoBack"/>
      <w:bookmarkEnd w:id="0"/>
      <w:r>
        <w:rPr>
          <w:rFonts w:ascii="仿宋" w:hAnsi="仿宋" w:eastAsia="仿宋" w:cs="Arial"/>
          <w:kern w:val="2"/>
          <w:sz w:val="32"/>
          <w:szCs w:val="32"/>
        </w:rPr>
        <w:t>快粮食产业高质量发展</w:t>
      </w:r>
      <w:r>
        <w:rPr>
          <w:rFonts w:hint="eastAsia" w:ascii="仿宋" w:hAnsi="仿宋" w:eastAsia="仿宋" w:cs="Arial"/>
          <w:kern w:val="2"/>
          <w:sz w:val="32"/>
          <w:szCs w:val="32"/>
        </w:rPr>
        <w:t>，</w:t>
      </w:r>
      <w:r>
        <w:rPr>
          <w:rFonts w:ascii="仿宋" w:hAnsi="仿宋" w:eastAsia="仿宋" w:cs="Arial"/>
          <w:kern w:val="2"/>
          <w:sz w:val="32"/>
          <w:szCs w:val="32"/>
        </w:rPr>
        <w:t>有效促进了农民增收、企业增效、消费者得实惠。</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jc w:val="left"/>
        <w:textAlignment w:val="auto"/>
        <w:rPr>
          <w:rFonts w:hint="eastAsia" w:ascii="仿宋_GB2312" w:eastAsia="仿宋_GB2312"/>
          <w:sz w:val="32"/>
          <w:szCs w:val="32"/>
        </w:rPr>
      </w:pPr>
      <w:r>
        <w:rPr>
          <w:rFonts w:hint="eastAsia" w:ascii="仿宋_GB2312" w:eastAsia="仿宋_GB2312"/>
          <w:sz w:val="32"/>
          <w:szCs w:val="32"/>
          <w:lang w:val="en-US" w:eastAsia="zh-CN"/>
        </w:rPr>
        <w:t>根据《2019年项目支出绩效自评指标计分表》评分，得分92分（详见附表4），财政支出绩效自评结果为优。</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黑体" w:hAnsi="黑体" w:eastAsia="黑体"/>
          <w:sz w:val="32"/>
          <w:szCs w:val="32"/>
          <w:lang w:eastAsia="zh-CN"/>
        </w:rPr>
        <w:t>四、</w:t>
      </w:r>
      <w:r>
        <w:rPr>
          <w:rFonts w:hint="eastAsia" w:ascii="黑体" w:hAnsi="黑体" w:eastAsia="黑体"/>
          <w:sz w:val="32"/>
          <w:szCs w:val="32"/>
        </w:rPr>
        <w:t>其他需要说明的问题</w:t>
      </w:r>
      <w:r>
        <w:rPr>
          <w:rFonts w:hint="eastAsia" w:ascii="黑体" w:hAnsi="黑体" w:eastAsia="黑体"/>
          <w:sz w:val="32"/>
          <w:szCs w:val="32"/>
          <w:lang w:eastAsia="zh-CN"/>
        </w:rPr>
        <w:t>：</w:t>
      </w:r>
      <w:r>
        <w:rPr>
          <w:rFonts w:hint="eastAsia" w:ascii="仿宋_GB2312" w:eastAsia="仿宋_GB2312"/>
          <w:sz w:val="32"/>
          <w:szCs w:val="32"/>
          <w:lang w:val="en-US" w:eastAsia="zh-CN"/>
        </w:rPr>
        <w:t>无</w:t>
      </w:r>
    </w:p>
    <w:p>
      <w:pPr>
        <w:numPr>
          <w:ilvl w:val="0"/>
          <w:numId w:val="0"/>
        </w:numPr>
        <w:spacing w:line="560" w:lineRule="exact"/>
        <w:ind w:firstLine="4800" w:firstLineChars="1500"/>
        <w:rPr>
          <w:rFonts w:hint="eastAsia" w:ascii="仿宋_GB2312" w:eastAsia="仿宋_GB2312"/>
          <w:sz w:val="32"/>
          <w:szCs w:val="32"/>
          <w:lang w:val="en-US" w:eastAsia="zh-CN"/>
        </w:rPr>
      </w:pPr>
      <w:r>
        <w:rPr>
          <w:rFonts w:hint="eastAsia" w:ascii="仿宋_GB2312" w:eastAsia="仿宋_GB2312"/>
          <w:sz w:val="32"/>
          <w:szCs w:val="32"/>
          <w:lang w:val="en-US" w:eastAsia="zh-CN"/>
        </w:rPr>
        <w:t>益阳市赫山区粮食局</w:t>
      </w:r>
    </w:p>
    <w:p>
      <w:pPr>
        <w:numPr>
          <w:ilvl w:val="0"/>
          <w:numId w:val="0"/>
        </w:numPr>
        <w:spacing w:line="560" w:lineRule="exact"/>
        <w:ind w:firstLine="5120" w:firstLineChars="1600"/>
        <w:rPr>
          <w:rFonts w:hint="eastAsia" w:ascii="仿宋_GB2312" w:eastAsia="仿宋_GB2312"/>
          <w:sz w:val="32"/>
          <w:szCs w:val="32"/>
          <w:lang w:val="en-US" w:eastAsia="zh-CN"/>
        </w:rPr>
      </w:pPr>
      <w:r>
        <w:rPr>
          <w:rFonts w:hint="eastAsia" w:ascii="仿宋_GB2312" w:eastAsia="仿宋_GB2312"/>
          <w:sz w:val="32"/>
          <w:szCs w:val="32"/>
          <w:lang w:val="en-US" w:eastAsia="zh-CN"/>
        </w:rPr>
        <w:t>2020年7月26日</w:t>
      </w:r>
    </w:p>
    <w:p>
      <w:pPr>
        <w:spacing w:line="480" w:lineRule="exact"/>
        <w:rPr>
          <w:rFonts w:hint="eastAsia" w:ascii="黑体" w:eastAsia="黑体"/>
          <w:sz w:val="32"/>
          <w:szCs w:val="32"/>
        </w:rPr>
      </w:pPr>
    </w:p>
    <w:p>
      <w:pPr>
        <w:spacing w:line="480" w:lineRule="exact"/>
        <w:rPr>
          <w:rFonts w:hint="eastAsia" w:ascii="黑体" w:eastAsia="黑体"/>
          <w:sz w:val="32"/>
          <w:szCs w:val="32"/>
        </w:rPr>
      </w:pPr>
    </w:p>
    <w:p>
      <w:pPr>
        <w:spacing w:line="480" w:lineRule="exact"/>
        <w:rPr>
          <w:rFonts w:ascii="黑体" w:eastAsia="黑体"/>
          <w:color w:val="auto"/>
          <w:sz w:val="32"/>
          <w:szCs w:val="32"/>
        </w:rPr>
      </w:pPr>
      <w:r>
        <w:rPr>
          <w:rFonts w:hint="eastAsia" w:ascii="黑体" w:eastAsia="黑体" w:cs="黑体"/>
          <w:color w:val="auto"/>
          <w:sz w:val="32"/>
          <w:szCs w:val="32"/>
        </w:rPr>
        <w:t>附件</w:t>
      </w:r>
      <w:r>
        <w:rPr>
          <w:rFonts w:ascii="黑体" w:eastAsia="黑体" w:cs="黑体"/>
          <w:color w:val="auto"/>
          <w:sz w:val="32"/>
          <w:szCs w:val="32"/>
        </w:rPr>
        <w:t>4</w:t>
      </w:r>
      <w:r>
        <w:rPr>
          <w:rFonts w:hint="eastAsia" w:ascii="黑体" w:eastAsia="黑体" w:cs="黑体"/>
          <w:color w:val="auto"/>
          <w:sz w:val="32"/>
          <w:szCs w:val="32"/>
        </w:rPr>
        <w:t>：</w:t>
      </w:r>
    </w:p>
    <w:p>
      <w:pPr>
        <w:widowControl/>
        <w:spacing w:line="480" w:lineRule="exact"/>
        <w:jc w:val="center"/>
        <w:rPr>
          <w:rFonts w:ascii="方正小标宋简体" w:hAnsi="宋体" w:eastAsia="方正小标宋简体"/>
          <w:color w:val="auto"/>
          <w:kern w:val="0"/>
          <w:sz w:val="44"/>
          <w:szCs w:val="44"/>
        </w:rPr>
      </w:pPr>
      <w:r>
        <w:rPr>
          <w:rFonts w:ascii="方正小标宋简体" w:hAnsi="宋体" w:eastAsia="方正小标宋简体" w:cs="方正小标宋简体"/>
          <w:color w:val="auto"/>
          <w:kern w:val="0"/>
          <w:sz w:val="44"/>
          <w:szCs w:val="44"/>
        </w:rPr>
        <w:t>2019</w:t>
      </w:r>
      <w:r>
        <w:rPr>
          <w:rFonts w:hint="eastAsia" w:ascii="方正小标宋简体" w:hAnsi="宋体" w:eastAsia="方正小标宋简体" w:cs="方正小标宋简体"/>
          <w:color w:val="auto"/>
          <w:kern w:val="0"/>
          <w:sz w:val="44"/>
          <w:szCs w:val="44"/>
        </w:rPr>
        <w:t>年项目支出绩效自评指标计分表</w:t>
      </w:r>
    </w:p>
    <w:p>
      <w:pPr>
        <w:spacing w:line="80" w:lineRule="exact"/>
        <w:rPr>
          <w:rFonts w:ascii="黑体" w:eastAsia="黑体"/>
          <w:color w:val="auto"/>
        </w:rPr>
      </w:pPr>
    </w:p>
    <w:tbl>
      <w:tblPr>
        <w:tblStyle w:val="3"/>
        <w:tblW w:w="885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811"/>
        <w:gridCol w:w="1065"/>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blHeader/>
        </w:trPr>
        <w:tc>
          <w:tcPr>
            <w:tcW w:w="639"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一级指标</w:t>
            </w:r>
          </w:p>
        </w:tc>
        <w:tc>
          <w:tcPr>
            <w:tcW w:w="811"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二级</w:t>
            </w:r>
          </w:p>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指标</w:t>
            </w:r>
          </w:p>
        </w:tc>
        <w:tc>
          <w:tcPr>
            <w:tcW w:w="1065"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三级</w:t>
            </w:r>
          </w:p>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指标</w:t>
            </w:r>
          </w:p>
        </w:tc>
        <w:tc>
          <w:tcPr>
            <w:tcW w:w="639"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自评分</w:t>
            </w:r>
          </w:p>
        </w:tc>
        <w:tc>
          <w:tcPr>
            <w:tcW w:w="2769"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具体指标</w:t>
            </w:r>
          </w:p>
        </w:tc>
        <w:tc>
          <w:tcPr>
            <w:tcW w:w="2928"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w:t>
            </w:r>
            <w:r>
              <w:rPr>
                <w:rFonts w:ascii="宋体" w:hAnsi="宋体" w:cs="宋体"/>
                <w:color w:val="auto"/>
                <w:kern w:val="0"/>
                <w:sz w:val="20"/>
                <w:szCs w:val="20"/>
              </w:rPr>
              <w:t>20</w:t>
            </w:r>
            <w:r>
              <w:rPr>
                <w:rFonts w:hint="eastAsia" w:ascii="宋体" w:hAnsi="宋体" w:cs="宋体"/>
                <w:color w:val="auto"/>
                <w:kern w:val="0"/>
                <w:sz w:val="20"/>
                <w:szCs w:val="20"/>
              </w:rPr>
              <w:t>分）</w:t>
            </w:r>
          </w:p>
        </w:tc>
        <w:tc>
          <w:tcPr>
            <w:tcW w:w="811"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目标（</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目标</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内容（</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spacing w:line="260" w:lineRule="exact"/>
              <w:jc w:val="left"/>
              <w:rPr>
                <w:rFonts w:ascii="宋体"/>
                <w:color w:val="auto"/>
                <w:kern w:val="0"/>
                <w:sz w:val="20"/>
                <w:szCs w:val="20"/>
              </w:rPr>
            </w:pPr>
            <w:r>
              <w:rPr>
                <w:rFonts w:hint="eastAsia" w:ascii="宋体" w:hAnsi="宋体" w:cs="宋体"/>
                <w:color w:val="auto"/>
                <w:kern w:val="0"/>
                <w:sz w:val="20"/>
                <w:szCs w:val="20"/>
              </w:rPr>
              <w:t>设立了项目绩效目标；目标明确；目标细化；目标量化</w:t>
            </w:r>
          </w:p>
        </w:tc>
        <w:tc>
          <w:tcPr>
            <w:tcW w:w="2928" w:type="dxa"/>
            <w:vAlign w:val="center"/>
          </w:tcPr>
          <w:p>
            <w:pPr>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设有目标（</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目标明确（</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目标细化（</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spacing w:line="260" w:lineRule="exact"/>
              <w:jc w:val="left"/>
              <w:rPr>
                <w:rFonts w:ascii="宋体"/>
                <w:color w:val="auto"/>
                <w:kern w:val="0"/>
                <w:sz w:val="20"/>
                <w:szCs w:val="20"/>
              </w:rPr>
            </w:pPr>
            <w:r>
              <w:rPr>
                <w:rFonts w:hint="eastAsia" w:ascii="宋体" w:hAnsi="宋体" w:cs="宋体"/>
                <w:color w:val="5B9BD5" w:themeColor="accent1"/>
                <w:kern w:val="0"/>
                <w:sz w:val="20"/>
                <w:szCs w:val="20"/>
                <w14:textFill>
                  <w14:solidFill>
                    <w14:schemeClr w14:val="accent1"/>
                  </w14:solidFill>
                </w14:textFill>
              </w:rPr>
              <w:t>目标量化（</w:t>
            </w:r>
            <w:r>
              <w:rPr>
                <w:rFonts w:ascii="宋体" w:hAnsi="宋体" w:cs="宋体"/>
                <w:color w:val="5B9BD5" w:themeColor="accent1"/>
                <w:kern w:val="0"/>
                <w:sz w:val="20"/>
                <w:szCs w:val="20"/>
                <w14:textFill>
                  <w14:solidFill>
                    <w14:schemeClr w14:val="accent1"/>
                  </w14:solidFill>
                </w14:textFill>
              </w:rPr>
              <w:t>1</w:t>
            </w:r>
            <w:r>
              <w:rPr>
                <w:rFonts w:hint="eastAsia" w:ascii="宋体" w:hAnsi="宋体" w:cs="宋体"/>
                <w:color w:val="5B9BD5" w:themeColor="accent1"/>
                <w:kern w:val="0"/>
                <w:sz w:val="20"/>
                <w:szCs w:val="20"/>
                <w14:textFill>
                  <w14:solidFill>
                    <w14:schemeClr w14:val="accent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决策过程（</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依据（</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有关法律法规的明确规定；某一经济社会发展规划；某部门年度工作计划；某一实际问题和需求</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符合法律法规（</w:t>
            </w:r>
            <w:r>
              <w:rPr>
                <w:rFonts w:ascii="宋体" w:hAnsi="宋体" w:cs="宋体"/>
                <w:color w:val="auto"/>
                <w:kern w:val="0"/>
                <w:sz w:val="20"/>
                <w:szCs w:val="20"/>
              </w:rPr>
              <w:t>1</w:t>
            </w:r>
            <w:r>
              <w:rPr>
                <w:rFonts w:hint="eastAsia" w:ascii="宋体" w:hAnsi="宋体" w:cs="宋体"/>
                <w:color w:val="auto"/>
                <w:kern w:val="0"/>
                <w:sz w:val="20"/>
                <w:szCs w:val="20"/>
              </w:rPr>
              <w:t>分）符合经济社会发展规划（</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部门年度工作计划（</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针对某一实际问题和需求（</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程序（</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项目符合申报条件；申报、批复程序符合相关管理办法；项目调整履行了相应手续</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符合申报条件（</w:t>
            </w:r>
            <w:r>
              <w:rPr>
                <w:rFonts w:ascii="宋体" w:hAnsi="宋体" w:cs="宋体"/>
                <w:color w:val="auto"/>
                <w:kern w:val="0"/>
                <w:sz w:val="20"/>
                <w:szCs w:val="20"/>
              </w:rPr>
              <w:t>2</w:t>
            </w:r>
            <w:r>
              <w:rPr>
                <w:rFonts w:hint="eastAsia" w:ascii="宋体" w:hAnsi="宋体" w:cs="宋体"/>
                <w:color w:val="auto"/>
                <w:kern w:val="0"/>
                <w:sz w:val="20"/>
                <w:szCs w:val="20"/>
              </w:rPr>
              <w:t>分）项目申报、批复程序符合管理办法（</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项目调整履行了相应手续（</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资金分配（</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分配</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办法（</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2</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根据需要制定的相关资金管理办法；管理办法中有明确资金分配办法；资金分配因素全面、合理</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有相应的资金管理办法（</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办法健全、规范（</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5B9BD5" w:themeColor="accent1"/>
                <w:kern w:val="0"/>
                <w:sz w:val="20"/>
                <w:szCs w:val="20"/>
                <w14:textFill>
                  <w14:solidFill>
                    <w14:schemeClr w14:val="accent1"/>
                  </w14:solidFill>
                </w14:textFill>
              </w:rPr>
              <w:t>因素全面合理（</w:t>
            </w:r>
            <w:r>
              <w:rPr>
                <w:rFonts w:ascii="宋体" w:hAnsi="宋体" w:cs="宋体"/>
                <w:color w:val="5B9BD5" w:themeColor="accent1"/>
                <w:kern w:val="0"/>
                <w:sz w:val="20"/>
                <w:szCs w:val="20"/>
                <w14:textFill>
                  <w14:solidFill>
                    <w14:schemeClr w14:val="accent1"/>
                  </w14:solidFill>
                </w14:textFill>
              </w:rPr>
              <w:t>1</w:t>
            </w:r>
            <w:r>
              <w:rPr>
                <w:rFonts w:hint="eastAsia" w:ascii="宋体" w:hAnsi="宋体" w:cs="宋体"/>
                <w:color w:val="5B9BD5" w:themeColor="accent1"/>
                <w:kern w:val="0"/>
                <w:sz w:val="20"/>
                <w:szCs w:val="20"/>
                <w14:textFill>
                  <w14:solidFill>
                    <w14:schemeClr w14:val="accent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分配</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结果（</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5</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资金分配符合相关管理办法；分配结果公平合理</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符合分配办法（</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分配公平合理（</w:t>
            </w:r>
            <w:r>
              <w:rPr>
                <w:rFonts w:ascii="宋体" w:hAnsi="宋体" w:cs="宋体"/>
                <w:color w:val="auto"/>
                <w:kern w:val="0"/>
                <w:sz w:val="20"/>
                <w:szCs w:val="20"/>
              </w:rPr>
              <w:t>3</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管理</w:t>
            </w:r>
            <w:r>
              <w:rPr>
                <w:rFonts w:ascii="宋体" w:hAnsi="宋体" w:cs="宋体"/>
                <w:color w:val="auto"/>
                <w:kern w:val="0"/>
                <w:sz w:val="20"/>
                <w:szCs w:val="20"/>
              </w:rPr>
              <w:t xml:space="preserve"> </w:t>
            </w:r>
            <w:r>
              <w:rPr>
                <w:rFonts w:hint="eastAsia" w:ascii="宋体" w:hAnsi="宋体" w:cs="宋体"/>
                <w:color w:val="auto"/>
                <w:kern w:val="0"/>
                <w:sz w:val="20"/>
                <w:szCs w:val="20"/>
              </w:rPr>
              <w:t>（</w:t>
            </w:r>
            <w:r>
              <w:rPr>
                <w:rFonts w:ascii="宋体" w:hAnsi="宋体" w:cs="宋体"/>
                <w:color w:val="auto"/>
                <w:kern w:val="0"/>
                <w:sz w:val="20"/>
                <w:szCs w:val="20"/>
              </w:rPr>
              <w:t>25</w:t>
            </w:r>
            <w:r>
              <w:rPr>
                <w:rFonts w:hint="eastAsia" w:ascii="宋体" w:hAnsi="宋体" w:cs="宋体"/>
                <w:color w:val="auto"/>
                <w:kern w:val="0"/>
                <w:sz w:val="20"/>
                <w:szCs w:val="20"/>
              </w:rPr>
              <w:t>分）</w:t>
            </w: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资金到位（</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到位率（</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2</w:t>
            </w:r>
          </w:p>
        </w:tc>
        <w:tc>
          <w:tcPr>
            <w:tcW w:w="2769" w:type="dxa"/>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实际到位</w:t>
            </w:r>
            <w:r>
              <w:rPr>
                <w:rFonts w:ascii="宋体" w:hAnsi="宋体" w:cs="宋体"/>
                <w:color w:val="auto"/>
                <w:kern w:val="0"/>
                <w:sz w:val="20"/>
                <w:szCs w:val="20"/>
              </w:rPr>
              <w:t>/</w:t>
            </w:r>
            <w:r>
              <w:rPr>
                <w:rFonts w:hint="eastAsia" w:ascii="宋体" w:hAnsi="宋体" w:cs="宋体"/>
                <w:color w:val="auto"/>
                <w:kern w:val="0"/>
                <w:sz w:val="20"/>
                <w:szCs w:val="20"/>
              </w:rPr>
              <w:t>计划到位</w:t>
            </w:r>
            <w:r>
              <w:rPr>
                <w:rFonts w:ascii="宋体" w:hAnsi="宋体" w:cs="宋体"/>
                <w:color w:val="auto"/>
                <w:kern w:val="0"/>
                <w:sz w:val="20"/>
                <w:szCs w:val="20"/>
              </w:rPr>
              <w:t>*100%</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5B9BD5" w:themeColor="accent1"/>
                <w:kern w:val="0"/>
                <w:sz w:val="20"/>
                <w:szCs w:val="20"/>
                <w14:textFill>
                  <w14:solidFill>
                    <w14:schemeClr w14:val="accent1"/>
                  </w14:solidFill>
                </w14:textFill>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到位</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时效（</w:t>
            </w:r>
            <w:r>
              <w:rPr>
                <w:rFonts w:ascii="宋体" w:hAnsi="宋体" w:cs="宋体"/>
                <w:color w:val="auto"/>
                <w:kern w:val="0"/>
                <w:sz w:val="20"/>
                <w:szCs w:val="20"/>
              </w:rPr>
              <w:t>2</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2</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资金及时到位；若未及时到位，是否影响项目进度</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到位及时（</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不及时但未影响项目进度</w:t>
            </w:r>
            <w:r>
              <w:rPr>
                <w:rFonts w:ascii="宋体" w:hAnsi="宋体" w:cs="宋体"/>
                <w:color w:val="auto"/>
                <w:kern w:val="0"/>
                <w:sz w:val="20"/>
                <w:szCs w:val="20"/>
              </w:rPr>
              <w:t xml:space="preserve"> </w:t>
            </w:r>
            <w:r>
              <w:rPr>
                <w:rFonts w:hint="eastAsia" w:ascii="宋体" w:hAnsi="宋体" w:cs="宋体"/>
                <w:color w:val="auto"/>
                <w:kern w:val="0"/>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不及时并影响项目进度（</w:t>
            </w:r>
            <w:r>
              <w:rPr>
                <w:rFonts w:ascii="宋体" w:hAnsi="宋体" w:cs="宋体"/>
                <w:color w:val="auto"/>
                <w:kern w:val="0"/>
                <w:sz w:val="20"/>
                <w:szCs w:val="20"/>
              </w:rPr>
              <w:t>0.5</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资金管理（</w:t>
            </w:r>
            <w:r>
              <w:rPr>
                <w:rFonts w:ascii="宋体" w:hAnsi="宋体" w:cs="宋体"/>
                <w:color w:val="auto"/>
                <w:kern w:val="0"/>
                <w:sz w:val="20"/>
                <w:szCs w:val="20"/>
              </w:rPr>
              <w:t>10</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使用（</w:t>
            </w:r>
            <w:r>
              <w:rPr>
                <w:rFonts w:ascii="宋体" w:hAnsi="宋体" w:cs="宋体"/>
                <w:color w:val="auto"/>
                <w:kern w:val="0"/>
                <w:sz w:val="20"/>
                <w:szCs w:val="20"/>
              </w:rPr>
              <w:t>7</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支出依据合规，无虚列项目支出情况；无截留挤占挪用情况；无超标准开支情况；无超预算情况</w:t>
            </w:r>
          </w:p>
        </w:tc>
        <w:tc>
          <w:tcPr>
            <w:tcW w:w="2928" w:type="dxa"/>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虚列套取扣</w:t>
            </w:r>
            <w:r>
              <w:rPr>
                <w:rFonts w:ascii="宋体" w:hAnsi="宋体" w:cs="宋体"/>
                <w:color w:val="auto"/>
                <w:kern w:val="0"/>
                <w:sz w:val="20"/>
                <w:szCs w:val="20"/>
              </w:rPr>
              <w:t>4-7</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依据不合规扣</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截留、挤占、挪用</w:t>
            </w:r>
            <w:r>
              <w:rPr>
                <w:rFonts w:ascii="宋体" w:hAnsi="宋体" w:cs="宋体"/>
                <w:color w:val="auto"/>
                <w:kern w:val="0"/>
                <w:sz w:val="20"/>
                <w:szCs w:val="20"/>
              </w:rPr>
              <w:t xml:space="preserve">    </w:t>
            </w:r>
            <w:r>
              <w:rPr>
                <w:rFonts w:hint="eastAsia" w:ascii="宋体" w:hAnsi="宋体" w:cs="宋体"/>
                <w:color w:val="auto"/>
                <w:kern w:val="0"/>
                <w:sz w:val="20"/>
                <w:szCs w:val="20"/>
              </w:rPr>
              <w:t>扣</w:t>
            </w:r>
            <w:r>
              <w:rPr>
                <w:rFonts w:ascii="宋体" w:hAnsi="宋体" w:cs="宋体"/>
                <w:color w:val="auto"/>
                <w:kern w:val="0"/>
                <w:sz w:val="20"/>
                <w:szCs w:val="20"/>
              </w:rPr>
              <w:t>3-6</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超标准开支扣</w:t>
            </w:r>
            <w:r>
              <w:rPr>
                <w:rFonts w:ascii="宋体" w:hAnsi="宋体" w:cs="宋体"/>
                <w:color w:val="auto"/>
                <w:kern w:val="0"/>
                <w:sz w:val="20"/>
                <w:szCs w:val="20"/>
              </w:rPr>
              <w:t>2-5</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超预算扣</w:t>
            </w:r>
            <w:r>
              <w:rPr>
                <w:rFonts w:ascii="宋体" w:hAnsi="宋体" w:cs="宋体"/>
                <w:color w:val="auto"/>
                <w:kern w:val="0"/>
                <w:sz w:val="20"/>
                <w:szCs w:val="20"/>
              </w:rPr>
              <w:t>2-5</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财务</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管理（</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资金管理、费用支出等制度健全；制度执行严格；会计核算规范</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财务制度健全（</w:t>
            </w:r>
            <w:r>
              <w:rPr>
                <w:rFonts w:ascii="宋体" w:hAnsi="宋体" w:cs="宋体"/>
                <w:color w:val="auto"/>
                <w:kern w:val="0"/>
                <w:sz w:val="20"/>
                <w:szCs w:val="20"/>
              </w:rPr>
              <w:t>1</w:t>
            </w:r>
            <w:r>
              <w:rPr>
                <w:rFonts w:hint="eastAsia" w:ascii="宋体" w:hAnsi="宋体" w:cs="宋体"/>
                <w:color w:val="auto"/>
                <w:kern w:val="0"/>
                <w:sz w:val="20"/>
                <w:szCs w:val="20"/>
              </w:rPr>
              <w:t>分）严格执行制度（</w:t>
            </w:r>
            <w:r>
              <w:rPr>
                <w:rFonts w:ascii="宋体" w:hAnsi="宋体" w:cs="宋体"/>
                <w:color w:val="auto"/>
                <w:kern w:val="0"/>
                <w:sz w:val="20"/>
                <w:szCs w:val="20"/>
              </w:rPr>
              <w:t>1</w:t>
            </w:r>
            <w:r>
              <w:rPr>
                <w:rFonts w:hint="eastAsia" w:ascii="宋体" w:hAnsi="宋体" w:cs="宋体"/>
                <w:color w:val="auto"/>
                <w:kern w:val="0"/>
                <w:sz w:val="20"/>
                <w:szCs w:val="20"/>
              </w:rPr>
              <w:t>分）会计核算规范（</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组织</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实施（</w:t>
            </w:r>
            <w:r>
              <w:rPr>
                <w:rFonts w:ascii="宋体" w:hAnsi="宋体" w:cs="宋体"/>
                <w:color w:val="auto"/>
                <w:kern w:val="0"/>
                <w:sz w:val="20"/>
                <w:szCs w:val="20"/>
              </w:rPr>
              <w:t>10</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组织</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机构（</w:t>
            </w:r>
            <w:r>
              <w:rPr>
                <w:rFonts w:ascii="宋体" w:hAnsi="宋体" w:cs="宋体"/>
                <w:color w:val="auto"/>
                <w:kern w:val="0"/>
                <w:sz w:val="20"/>
                <w:szCs w:val="20"/>
              </w:rPr>
              <w:t>1</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1</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机构健全、分工明确</w:t>
            </w:r>
          </w:p>
        </w:tc>
        <w:tc>
          <w:tcPr>
            <w:tcW w:w="2928" w:type="dxa"/>
            <w:vAlign w:val="center"/>
          </w:tcPr>
          <w:p>
            <w:pPr>
              <w:widowControl/>
              <w:spacing w:line="260" w:lineRule="exact"/>
              <w:ind w:left="200" w:hanging="200" w:hangingChars="100"/>
              <w:jc w:val="left"/>
              <w:rPr>
                <w:rFonts w:ascii="宋体"/>
                <w:color w:val="auto"/>
                <w:kern w:val="0"/>
                <w:sz w:val="20"/>
                <w:szCs w:val="20"/>
              </w:rPr>
            </w:pPr>
            <w:r>
              <w:rPr>
                <w:rFonts w:hint="eastAsia" w:ascii="宋体" w:hAnsi="宋体" w:cs="宋体"/>
                <w:color w:val="auto"/>
                <w:kern w:val="0"/>
                <w:sz w:val="20"/>
                <w:szCs w:val="20"/>
              </w:rPr>
              <w:t>机构健全、分工明确</w:t>
            </w:r>
            <w:r>
              <w:rPr>
                <w:rFonts w:ascii="宋体" w:hAnsi="宋体" w:cs="宋体"/>
                <w:color w:val="auto"/>
                <w:kern w:val="0"/>
                <w:sz w:val="20"/>
                <w:szCs w:val="20"/>
              </w:rPr>
              <w:t xml:space="preserve">  </w:t>
            </w:r>
            <w:r>
              <w:rPr>
                <w:rFonts w:hint="eastAsia" w:ascii="宋体" w:hAnsi="宋体" w:cs="宋体"/>
                <w:color w:val="auto"/>
                <w:kern w:val="0"/>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实施（</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项目按计划开工；按计划进度开展；按计划完工</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按计划开工（</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r>
              <w:rPr>
                <w:rFonts w:hint="eastAsia" w:ascii="宋体" w:hAnsi="宋体" w:cs="宋体"/>
                <w:color w:val="auto"/>
                <w:kern w:val="0"/>
                <w:sz w:val="20"/>
                <w:szCs w:val="20"/>
              </w:rPr>
              <w:t>按计划开展（</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r>
              <w:rPr>
                <w:rFonts w:hint="eastAsia" w:ascii="宋体" w:hAnsi="宋体" w:cs="宋体"/>
                <w:color w:val="auto"/>
                <w:kern w:val="0"/>
                <w:sz w:val="20"/>
                <w:szCs w:val="20"/>
              </w:rPr>
              <w:t>按计划完工（</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管理</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制度（</w:t>
            </w:r>
            <w:r>
              <w:rPr>
                <w:rFonts w:ascii="宋体" w:hAnsi="宋体" w:cs="宋体"/>
                <w:color w:val="auto"/>
                <w:kern w:val="0"/>
                <w:sz w:val="20"/>
                <w:szCs w:val="20"/>
              </w:rPr>
              <w:t>6</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6</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项目管理制度健全；严格执行相关管理制度</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管理制度健全（</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制度执行严格（</w:t>
            </w:r>
            <w:r>
              <w:rPr>
                <w:rFonts w:ascii="宋体" w:hAnsi="宋体" w:cs="宋体"/>
                <w:color w:val="auto"/>
                <w:kern w:val="0"/>
                <w:sz w:val="20"/>
                <w:szCs w:val="20"/>
              </w:rPr>
              <w:t>4</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绩效（</w:t>
            </w:r>
            <w:r>
              <w:rPr>
                <w:rFonts w:ascii="宋体" w:hAnsi="宋体" w:cs="宋体"/>
                <w:color w:val="auto"/>
                <w:kern w:val="0"/>
                <w:sz w:val="20"/>
                <w:szCs w:val="20"/>
              </w:rPr>
              <w:t>55</w:t>
            </w:r>
            <w:r>
              <w:rPr>
                <w:rFonts w:hint="eastAsia" w:ascii="宋体" w:hAnsi="宋体" w:cs="宋体"/>
                <w:color w:val="auto"/>
                <w:kern w:val="0"/>
                <w:sz w:val="20"/>
                <w:szCs w:val="20"/>
              </w:rPr>
              <w:t>分）</w:t>
            </w:r>
          </w:p>
        </w:tc>
        <w:tc>
          <w:tcPr>
            <w:tcW w:w="811" w:type="dxa"/>
            <w:vMerge w:val="restart"/>
            <w:vAlign w:val="center"/>
          </w:tcPr>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r>
              <w:rPr>
                <w:rFonts w:ascii="宋体" w:hAnsi="宋体" w:cs="宋体"/>
                <w:color w:val="auto"/>
                <w:kern w:val="0"/>
                <w:sz w:val="20"/>
                <w:szCs w:val="20"/>
              </w:rPr>
              <w:t>15</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数量（</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5</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根据该项目实际，标识具体明确的产出数量</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对照绩效目标，按实际产出数量率计算得分（</w:t>
            </w:r>
            <w:r>
              <w:rPr>
                <w:rFonts w:ascii="宋体" w:hAnsi="宋体" w:cs="宋体"/>
                <w:color w:val="auto"/>
                <w:kern w:val="0"/>
                <w:sz w:val="20"/>
                <w:szCs w:val="20"/>
              </w:rPr>
              <w:t>5</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质量（</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根据该项目实际，标识具体明确的产出质量</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对照绩效目标，按实际产出质量率计算得分（</w:t>
            </w:r>
            <w:r>
              <w:rPr>
                <w:rFonts w:ascii="宋体" w:hAnsi="宋体" w:cs="宋体"/>
                <w:color w:val="auto"/>
                <w:kern w:val="0"/>
                <w:sz w:val="20"/>
                <w:szCs w:val="20"/>
              </w:rPr>
              <w:t>4</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时效（</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根据该项目实际，标识具体明确的产出时效</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对照绩效目标，按实际产出时效率计算得分（</w:t>
            </w:r>
            <w:r>
              <w:rPr>
                <w:rFonts w:ascii="宋体" w:hAnsi="宋体" w:cs="宋体"/>
                <w:color w:val="auto"/>
                <w:kern w:val="0"/>
                <w:sz w:val="20"/>
                <w:szCs w:val="20"/>
              </w:rPr>
              <w:t>3</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成本（</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根据该项目实际，标识具体明确的产出成本</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对照绩效目标，按实际产出成本率计算得分（</w:t>
            </w:r>
            <w:r>
              <w:rPr>
                <w:rFonts w:ascii="宋体" w:hAnsi="宋体" w:cs="宋体"/>
                <w:color w:val="auto"/>
                <w:kern w:val="0"/>
                <w:sz w:val="20"/>
                <w:szCs w:val="20"/>
              </w:rPr>
              <w:t>3</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rPr>
                <w:rFonts w:ascii="宋体"/>
                <w:color w:val="auto"/>
                <w:kern w:val="0"/>
                <w:sz w:val="20"/>
                <w:szCs w:val="20"/>
              </w:rPr>
            </w:pP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效果（</w:t>
            </w:r>
            <w:r>
              <w:rPr>
                <w:rFonts w:ascii="宋体" w:hAnsi="宋体" w:cs="宋体"/>
                <w:color w:val="auto"/>
                <w:kern w:val="0"/>
                <w:sz w:val="20"/>
                <w:szCs w:val="20"/>
              </w:rPr>
              <w:t>40</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经济</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效益（</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根据项目实际，标识所产生的直接或间接的经济效益</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对照绩效目标，按经济效益实现程度计算得分（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社会</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效益（</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根据项目实际，标识所产生的社会效益</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对照绩效目标，按社会效益实现程度计算得分（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环境</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效益（</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根据项目实际，标识对环境所产生的积极或消极影响</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对照绩效目标，按对环境所产生的实际影响程度计算得分（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可持续影响（</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项目产出能持续运用；项目运行所依赖的政策制度能持续执行</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项目产出能持续运用（</w:t>
            </w:r>
            <w:r>
              <w:rPr>
                <w:rFonts w:ascii="宋体" w:hAnsi="宋体" w:cs="宋体"/>
                <w:color w:val="auto"/>
                <w:kern w:val="0"/>
                <w:sz w:val="20"/>
                <w:szCs w:val="20"/>
              </w:rPr>
              <w:t>4</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所依赖的政策制度能持续执行（</w:t>
            </w:r>
            <w:r>
              <w:rPr>
                <w:rFonts w:ascii="宋体" w:hAnsi="宋体" w:cs="宋体"/>
                <w:color w:val="auto"/>
                <w:kern w:val="0"/>
                <w:sz w:val="20"/>
                <w:szCs w:val="20"/>
              </w:rPr>
              <w:t>4</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服务</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对象满意度（</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项目预期服务对象对项目实施的满意程度</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按收集到的项目服务对象的满意率计算得分（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总分</w:t>
            </w:r>
          </w:p>
        </w:tc>
        <w:tc>
          <w:tcPr>
            <w:tcW w:w="811"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c>
          <w:tcPr>
            <w:tcW w:w="639" w:type="dxa"/>
            <w:vAlign w:val="center"/>
          </w:tcPr>
          <w:p>
            <w:pPr>
              <w:widowControl/>
              <w:spacing w:line="260" w:lineRule="exact"/>
              <w:jc w:val="center"/>
              <w:rPr>
                <w:rFonts w:hint="default" w:ascii="宋体" w:eastAsia="宋体"/>
                <w:color w:val="auto"/>
                <w:kern w:val="0"/>
                <w:sz w:val="20"/>
                <w:szCs w:val="20"/>
                <w:lang w:val="en-US" w:eastAsia="zh-CN"/>
              </w:rPr>
            </w:pPr>
            <w:r>
              <w:rPr>
                <w:rFonts w:hint="eastAsia" w:ascii="宋体"/>
                <w:color w:val="auto"/>
                <w:kern w:val="0"/>
                <w:sz w:val="20"/>
                <w:szCs w:val="20"/>
                <w:lang w:val="en-US" w:eastAsia="zh-CN"/>
              </w:rPr>
              <w:t>92</w:t>
            </w:r>
          </w:p>
        </w:tc>
        <w:tc>
          <w:tcPr>
            <w:tcW w:w="2769"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c>
          <w:tcPr>
            <w:tcW w:w="2928"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r>
    </w:tbl>
    <w:p>
      <w:pPr>
        <w:rPr>
          <w:rFonts w:ascii="仿宋_GB2312"/>
          <w:color w:val="auto"/>
        </w:rPr>
      </w:pPr>
    </w:p>
    <w:p>
      <w:pPr>
        <w:spacing w:line="600" w:lineRule="exact"/>
        <w:rPr>
          <w:rFonts w:ascii="黑体" w:eastAsia="黑体"/>
          <w:color w:val="auto"/>
        </w:rPr>
      </w:pPr>
    </w:p>
    <w:p>
      <w:pPr>
        <w:spacing w:line="600" w:lineRule="exact"/>
        <w:rPr>
          <w:rFonts w:ascii="黑体" w:eastAsia="黑体"/>
          <w:color w:val="auto"/>
        </w:rPr>
      </w:pPr>
    </w:p>
    <w:p>
      <w:pPr>
        <w:spacing w:line="480" w:lineRule="exact"/>
        <w:rPr>
          <w:rFonts w:hint="eastAsia" w:ascii="黑体" w:eastAsia="黑体"/>
          <w:sz w:val="32"/>
          <w:szCs w:val="32"/>
        </w:rPr>
      </w:pPr>
    </w:p>
    <w:p>
      <w:pPr>
        <w:spacing w:line="480" w:lineRule="exact"/>
        <w:rPr>
          <w:rFonts w:hint="eastAsia" w:ascii="黑体" w:eastAsia="黑体"/>
          <w:sz w:val="32"/>
          <w:szCs w:val="32"/>
        </w:rPr>
      </w:pPr>
    </w:p>
    <w:p>
      <w:pPr>
        <w:spacing w:line="480" w:lineRule="exact"/>
        <w:rPr>
          <w:rFonts w:hint="eastAsia" w:ascii="黑体" w:eastAsia="黑体"/>
          <w:sz w:val="32"/>
          <w:szCs w:val="32"/>
        </w:rPr>
      </w:pPr>
    </w:p>
    <w:p>
      <w:pPr>
        <w:spacing w:line="480" w:lineRule="exact"/>
        <w:rPr>
          <w:rFonts w:hint="eastAsia" w:ascii="黑体" w:eastAsia="黑体"/>
          <w:sz w:val="32"/>
          <w:szCs w:val="32"/>
        </w:rPr>
      </w:pPr>
    </w:p>
    <w:p>
      <w:pPr>
        <w:spacing w:line="480" w:lineRule="exact"/>
        <w:rPr>
          <w:rFonts w:hint="eastAsia" w:ascii="黑体" w:eastAsia="黑体"/>
          <w:sz w:val="32"/>
          <w:szCs w:val="32"/>
        </w:rPr>
      </w:pPr>
    </w:p>
    <w:p>
      <w:pPr>
        <w:numPr>
          <w:ilvl w:val="0"/>
          <w:numId w:val="0"/>
        </w:numPr>
        <w:spacing w:line="560" w:lineRule="exact"/>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C354C"/>
    <w:rsid w:val="15CB1867"/>
    <w:rsid w:val="1A54636B"/>
    <w:rsid w:val="2DF06827"/>
    <w:rsid w:val="422C354C"/>
    <w:rsid w:val="44C3484F"/>
    <w:rsid w:val="4FFE1341"/>
    <w:rsid w:val="5AF359CC"/>
    <w:rsid w:val="74A9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2019-07-09T07:03:00Z</dcterms:created>
  <dc:creator>Administrator</dc:creator>
  <cp:lastModifiedBy>Administrator</cp:lastModifiedBy>
  <cp:lastPrinted>2019-07-11T02:42:00Z</cp:lastPrinted>
  <dcterms:modified xsi:type="dcterms:W3CDTF">2020-07-26T01:59:49Z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