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宋体" w:eastAsia="黑体" w:cs="黑体"/>
          <w:kern w:val="0"/>
          <w:sz w:val="32"/>
          <w:szCs w:val="32"/>
          <w:lang w:val="en-US"/>
        </w:rPr>
      </w:pPr>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49036800" behindDoc="0" locked="0" layoutInCell="1" allowOverlap="1">
                <wp:simplePos x="0" y="0"/>
                <wp:positionH relativeFrom="column">
                  <wp:posOffset>-488950</wp:posOffset>
                </wp:positionH>
                <wp:positionV relativeFrom="paragraph">
                  <wp:posOffset>-31750</wp:posOffset>
                </wp:positionV>
                <wp:extent cx="557530" cy="685800"/>
                <wp:effectExtent l="0" t="0" r="0" b="0"/>
                <wp:wrapNone/>
                <wp:docPr id="5" name="文本框 2743"/>
                <wp:cNvGraphicFramePr/>
                <a:graphic xmlns:a="http://schemas.openxmlformats.org/drawingml/2006/main">
                  <a:graphicData uri="http://schemas.microsoft.com/office/word/2010/wordprocessingShape">
                    <wps:wsp>
                      <wps:cNvSpPr txBox="1"/>
                      <wps:spPr>
                        <a:xfrm>
                          <a:off x="0" y="0"/>
                          <a:ext cx="557530" cy="685800"/>
                        </a:xfrm>
                        <a:prstGeom prst="rect">
                          <a:avLst/>
                        </a:prstGeom>
                        <a:noFill/>
                        <a:ln>
                          <a:noFill/>
                        </a:ln>
                      </wps:spPr>
                      <wps:txbx>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txbxContent>
                      </wps:txbx>
                      <wps:bodyPr vert="eaVert" wrap="square" upright="0"/>
                    </wps:wsp>
                  </a:graphicData>
                </a:graphic>
              </wp:anchor>
            </w:drawing>
          </mc:Choice>
          <mc:Fallback>
            <w:pict>
              <v:shape id="文本框 2743" o:spid="_x0000_s1026" o:spt="202" type="#_x0000_t202" style="position:absolute;left:0pt;margin-left:-38.5pt;margin-top:-2.5pt;height:54pt;width:43.9pt;z-index:249036800;mso-width-relative:page;mso-height-relative:page;" filled="f" stroked="f" coordsize="21600,21600" o:gfxdata="UEsDBAoAAAAAAIdO4kAAAAAAAAAAAAAAAAAEAAAAZHJzL1BLAwQUAAAACACHTuJA6Lwss9cAAAAJ&#10;AQAADwAAAGRycy9kb3ducmV2LnhtbE2PzU7DMBCE70i8g7VI3Fq7QH8U4lSitFdoCypXN16SQLwO&#10;sdO0b8/mBKfZ1Y5mv0mXZ1eLE7ah8qRhMlYgkHJvKyo0vL9tRgsQIRqypvaEGi4YYJldX6Umsb6n&#10;HZ72sRAcQiExGsoYm0TKkJfoTBj7Bolvn751JvLaFtK2pudwV8s7pWbSmYr4Q2kaXJWYf+87p2H7&#10;1PW7l+nrevbzkK8/nnH1ddhctL69mahHEBHP8c8MAz6jQ8ZMR9+RDaLWMJrPuUvkYco6GBRXOQ56&#10;r0BmqfzfIPsFUEsDBBQAAAAIAIdO4kDcGe2tpwEAAB4DAAAOAAAAZHJzL2Uyb0RvYy54bWytUsFu&#10;EzEQvSPxD5bvxNuUbaNVNpVQVS4IkArcHa+dtbT2mLGT3fwA/AEnLtz5rnxHx26aQntDXOz1zOyb&#10;997M8mpyA9tpjBZ8y89mFWfaK+is37T886ebVwvOYpK+kwN43fK9jvxq9fLFcgyNnkMPQ6eREYiP&#10;zRha3qcUGiGi6rWTcQZBe0oaQCcTPXEjOpQjobtBzKvqQoyAXUBQOkaKXt8n+argG6NV+mBM1IkN&#10;LSduqZxYznU+xWopmw3K0Ft1pCH/gYWT1lPTE9S1TJJt0T6DclYhRDBppsAJMMYqXTSQmrPqiZrb&#10;XgZdtJA5MZxsiv8PVr3ffURmu5bXnHnpaESHH98PP38ffn1j88vX59mhMcSGCm8DlabpDUw06Yd4&#10;pGAWPhl0+SZJjPLk9f7kr54SUxSs68v6nDKKUheLelEV/8XjzwFjeqvBsfzRcqTxFVfl7l1MRIRK&#10;H0pyLw83dhjKCAf/V4AKc0Rk5vcM81ea1tNRzhq6PamhzaU+Wn6hm7OR9qDl8etWouZsG9Bu+rIx&#10;uXUGoCEUEseFyVP+812qHtd6d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vCyz1wAAAAkBAAAP&#10;AAAAAAAAAAEAIAAAACIAAABkcnMvZG93bnJldi54bWxQSwECFAAUAAAACACHTuJA3BntracBAAAe&#10;AwAADgAAAAAAAAABACAAAAAmAQAAZHJzL2Uyb0RvYy54bWxQSwUGAAAAAAYABgBZAQAAPwUAAAAA&#10;">
                <v:path/>
                <v:fill on="f" focussize="0,0"/>
                <v:stroke on="f" joinstyle="miter"/>
                <v:imagedata o:title=""/>
                <o:lock v:ext="edit"/>
                <v:textbox style="layout-flow:vertical-ideographic;mso-rotate-with-shape:t;">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txbxContent>
                </v:textbox>
              </v:shape>
            </w:pict>
          </mc:Fallback>
        </mc:AlternateContent>
      </w:r>
      <w:r>
        <w:rPr>
          <w:rFonts w:hint="eastAsia" w:ascii="黑体" w:hAnsi="宋体" w:eastAsia="黑体" w:cs="黑体"/>
          <w:kern w:val="0"/>
          <w:sz w:val="32"/>
          <w:szCs w:val="32"/>
          <w:lang w:eastAsia="zh-CN"/>
        </w:rPr>
        <w:t>附件</w:t>
      </w:r>
    </w:p>
    <w:p>
      <w:pPr>
        <w:keepNext w:val="0"/>
        <w:keepLines w:val="0"/>
        <w:widowControl w:val="0"/>
        <w:suppressLineNumbers w:val="0"/>
        <w:spacing w:before="0" w:beforeAutospacing="0" w:after="0" w:afterAutospacing="0"/>
        <w:ind w:left="0" w:right="0"/>
        <w:jc w:val="center"/>
        <w:rPr>
          <w:sz w:val="44"/>
          <w:szCs w:val="44"/>
          <w:lang w:val="en-US"/>
        </w:rPr>
      </w:pPr>
      <w:bookmarkStart w:id="0" w:name="_GoBack"/>
      <w:r>
        <w:rPr>
          <w:rFonts w:hint="eastAsia" w:ascii="方正小标宋简体" w:hAnsi="方正小标宋简体" w:eastAsia="方正小标宋简体" w:cs="宋体"/>
          <w:kern w:val="0"/>
          <w:sz w:val="44"/>
          <w:szCs w:val="44"/>
          <w:lang w:val="en-US" w:eastAsia="zh-CN" w:bidi="ar"/>
        </w:rPr>
        <w:t>赫山区下放乡镇（街道、园区）部分区级经济社会管理权限事项目</w:t>
      </w:r>
      <w:bookmarkEnd w:id="0"/>
      <w:r>
        <w:rPr>
          <w:rFonts w:hint="eastAsia" w:ascii="方正小标宋简体" w:hAnsi="方正小标宋简体" w:eastAsia="方正小标宋简体" w:cs="宋体"/>
          <w:kern w:val="0"/>
          <w:sz w:val="44"/>
          <w:szCs w:val="44"/>
          <w:lang w:val="en-US" w:eastAsia="zh-CN" w:bidi="ar"/>
        </w:rPr>
        <w:t>录</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Layout w:type="fixed"/>
        <w:tblCellMar>
          <w:top w:w="57" w:type="dxa"/>
          <w:left w:w="28" w:type="dxa"/>
          <w:bottom w:w="57" w:type="dxa"/>
          <w:right w:w="28" w:type="dxa"/>
        </w:tblCellMar>
      </w:tblPr>
      <w:tblGrid>
        <w:gridCol w:w="658"/>
        <w:gridCol w:w="2160"/>
        <w:gridCol w:w="3680"/>
        <w:gridCol w:w="1117"/>
        <w:gridCol w:w="1167"/>
        <w:gridCol w:w="1050"/>
        <w:gridCol w:w="38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454" w:hRule="atLeast"/>
          <w:tblHeader/>
          <w:jc w:val="center"/>
        </w:trPr>
        <w:tc>
          <w:tcPr>
            <w:tcW w:w="658" w:type="dxa"/>
            <w:vMerge w:val="restart"/>
            <w:tcBorders>
              <w:top w:val="single" w:color="auto" w:sz="8"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b/>
                <w:bCs w:val="0"/>
                <w:sz w:val="24"/>
                <w:szCs w:val="24"/>
                <w:bdr w:val="none" w:color="auto" w:sz="0" w:space="0"/>
              </w:rPr>
              <w:t>序号</w:t>
            </w:r>
          </w:p>
        </w:tc>
        <w:tc>
          <w:tcPr>
            <w:tcW w:w="2160" w:type="dxa"/>
            <w:vMerge w:val="restart"/>
            <w:tcBorders>
              <w:top w:val="single" w:color="auto" w:sz="8"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b/>
                <w:bCs w:val="0"/>
                <w:sz w:val="24"/>
                <w:szCs w:val="24"/>
                <w:bdr w:val="none" w:color="auto" w:sz="0" w:space="0"/>
              </w:rPr>
              <w:t>赋权部门</w:t>
            </w:r>
          </w:p>
        </w:tc>
        <w:tc>
          <w:tcPr>
            <w:tcW w:w="3680" w:type="dxa"/>
            <w:vMerge w:val="restart"/>
            <w:tcBorders>
              <w:top w:val="single" w:color="auto" w:sz="8"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b/>
                <w:bCs w:val="0"/>
                <w:sz w:val="24"/>
                <w:szCs w:val="24"/>
                <w:bdr w:val="none" w:color="auto" w:sz="0" w:space="0"/>
              </w:rPr>
              <w:t>赋权事项</w:t>
            </w:r>
          </w:p>
        </w:tc>
        <w:tc>
          <w:tcPr>
            <w:tcW w:w="3334" w:type="dxa"/>
            <w:gridSpan w:val="3"/>
            <w:tcBorders>
              <w:top w:val="single" w:color="auto" w:sz="8"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b/>
                <w:bCs w:val="0"/>
                <w:sz w:val="24"/>
                <w:szCs w:val="24"/>
                <w:bdr w:val="none" w:color="auto" w:sz="0" w:space="0"/>
                <w:lang w:val="en-US"/>
              </w:rPr>
            </w:pPr>
            <w:r>
              <w:rPr>
                <w:rFonts w:hint="eastAsia" w:ascii="宋体" w:hAnsi="宋体" w:eastAsia="宋体" w:cs="宋体"/>
                <w:b/>
                <w:bCs w:val="0"/>
                <w:sz w:val="24"/>
                <w:szCs w:val="24"/>
                <w:bdr w:val="none" w:color="auto" w:sz="0" w:space="0"/>
              </w:rPr>
              <w:t>赋权方式</w:t>
            </w:r>
          </w:p>
        </w:tc>
        <w:tc>
          <w:tcPr>
            <w:tcW w:w="3827" w:type="dxa"/>
            <w:vMerge w:val="restart"/>
            <w:tcBorders>
              <w:top w:val="single" w:color="auto" w:sz="8" w:space="0"/>
              <w:left w:val="single" w:color="auto" w:sz="4" w:space="0"/>
              <w:bottom w:val="single" w:color="auto" w:sz="4" w:space="0"/>
              <w:right w:val="single" w:color="auto" w:sz="8" w:space="0"/>
            </w:tcBorders>
            <w:shd w:val="clear"/>
            <w:vAlign w:val="center"/>
          </w:tcPr>
          <w:p>
            <w:pPr>
              <w:pStyle w:val="4"/>
              <w:widowControl/>
              <w:autoSpaceDE/>
              <w:autoSpaceDN w:val="0"/>
              <w:jc w:val="center"/>
              <w:textAlignment w:val="center"/>
              <w:rPr>
                <w:rFonts w:hint="eastAsia" w:ascii="宋体" w:hAnsi="宋体" w:eastAsia="宋体" w:cs="宋体"/>
                <w:b/>
                <w:bCs w:val="0"/>
                <w:sz w:val="24"/>
                <w:szCs w:val="24"/>
                <w:bdr w:val="none" w:color="auto" w:sz="0" w:space="0"/>
                <w:lang w:val="en-US"/>
              </w:rPr>
            </w:pPr>
            <w:r>
              <w:rPr>
                <w:rFonts w:hint="eastAsia" w:ascii="宋体" w:hAnsi="宋体" w:eastAsia="宋体" w:cs="宋体"/>
                <w:b/>
                <w:bCs w:val="0"/>
                <w:sz w:val="24"/>
                <w:szCs w:val="24"/>
                <w:bdr w:val="none" w:color="auto" w:sz="0" w:space="0"/>
              </w:rPr>
              <w:t>备</w:t>
            </w:r>
            <w:r>
              <w:rPr>
                <w:rFonts w:hint="eastAsia" w:ascii="宋体" w:hAnsi="宋体" w:eastAsia="宋体" w:cs="宋体"/>
                <w:b/>
                <w:bCs w:val="0"/>
                <w:sz w:val="24"/>
                <w:szCs w:val="24"/>
                <w:bdr w:val="none" w:color="auto" w:sz="0" w:space="0"/>
                <w:lang w:val="en-US"/>
              </w:rPr>
              <w:t xml:space="preserve">    </w:t>
            </w:r>
            <w:r>
              <w:rPr>
                <w:rFonts w:hint="eastAsia" w:ascii="宋体" w:hAnsi="宋体" w:eastAsia="宋体" w:cs="宋体"/>
                <w:b/>
                <w:bCs w:val="0"/>
                <w:sz w:val="24"/>
                <w:szCs w:val="24"/>
                <w:bdr w:val="none" w:color="auto" w:sz="0" w:space="0"/>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454" w:hRule="atLeast"/>
          <w:tblHeader/>
          <w:jc w:val="center"/>
        </w:trPr>
        <w:tc>
          <w:tcPr>
            <w:tcW w:w="658" w:type="dxa"/>
            <w:vMerge w:val="continue"/>
            <w:tcBorders>
              <w:top w:val="single" w:color="auto" w:sz="8" w:space="0"/>
              <w:left w:val="single" w:color="auto" w:sz="8"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160" w:type="dxa"/>
            <w:vMerge w:val="continue"/>
            <w:tcBorders>
              <w:top w:val="single" w:color="auto" w:sz="8"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680" w:type="dxa"/>
            <w:vMerge w:val="continue"/>
            <w:tcBorders>
              <w:top w:val="single" w:color="auto" w:sz="8"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textAlignment w:val="center"/>
              <w:rPr>
                <w:rFonts w:hint="eastAsia" w:ascii="宋体" w:hAnsi="宋体" w:eastAsia="宋体" w:cs="宋体"/>
                <w:b/>
                <w:bCs w:val="0"/>
                <w:sz w:val="24"/>
                <w:szCs w:val="24"/>
                <w:bdr w:val="none" w:color="auto" w:sz="0" w:space="0"/>
                <w:lang w:val="en-US"/>
              </w:rPr>
            </w:pPr>
            <w:r>
              <w:rPr>
                <w:rFonts w:hint="eastAsia" w:ascii="宋体" w:hAnsi="宋体" w:eastAsia="宋体" w:cs="宋体"/>
                <w:b/>
                <w:bCs w:val="0"/>
                <w:sz w:val="24"/>
                <w:szCs w:val="24"/>
                <w:bdr w:val="none" w:color="auto" w:sz="0" w:space="0"/>
              </w:rPr>
              <w:t>直接赋权</w:t>
            </w: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b/>
                <w:bCs w:val="0"/>
                <w:sz w:val="24"/>
                <w:szCs w:val="24"/>
                <w:bdr w:val="none" w:color="auto" w:sz="0" w:space="0"/>
                <w:lang w:val="en-US"/>
              </w:rPr>
            </w:pPr>
            <w:r>
              <w:rPr>
                <w:rFonts w:hint="eastAsia" w:ascii="宋体" w:hAnsi="宋体" w:eastAsia="宋体" w:cs="宋体"/>
                <w:b/>
                <w:bCs w:val="0"/>
                <w:sz w:val="24"/>
                <w:szCs w:val="24"/>
                <w:bdr w:val="none" w:color="auto" w:sz="0" w:space="0"/>
              </w:rPr>
              <w:t>委托下放</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b/>
                <w:bCs w:val="0"/>
                <w:sz w:val="24"/>
                <w:szCs w:val="24"/>
                <w:bdr w:val="none" w:color="auto" w:sz="0" w:space="0"/>
                <w:lang w:val="en-US"/>
              </w:rPr>
            </w:pPr>
            <w:r>
              <w:rPr>
                <w:rFonts w:hint="eastAsia" w:ascii="宋体" w:hAnsi="宋体" w:eastAsia="宋体" w:cs="宋体"/>
                <w:b/>
                <w:bCs w:val="0"/>
                <w:sz w:val="24"/>
                <w:szCs w:val="24"/>
                <w:bdr w:val="none" w:color="auto" w:sz="0" w:space="0"/>
              </w:rPr>
              <w:t>服务前移</w:t>
            </w:r>
          </w:p>
        </w:tc>
        <w:tc>
          <w:tcPr>
            <w:tcW w:w="3827" w:type="dxa"/>
            <w:vMerge w:val="continue"/>
            <w:tcBorders>
              <w:top w:val="single" w:color="auto" w:sz="8" w:space="0"/>
              <w:left w:val="single" w:color="auto" w:sz="4" w:space="0"/>
              <w:bottom w:val="single" w:color="auto" w:sz="4" w:space="0"/>
              <w:right w:val="single" w:color="auto" w:sz="8" w:space="0"/>
            </w:tcBorders>
            <w:shd w:val="clear"/>
            <w:vAlign w:val="center"/>
          </w:tcPr>
          <w:p>
            <w:pPr>
              <w:rPr>
                <w:rFonts w:hint="default" w:ascii="Times New Roman" w:hAnsi="Times New Roman" w:cs="Times New Roman"/>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赫山公安分局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居民身份证核发</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3827" w:type="dxa"/>
            <w:tcBorders>
              <w:top w:val="single" w:color="auto" w:sz="4" w:space="0"/>
              <w:left w:val="single" w:color="auto" w:sz="4" w:space="0"/>
              <w:bottom w:val="single" w:color="auto" w:sz="4" w:space="0"/>
              <w:right w:val="single" w:color="auto" w:sz="8" w:space="0"/>
            </w:tcBorders>
            <w:shd w:val="clear"/>
            <w:vAlign w:val="center"/>
          </w:tcPr>
          <w:p>
            <w:pPr>
              <w:pStyle w:val="4"/>
              <w:widowControl/>
              <w:autoSpaceDE/>
              <w:autoSpaceDN w:val="0"/>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rPr>
              <w:t>服务前移至乡镇、街道、园区公安派出所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赫山公安分局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居住证核发</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服务前移至乡镇、街道、园区公安派出所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3</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赫山公安分局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流动人口管理</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服务前移至乡镇、街道、园区公安派出所以及村、社区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区民政局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临时救助待遇核定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直接赋权至乡镇、街道、园区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5</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区民政局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城乡特困供养待遇核定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6</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区民政局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办理特困供养证</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7</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rPr>
              <w:t>区民政局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 xml:space="preserve">困难残疾人生活补贴和重度残疾人护理补贴发放 </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lang w:val="en-US"/>
              </w:rPr>
              <w:t>8</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区人社局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社会保险费征收</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城乡居民社会保险、委托下放至乡镇、街道、园区，由税务部门代征代收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9</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区人社局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社保证明</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城乡居民养老保险服务前移至乡镇、街道、园区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lang w:val="en-US"/>
              </w:rPr>
              <w:t>10</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区人社局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就业登记和失业登记</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lang w:val="en-US"/>
              </w:rPr>
              <w:t>11</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区人社局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城乡居民社会养老保险登记</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pStyle w:val="4"/>
              <w:widowControl/>
              <w:autoSpaceDE/>
              <w:autoSpaceDN w:val="0"/>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12</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区医疗保障局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医保证明</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pStyle w:val="4"/>
              <w:widowControl/>
              <w:autoSpaceDE/>
              <w:autoSpaceDN w:val="0"/>
              <w:textAlignment w:val="center"/>
              <w:rPr>
                <w:rFonts w:hint="eastAsia" w:ascii="宋体" w:hAnsi="宋体" w:eastAsia="宋体" w:cs="宋体"/>
                <w:spacing w:val="-6"/>
                <w:kern w:val="0"/>
                <w:sz w:val="24"/>
                <w:szCs w:val="24"/>
                <w:bdr w:val="none" w:color="auto" w:sz="0" w:space="0"/>
                <w:lang w:val="en-US"/>
              </w:rPr>
            </w:pPr>
            <w:r>
              <w:rPr>
                <w:rFonts w:hint="eastAsia" w:ascii="宋体" w:hAnsi="宋体" w:eastAsia="宋体" w:cs="宋体"/>
                <w:spacing w:val="-6"/>
                <w:kern w:val="0"/>
                <w:sz w:val="24"/>
                <w:szCs w:val="24"/>
                <w:bdr w:val="none" w:color="auto" w:sz="0" w:space="0"/>
              </w:rPr>
              <w:t>委托下放至乡镇、街道卫生院（卫生服务中心），龙岭工业集中区、衡龙新区分别在龙光桥街道、衡龙桥镇办理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13</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区医疗保障局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城乡医疗救助待遇核定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pStyle w:val="4"/>
              <w:widowControl/>
              <w:autoSpaceDE/>
              <w:autoSpaceDN w:val="0"/>
              <w:textAlignment w:val="center"/>
              <w:rPr>
                <w:rFonts w:hint="eastAsia" w:ascii="宋体" w:hAnsi="宋体" w:eastAsia="宋体" w:cs="宋体"/>
                <w:spacing w:val="-6"/>
                <w:kern w:val="0"/>
                <w:sz w:val="24"/>
                <w:szCs w:val="24"/>
                <w:bdr w:val="none" w:color="auto" w:sz="0" w:space="0"/>
                <w:lang w:val="en-US"/>
              </w:rPr>
            </w:pPr>
            <w:r>
              <w:rPr>
                <w:rFonts w:hint="eastAsia" w:ascii="宋体" w:hAnsi="宋体" w:eastAsia="宋体" w:cs="宋体"/>
                <w:spacing w:val="-6"/>
                <w:kern w:val="0"/>
                <w:sz w:val="24"/>
                <w:szCs w:val="24"/>
                <w:bdr w:val="none" w:color="auto" w:sz="0" w:space="0"/>
              </w:rPr>
              <w:t>委托下放至乡镇、街道卫生院（卫生服务中心），龙岭工业集中区、衡龙新区分别在龙光桥街道、衡龙桥镇办理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14</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违法占用、破坏耕地的处罚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pStyle w:val="4"/>
              <w:widowControl/>
              <w:autoSpaceDE/>
              <w:autoSpaceDN w:val="0"/>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15</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拒不履行土地复垦义务的处罚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16</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非法占用土地的处罚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17</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农村村民非法占地建住宅的处罚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56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spacing w:before="120" w:beforeLines="50" w:beforeAutospacing="0"/>
              <w:jc w:val="center"/>
              <w:textAlignment w:val="center"/>
              <w:rPr>
                <w:rFonts w:hint="eastAsia" w:ascii="宋体" w:hAnsi="宋体" w:eastAsia="宋体" w:cs="宋体"/>
                <w:sz w:val="24"/>
                <w:szCs w:val="24"/>
                <w:bdr w:val="none" w:color="auto" w:sz="0" w:space="0"/>
                <w:lang w:val="en-US"/>
              </w:rPr>
            </w:pPr>
            <w:r>
              <w:rPr>
                <w:bdr w:val="none" w:color="auto" w:sz="0" w:space="0"/>
              </w:rPr>
              <mc:AlternateContent>
                <mc:Choice Requires="wps">
                  <w:drawing>
                    <wp:anchor distT="0" distB="0" distL="114300" distR="114300" simplePos="0" relativeHeight="250085376" behindDoc="0" locked="0" layoutInCell="1" allowOverlap="1">
                      <wp:simplePos x="0" y="0"/>
                      <wp:positionH relativeFrom="column">
                        <wp:posOffset>-508635</wp:posOffset>
                      </wp:positionH>
                      <wp:positionV relativeFrom="paragraph">
                        <wp:posOffset>-19050</wp:posOffset>
                      </wp:positionV>
                      <wp:extent cx="557530" cy="685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557530" cy="685800"/>
                              </a:xfrm>
                              <a:prstGeom prst="rect">
                                <a:avLst/>
                              </a:prstGeom>
                              <a:noFill/>
                              <a:ln>
                                <a:noFill/>
                              </a:ln>
                            </wps:spPr>
                            <wps:txbx>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txbxContent>
                            </wps:txbx>
                            <wps:bodyPr vert="eaVert" wrap="square" upright="0"/>
                          </wps:wsp>
                        </a:graphicData>
                      </a:graphic>
                    </wp:anchor>
                  </w:drawing>
                </mc:Choice>
                <mc:Fallback>
                  <w:pict>
                    <v:shape id="文本框 3" o:spid="_x0000_s1026" o:spt="202" type="#_x0000_t202" style="position:absolute;left:0pt;margin-left:-40.05pt;margin-top:-1.5pt;height:54pt;width:43.9pt;z-index:250085376;mso-width-relative:page;mso-height-relative:page;" filled="f" stroked="f" coordsize="21600,21600" o:gfxdata="UEsDBAoAAAAAAIdO4kAAAAAAAAAAAAAAAAAEAAAAZHJzL1BLAwQUAAAACACHTuJAN2BAmtcAAAAI&#10;AQAADwAAAGRycy9kb3ducmV2LnhtbE2PTU/DMAyG70j8h8hI3LakwD5Umk5ibFfYxjSuWWPaQuOU&#10;Jl23f485wc2WH71+3mxxdo04YRdqTxqSsQKBVHhbU6lh/7YezUGEaMiaxhNquGCARX59lZnU+oG2&#10;eNrFUnAIhdRoqGJsUylDUaEzYexbJL59+M6ZyGtXStuZgcNdI++UmkpnauIPlWlxWWHxteudhs1T&#10;P2xfJq+r6fdDsXp/xuXnYX3R+vYmUY8gIp7jHwy/+qwOOTsdfU82iEbDaK4SRnm4504MzGYgjsyp&#10;iQKZZ/J/gfwHUEsDBBQAAAAIAIdO4kCRubnkowEAABsDAAAOAAAAZHJzL2Uyb0RvYy54bWytUsFO&#10;GzEQvVfiHyzfGy+gQLTKBgkhuFSlEm3vjtfOWlp7XI+T3fwA/YOeuHDnu/IdHZs0FHqruNjrmbcz&#10;772Z+cXoerbRES34hh9PKs60V9Bav2r4t6/XH2ecYZK+lT143fCtRn6xOPowH0KtT6CDvtWRURGP&#10;9RAa3qUUaiFQddpJnEDQnpIGopOJnnEl2igHqu56cVJVZ2KA2IYISiNS9Oo5yRelvjFapVtjUCfW&#10;N5y4pXLGci7zKRZzWa+iDJ1VexryP1g4aT01PZS6kkmydbT/lHJWRUAwaaLACTDGKl00kJrj6o2a&#10;u04GXbSQORgONuH7lVWfN18isy3NjjMvHY1o9+vn7uFp93jPTrM9Q8CaUHeBcGm8hDFD93GkYFY9&#10;mujyTXoY5cno7cFcPSamKDidnk9PKaModTabzqpivnj5OURMNxocyx8NjzS7YqncfMJEDQn6B5J7&#10;ebi2fV/m1/tXAQLmiMjMnxnmrzQuxz3tJbRbUkNrS320/E43ZwMtQcPxx1pGzdk6RLvqyrrk1rkA&#10;TaCQ2G9LHvHf74J62enF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dgQJrXAAAACAEAAA8AAAAA&#10;AAAAAQAgAAAAIgAAAGRycy9kb3ducmV2LnhtbFBLAQIUABQAAAAIAIdO4kCRubnkowEAABsDAAAO&#10;AAAAAAAAAAEAIAAAACYBAABkcnMvZTJvRG9jLnhtbFBLBQYAAAAABgAGAFkBAAA7BQAAAAA=&#10;">
                      <v:path/>
                      <v:fill on="f" focussize="0,0"/>
                      <v:stroke on="f" joinstyle="miter"/>
                      <v:imagedata o:title=""/>
                      <o:lock v:ext="edit"/>
                      <v:textbox style="layout-flow:vertical-ideographic;mso-rotate-with-shape:t;">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txbxContent>
                      </v:textbox>
                    </v:shape>
                  </w:pict>
                </mc:Fallback>
              </mc:AlternateContent>
            </w:r>
            <w:r>
              <w:rPr>
                <w:rFonts w:hint="eastAsia" w:ascii="宋体" w:hAnsi="宋体" w:eastAsia="宋体" w:cs="宋体"/>
                <w:sz w:val="24"/>
                <w:szCs w:val="24"/>
                <w:bdr w:val="none" w:color="auto" w:sz="0" w:space="0"/>
                <w:lang w:val="en-US"/>
              </w:rPr>
              <w:t>18</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拒不交还土地或不按批准用途使用国有土地的处罚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1023"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19</w:t>
            </w:r>
            <w:r>
              <w:rPr>
                <w:bdr w:val="none" w:color="auto" w:sz="0" w:space="0"/>
              </w:rPr>
              <mc:AlternateContent>
                <mc:Choice Requires="wps">
                  <w:drawing>
                    <wp:anchor distT="0" distB="0" distL="114300" distR="114300" simplePos="0" relativeHeight="251133952" behindDoc="0" locked="0" layoutInCell="1" allowOverlap="1">
                      <wp:simplePos x="0" y="0"/>
                      <wp:positionH relativeFrom="column">
                        <wp:posOffset>-508635</wp:posOffset>
                      </wp:positionH>
                      <wp:positionV relativeFrom="paragraph">
                        <wp:posOffset>-1018540</wp:posOffset>
                      </wp:positionV>
                      <wp:extent cx="557530" cy="685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557530" cy="685800"/>
                              </a:xfrm>
                              <a:prstGeom prst="rect">
                                <a:avLst/>
                              </a:prstGeom>
                              <a:noFill/>
                              <a:ln>
                                <a:noFill/>
                              </a:ln>
                            </wps:spPr>
                            <wps:txbx>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txbxContent>
                            </wps:txbx>
                            <wps:bodyPr vert="eaVert" wrap="square" upright="0"/>
                          </wps:wsp>
                        </a:graphicData>
                      </a:graphic>
                    </wp:anchor>
                  </w:drawing>
                </mc:Choice>
                <mc:Fallback>
                  <w:pict>
                    <v:shape id="文本框 4" o:spid="_x0000_s1026" o:spt="202" type="#_x0000_t202" style="position:absolute;left:0pt;margin-left:-40.05pt;margin-top:-80.2pt;height:54pt;width:43.9pt;z-index:251133952;mso-width-relative:page;mso-height-relative:page;" filled="f" stroked="f" coordsize="21600,21600" o:gfxdata="UEsDBAoAAAAAAIdO4kAAAAAAAAAAAAAAAAAEAAAAZHJzL1BLAwQUAAAACACHTuJAoXe5XtkAAAAK&#10;AQAADwAAAGRycy9kb3ducmV2LnhtbE2PTU/CQBCG7yT+h82YeIPdklJI7ZZEhKsCGr0u7dhWu7O1&#10;u6Xw7x1PepuPJ+88k60vthVn7H3jSEM0UyCQClc2VGl4fdlNVyB8MFSa1hFquKKHdX4zyUxaupEO&#10;eD6GSnAI+dRoqEPoUil9UaM1fuY6JN59uN6awG1fybI3I4fbVs6VSqQ1DfGF2nS4qbH4Og5Ww/5h&#10;GA9Pi+dt8h0X2/dH3Hy+7a5a391G6h5EwEv4g+FXn9UhZ6eTG6j0otUwXamIUS6iRMUgGFkuQZx4&#10;sJjHIPNM/n8h/wFQSwMEFAAAAAgAh07iQN5vo5WlAQAAGwMAAA4AAABkcnMvZTJvRG9jLnhtbK1S&#10;wU4bMRC9V+IfLN+JF2hotMoGCSF6qdpK0N4dr521tPa4Yye7+YH2D3riwp3vynd0bEIo9FZxsdcz&#10;s2/eezPzi9H1bKMxWvANP5lUnGmvoLV+1fBvt9fHM85ikr6VPXjd8K2O/GJx9G4+hFqfQgd9q5ER&#10;iI/1EBrepRRqIaLqtJNxAkF7ShpAJxM9cSValAOhu16cVtW5GADbgKB0jBS9ekzyRcE3Rqv0xZio&#10;E+sbTtxSObGcy3yKxVzWK5Shs2pPQ/4HCyetp6YHqCuZJFuj/QfKWYUQwaSJAifAGKt00UBqTqpX&#10;am46GXTRQubEcLApvh2s+rz5isy2DT/jzEtHI9r9/rW7e9jd/2Tvsz1DiDVV3QSqS+MljDTmp3ik&#10;YFY9GnT5Jj2M8mT09mCuHhNTFJxOP0zPKKModT6bzqpivnj+OWBMHzU4lj8ajjS7YqncfIqJiFDp&#10;U0nu5eHa9n2ZX+9fBKgwR0Rm/sgwf6VxOe7lLKHdkhpaW+qj5Xe6ORtoCRoef6wlas7WAe2qK+uS&#10;W2cAmkAhsd+WPOK/36Xqeac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hd7le2QAAAAoBAAAP&#10;AAAAAAAAAAEAIAAAACIAAABkcnMvZG93bnJldi54bWxQSwECFAAUAAAACACHTuJA3m+jlaUBAAAb&#10;AwAADgAAAAAAAAABACAAAAAoAQAAZHJzL2Uyb0RvYy54bWxQSwUGAAAAAAYABgBZAQAAPwUAAAAA&#10;">
                      <v:path/>
                      <v:fill on="f" focussize="0,0"/>
                      <v:stroke on="f" joinstyle="miter"/>
                      <v:imagedata o:title=""/>
                      <o:lock v:ext="edit"/>
                      <v:textbox style="layout-flow:vertical-ideographic;mso-rotate-with-shape:t;">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txbxContent>
                      </v:textbox>
                    </v:shape>
                  </w:pict>
                </mc:Fallback>
              </mc:AlternateConten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擅自将农民集体所有的土地使用权出让、转让或出租用于非农业建设的处罚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73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20</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在土地利用总体规划确定的禁止开垦区内从事土地开发活动的处罚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73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21</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临时占用耕地期满</w:t>
            </w:r>
            <w:r>
              <w:rPr>
                <w:rFonts w:hint="eastAsia" w:ascii="宋体" w:hAnsi="宋体" w:eastAsia="宋体" w:cs="宋体"/>
                <w:sz w:val="24"/>
                <w:szCs w:val="24"/>
                <w:bdr w:val="none" w:color="auto" w:sz="0" w:space="0"/>
                <w:lang w:val="en-US"/>
              </w:rPr>
              <w:t>1</w:t>
            </w:r>
            <w:r>
              <w:rPr>
                <w:rFonts w:hint="eastAsia" w:ascii="宋体" w:hAnsi="宋体" w:eastAsia="宋体" w:cs="宋体"/>
                <w:sz w:val="24"/>
                <w:szCs w:val="24"/>
                <w:bdr w:val="none" w:color="auto" w:sz="0" w:space="0"/>
              </w:rPr>
              <w:t>年未恢复种植条件的处罚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73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22</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在临时使用土地上修建永久性建筑物、构筑物的处罚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1364"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23</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重建、扩建在土地利用总体规划制定前已建的不符合土地利用总体规划确定的用途的建筑物、构筑物的处罚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73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24</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破坏或者擅自改变基本农田保护区标志的处罚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73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25</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破坏基本农田、毁坏种植条件的处罚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737"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26</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对无证开采、越界开采及采取破坏性方法开采等违法采矿行为的处罚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612"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27</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城市、镇规划区内临时建设规划许可</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pStyle w:val="4"/>
              <w:widowControl/>
              <w:autoSpaceDE/>
              <w:autoSpaceDN w:val="0"/>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rPr>
              <w:t>直接赋权至乡镇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612"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28</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乡村建设规划许可证核发</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服务前移至乡镇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612"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29</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区住建局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 xml:space="preserve">保障住房补贴 </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612"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30</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rPr>
              <w:t>市生态环境局赫山分局、区农业农村局、区自然资源局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辖区内农村饮用水水源地和耕地保护的监管和执法</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w:t>
            </w:r>
          </w:p>
        </w:tc>
        <w:tc>
          <w:tcPr>
            <w:tcW w:w="3827" w:type="dxa"/>
            <w:tcBorders>
              <w:top w:val="single" w:color="auto" w:sz="4" w:space="0"/>
              <w:left w:val="single" w:color="auto" w:sz="4" w:space="0"/>
              <w:bottom w:val="single" w:color="auto" w:sz="4" w:space="0"/>
              <w:right w:val="single" w:color="auto" w:sz="8" w:space="0"/>
            </w:tcBorders>
            <w:shd w:val="clear"/>
            <w:vAlign w:val="center"/>
          </w:tcPr>
          <w:p>
            <w:pPr>
              <w:pStyle w:val="4"/>
              <w:widowControl/>
              <w:autoSpaceDE/>
              <w:autoSpaceDN w:val="0"/>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rPr>
              <w:t>服务前移至乡镇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612"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31</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rPr>
              <w:t>市生态环境局赫山分局</w:t>
            </w:r>
            <w:r>
              <w:rPr>
                <w:rFonts w:hint="eastAsia" w:ascii="宋体" w:hAnsi="宋体" w:eastAsia="宋体" w:cs="宋体"/>
                <w:sz w:val="24"/>
                <w:szCs w:val="24"/>
                <w:bdr w:val="none" w:color="auto" w:sz="0" w:space="0"/>
              </w:rPr>
              <w:t>、区农业农村局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农村生活垃圾和生活污水治理的监管执法</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w:t>
            </w: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服务前移至乡镇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612"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32</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rPr>
              <w:t>市生态环境局赫山分局</w:t>
            </w:r>
            <w:r>
              <w:rPr>
                <w:rFonts w:hint="eastAsia" w:ascii="宋体" w:hAnsi="宋体" w:eastAsia="宋体" w:cs="宋体"/>
                <w:sz w:val="24"/>
                <w:szCs w:val="24"/>
                <w:bdr w:val="none" w:color="auto" w:sz="0" w:space="0"/>
              </w:rPr>
              <w:t>、区农业农村局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畜禽养殖污染防治的监管执法</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w:t>
            </w: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服务前移至乡镇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612"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33</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rPr>
              <w:t>市生态环境局赫山分局</w:t>
            </w:r>
            <w:r>
              <w:rPr>
                <w:rFonts w:hint="eastAsia" w:ascii="宋体" w:hAnsi="宋体" w:eastAsia="宋体" w:cs="宋体"/>
                <w:sz w:val="24"/>
                <w:szCs w:val="24"/>
                <w:bdr w:val="none" w:color="auto" w:sz="0" w:space="0"/>
              </w:rPr>
              <w:t>、区农业农村局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对辖区内秸秆、垃圾等生物质焚烧的监管执法</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w:t>
            </w: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服务前移至乡镇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612"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34</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区卫生健康局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老年人优待证办理</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pStyle w:val="4"/>
              <w:widowControl/>
              <w:autoSpaceDE/>
              <w:autoSpaceDN w:val="0"/>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rPr>
              <w:t>委托下放到乡镇、街道、园区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612"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spacing w:before="120" w:beforeLines="50" w:beforeAutospacing="0"/>
              <w:jc w:val="center"/>
              <w:textAlignment w:val="center"/>
              <w:rPr>
                <w:rFonts w:hint="eastAsia" w:ascii="宋体" w:hAnsi="宋体" w:eastAsia="宋体" w:cs="宋体"/>
                <w:sz w:val="24"/>
                <w:szCs w:val="24"/>
                <w:bdr w:val="none" w:color="auto" w:sz="0" w:space="0"/>
                <w:lang w:val="en-US"/>
              </w:rPr>
            </w:pPr>
            <w:r>
              <w:rPr>
                <w:bdr w:val="none" w:color="auto" w:sz="0" w:space="0"/>
              </w:rPr>
              <mc:AlternateContent>
                <mc:Choice Requires="wps">
                  <w:drawing>
                    <wp:anchor distT="0" distB="0" distL="114300" distR="114300" simplePos="0" relativeHeight="252182528" behindDoc="0" locked="0" layoutInCell="1" allowOverlap="1">
                      <wp:simplePos x="0" y="0"/>
                      <wp:positionH relativeFrom="column">
                        <wp:posOffset>-508635</wp:posOffset>
                      </wp:positionH>
                      <wp:positionV relativeFrom="paragraph">
                        <wp:posOffset>419100</wp:posOffset>
                      </wp:positionV>
                      <wp:extent cx="557530" cy="685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557530" cy="685800"/>
                              </a:xfrm>
                              <a:prstGeom prst="rect">
                                <a:avLst/>
                              </a:prstGeom>
                              <a:noFill/>
                              <a:ln>
                                <a:noFill/>
                              </a:ln>
                            </wps:spPr>
                            <wps:txbx>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txbxContent>
                            </wps:txbx>
                            <wps:bodyPr vert="eaVert" wrap="square" upright="0"/>
                          </wps:wsp>
                        </a:graphicData>
                      </a:graphic>
                    </wp:anchor>
                  </w:drawing>
                </mc:Choice>
                <mc:Fallback>
                  <w:pict>
                    <v:shape id="文本框 5" o:spid="_x0000_s1026" o:spt="202" type="#_x0000_t202" style="position:absolute;left:0pt;margin-left:-40.05pt;margin-top:33pt;height:54pt;width:43.9pt;z-index:252182528;mso-width-relative:page;mso-height-relative:page;" filled="f" stroked="f" coordsize="21600,21600" o:gfxdata="UEsDBAoAAAAAAIdO4kAAAAAAAAAAAAAAAAAEAAAAZHJzL1BLAwQUAAAACACHTuJAiJ8b39cAAAAI&#10;AQAADwAAAGRycy9kb3ducmV2LnhtbE2PwU7DMBBE70j8g7VI3Fo7qCRViFOJ0l6BFgRXN16SQLwO&#10;sdO0f89yguNqn2beFKuT68QRh9B60pDMFQikytuWag2vL9vZEkSIhqzpPKGGMwZYlZcXhcmtn2iH&#10;x32sBYdQyI2GJsY+lzJUDToT5r5H4t+HH5yJfA61tIOZONx18kapVDrTEjc0psd1g9XXfnQanu/H&#10;afd4+7RJvxfV5v0B159v27PW11eJugMR8RT/YPjVZ3Uo2engR7JBdBpmS5UwqiFNeRMDWQbiwFy2&#10;UCDLQv4fUP4AUEsDBBQAAAAIAIdO4kCfwh4epAEAABsDAAAOAAAAZHJzL2Uyb0RvYy54bWytUktu&#10;2zAQ3RfIHQjuYyoOlBqC5QBBkGyKtkDa7mlqaBEQP+HQlnyB9gZdddN9z+VzdMg4Tj+7ohtSnBm9&#10;ee/NLK8nO7AdRDTetfxiVnEGTvnOuE3LP364O19whkm6Tg7eQcv3gPx6dfZqOYYG5r73QweREYjD&#10;Zgwt71MKjRCoerASZz6Ao6T20cpEz7gRXZQjodtBzKvqSow+diF6BYgUvX1K8lXB1xpUeqc1QmJD&#10;y4lbKmcs5zqfYrWUzSbK0Bt1pCH/gYWVxlHTE9StTJJto/kLyhoVPXqdZspb4bU2CooGUnNR/aHm&#10;oZcBihYyB8PJJvx/sOrt7n1kpmv5nDMnLY3o8PXL4duPw/fPrM72jAEbqnoIVJemGz/RmJ/jSMGs&#10;etLR5pv0MMqT0fuTuTAlpihY16/rS8ooSl0t6kVVzBcvP4eI6R68Zfmj5ZFmVyyVuzeYiAiVPpfk&#10;Xs7fmWEo8xvcbwEqzBGRmT8xzF9pWk9HOWvf7UkNrS31AfmJbs5GWoKW4+NWRuBsG6LZ9GVdcusM&#10;QBMoJI7bkkf867tUvez0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Inxvf1wAAAAgBAAAPAAAA&#10;AAAAAAEAIAAAACIAAABkcnMvZG93bnJldi54bWxQSwECFAAUAAAACACHTuJAn8IeHqQBAAAbAwAA&#10;DgAAAAAAAAABACAAAAAmAQAAZHJzL2Uyb0RvYy54bWxQSwUGAAAAAAYABgBZAQAAPAUAAAAA&#10;">
                      <v:path/>
                      <v:fill on="f" focussize="0,0"/>
                      <v:stroke on="f" joinstyle="miter"/>
                      <v:imagedata o:title=""/>
                      <o:lock v:ext="edit"/>
                      <v:textbox style="layout-flow:vertical-ideographic;mso-rotate-with-shape:t;">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txbxContent>
                      </v:textbox>
                    </v:shape>
                  </w:pict>
                </mc:Fallback>
              </mc:AlternateContent>
            </w:r>
            <w:r>
              <w:rPr>
                <w:rFonts w:hint="eastAsia" w:ascii="宋体" w:hAnsi="宋体" w:eastAsia="宋体" w:cs="宋体"/>
                <w:sz w:val="24"/>
                <w:szCs w:val="24"/>
                <w:bdr w:val="none" w:color="auto" w:sz="0" w:space="0"/>
                <w:lang w:val="en-US"/>
              </w:rPr>
              <w:t>35</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区卫生健康局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生育服务证发放</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pStyle w:val="4"/>
              <w:widowControl/>
              <w:autoSpaceDE/>
              <w:autoSpaceDN w:val="0"/>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rPr>
              <w:t>直接下放到乡镇、街道、园区，服务前移至村、社区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78"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36</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区卫生健康局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违法生育子女的行政征收</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pStyle w:val="4"/>
              <w:widowControl/>
              <w:autoSpaceDE/>
              <w:autoSpaceDN w:val="0"/>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78"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spacing w:before="96" w:beforeLines="40" w:beforeAutospacing="0"/>
              <w:jc w:val="center"/>
              <w:textAlignment w:val="center"/>
              <w:rPr>
                <w:rFonts w:hint="eastAsia" w:ascii="宋体" w:hAnsi="宋体" w:eastAsia="宋体" w:cs="宋体"/>
                <w:sz w:val="24"/>
                <w:szCs w:val="24"/>
                <w:bdr w:val="none" w:color="auto" w:sz="0" w:space="0"/>
                <w:lang w:val="en-US"/>
              </w:rPr>
            </w:pPr>
            <w:r>
              <w:rPr>
                <w:bdr w:val="none" w:color="auto" w:sz="0" w:space="0"/>
              </w:rPr>
              <mc:AlternateContent>
                <mc:Choice Requires="wps">
                  <w:drawing>
                    <wp:anchor distT="0" distB="0" distL="114300" distR="114300" simplePos="0" relativeHeight="253231104" behindDoc="0" locked="0" layoutInCell="1" allowOverlap="1">
                      <wp:simplePos x="0" y="0"/>
                      <wp:positionH relativeFrom="column">
                        <wp:posOffset>-508635</wp:posOffset>
                      </wp:positionH>
                      <wp:positionV relativeFrom="paragraph">
                        <wp:posOffset>-801370</wp:posOffset>
                      </wp:positionV>
                      <wp:extent cx="557530" cy="685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557530" cy="685800"/>
                              </a:xfrm>
                              <a:prstGeom prst="rect">
                                <a:avLst/>
                              </a:prstGeom>
                              <a:noFill/>
                              <a:ln>
                                <a:noFill/>
                              </a:ln>
                            </wps:spPr>
                            <wps:txbx>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txbxContent>
                            </wps:txbx>
                            <wps:bodyPr vert="eaVert" wrap="square" upright="0"/>
                          </wps:wsp>
                        </a:graphicData>
                      </a:graphic>
                    </wp:anchor>
                  </w:drawing>
                </mc:Choice>
                <mc:Fallback>
                  <w:pict>
                    <v:shape id="文本框 6" o:spid="_x0000_s1026" o:spt="202" type="#_x0000_t202" style="position:absolute;left:0pt;margin-left:-40.05pt;margin-top:-63.1pt;height:54pt;width:43.9pt;z-index:253231104;mso-width-relative:page;mso-height-relative:page;" filled="f" stroked="f" coordsize="21600,21600" o:gfxdata="UEsDBAoAAAAAAIdO4kAAAAAAAAAAAAAAAAAEAAAAZHJzL1BLAwQUAAAACACHTuJABwPN7dgAAAAK&#10;AQAADwAAAGRycy9kb3ducmV2LnhtbE2PTU+DQBCG7yb+h82YeGsXiFKCLE2s7VVtNXrdsiOg7Cyy&#10;S2n/vdNTvc3Hk3eeKZZH24kDDr51pCCeRyCQKmdaqhW8v21mGQgfNBndOUIFJ/SwLK+vCp0bN9EW&#10;D7tQCw4hn2sFTQh9LqWvGrTaz12PxLsvN1gduB1qaQY9cbjtZBJFqbS6Jb7Q6B5XDVY/u9EqeH0c&#10;p+3z/cs6/b2r1p9PuPr+2JyUur2JowcQAY/hAsNZn9WhZKe9G8l40SmYZVHMKBdxkiYgGFksQOzP&#10;gywBWRby/wvlH1BLAwQUAAAACACHTuJAF6thLKUBAAAbAwAADgAAAGRycy9lMm9Eb2MueG1srVJL&#10;btswEN0XyB0I7mMqae0aguUARZBuirRA0u5pirQIiByWQ1vyBdIbdJVN9jmXz5Eh4zj97IpuSHFm&#10;9Oa9N7O4GF3PtjqiBd/ws0nFmfYKWuvXDf96e3U65wyT9K3sweuG7zTyi+XJm8UQan0OHfStjoxA&#10;PNZDaHiXUqiFQNVpJ3ECQXtKGohOJnrGtWijHAjd9eK8qmZigNiGCEojUvTyOcmXBd8YrdJnY1An&#10;1jecuKVyxnKu8imWC1mvowydVQca8h9YOGk9NT1CXcok2Sbav6CcVREQTJoocAKMsUoXDaTmrPpD&#10;zU0ngy5ayBwMR5vw/8Gq6+2XyGzb8HeceeloRPufP/b3j/uHOzbL9gwBa6q6CVSXxg8w0phf4kjB&#10;rHo00eWb9DDKk9G7o7l6TExRcDp9P31LGUWp2Xw6r4r54vXnEDF91OBY/mh4pNkVS+X2EyYiQqUv&#10;JbmXhyvb92V+vf8tQIU5IjLzZ4b5K42r8SBnBe2O1NDaUh8tv9HN2UBL0HD8vpFRc7YJ0a67si65&#10;dQagCRQSh23JI/71Xaped3r5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cDze3YAAAACgEAAA8A&#10;AAAAAAAAAQAgAAAAIgAAAGRycy9kb3ducmV2LnhtbFBLAQIUABQAAAAIAIdO4kAXq2EspQEAABsD&#10;AAAOAAAAAAAAAAEAIAAAACcBAABkcnMvZTJvRG9jLnhtbFBLBQYAAAAABgAGAFkBAAA+BQAAAAA=&#10;">
                      <v:path/>
                      <v:fill on="f" focussize="0,0"/>
                      <v:stroke on="f" joinstyle="miter"/>
                      <v:imagedata o:title=""/>
                      <o:lock v:ext="edit"/>
                      <v:textbox style="layout-flow:vertical-ideographic;mso-rotate-with-shape:t;">
                        <w:txbxContent>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8"/>
                                <w:szCs w:val="28"/>
                                <w:lang w:val="en-US"/>
                              </w:rPr>
                            </w:pPr>
                          </w:p>
                        </w:txbxContent>
                      </v:textbox>
                    </v:shape>
                  </w:pict>
                </mc:Fallback>
              </mc:AlternateContent>
            </w:r>
            <w:r>
              <w:rPr>
                <w:rFonts w:hint="eastAsia" w:ascii="宋体" w:hAnsi="宋体" w:eastAsia="宋体" w:cs="宋体"/>
                <w:sz w:val="24"/>
                <w:szCs w:val="24"/>
                <w:bdr w:val="none" w:color="auto" w:sz="0" w:space="0"/>
                <w:lang w:val="en-US"/>
              </w:rPr>
              <w:t>37</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区退役军人事务局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优抚对象临时补助给付</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578"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38</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区林业局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林木采伐许可证、木材运输证核发</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服务前移至乡镇、街道、园区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PrEx>
        <w:trPr>
          <w:trHeight w:val="578"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39</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区林业局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临时占用林地审批</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服务前移至乡镇、街道、园区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78"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40</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区市场监管局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小餐饮经营许可证核发</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委托下放至乡镇、街道市场监管所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78"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41</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区市场监管局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个体工商户登记</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委托下放至乡镇、街道市场监管所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78"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42</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区市场监管局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食品经营许可（个体）</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委托下放至乡镇、街道市场监管所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78"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43</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区市场监管局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农民专业合作社设立、变更、注销登记</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委托下放至乡镇、街道市场监管所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78"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44</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区应急管理局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代收救灾捐赠款物</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pStyle w:val="4"/>
              <w:widowControl/>
              <w:autoSpaceDE/>
              <w:autoSpaceDN w:val="0"/>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rPr>
              <w:t>委托下放至乡镇、街道、园区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78"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45</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区城管执法局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大型户外广告设置审批</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pStyle w:val="4"/>
              <w:widowControl/>
              <w:autoSpaceDE/>
              <w:autoSpaceDN w:val="0"/>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rPr>
              <w:t>直接赋权至乡镇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578"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46</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区城管执法局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市容环境卫生管理方面违法行为的处罚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w:t>
            </w:r>
          </w:p>
        </w:tc>
        <w:tc>
          <w:tcPr>
            <w:tcW w:w="1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直接赋权至乡镇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595"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47</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区城管执法局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市政管理方面违法违规行为的处罚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w:t>
            </w:r>
          </w:p>
        </w:tc>
        <w:tc>
          <w:tcPr>
            <w:tcW w:w="1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直接赋权至乡镇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595"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48</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区城管执法局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工程建设涉及城市绿地、树木审批</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tblCellMar>
            <w:top w:w="57" w:type="dxa"/>
            <w:left w:w="28" w:type="dxa"/>
            <w:bottom w:w="57" w:type="dxa"/>
            <w:right w:w="28" w:type="dxa"/>
          </w:tblCellMar>
        </w:tblPrEx>
        <w:trPr>
          <w:trHeight w:val="595"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49</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区城管执法局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临时占地、挖掘城市道路两侧和公共场地许可</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p>
        </w:tc>
        <w:tc>
          <w:tcPr>
            <w:tcW w:w="11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w:t>
            </w:r>
          </w:p>
        </w:tc>
        <w:tc>
          <w:tcPr>
            <w:tcW w:w="105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委托下放至乡镇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595"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50</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rPr>
              <w:t>区城管执法局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绿化管理违法违规行为的处罚</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直接赋权至乡镇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95" w:hRule="atLeast"/>
          <w:jc w:val="center"/>
        </w:trPr>
        <w:tc>
          <w:tcPr>
            <w:tcW w:w="658" w:type="dxa"/>
            <w:tcBorders>
              <w:top w:val="single" w:color="auto" w:sz="4" w:space="0"/>
              <w:left w:val="single" w:color="auto" w:sz="8"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51</w:t>
            </w:r>
          </w:p>
        </w:tc>
        <w:tc>
          <w:tcPr>
            <w:tcW w:w="21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区城管执法局</w:t>
            </w:r>
          </w:p>
        </w:tc>
        <w:tc>
          <w:tcPr>
            <w:tcW w:w="368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sz w:val="24"/>
                <w:szCs w:val="24"/>
                <w:bdr w:val="none" w:color="auto" w:sz="0" w:space="0"/>
              </w:rPr>
              <w:t>临时占地、挖掘城市道路审批</w:t>
            </w:r>
          </w:p>
        </w:tc>
        <w:tc>
          <w:tcPr>
            <w:tcW w:w="111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167"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4"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4"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直接赋权至乡镇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28" w:type="dxa"/>
            <w:bottom w:w="57" w:type="dxa"/>
            <w:right w:w="28" w:type="dxa"/>
          </w:tblCellMar>
        </w:tblPrEx>
        <w:trPr>
          <w:trHeight w:val="595" w:hRule="atLeast"/>
          <w:jc w:val="center"/>
        </w:trPr>
        <w:tc>
          <w:tcPr>
            <w:tcW w:w="658" w:type="dxa"/>
            <w:tcBorders>
              <w:top w:val="single" w:color="auto" w:sz="4" w:space="0"/>
              <w:left w:val="single" w:color="auto" w:sz="8" w:space="0"/>
              <w:bottom w:val="single" w:color="auto" w:sz="8"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lang w:val="en-US"/>
              </w:rPr>
              <w:t>52</w:t>
            </w:r>
          </w:p>
        </w:tc>
        <w:tc>
          <w:tcPr>
            <w:tcW w:w="2160" w:type="dxa"/>
            <w:tcBorders>
              <w:top w:val="single" w:color="auto" w:sz="4" w:space="0"/>
              <w:left w:val="single" w:color="auto" w:sz="4" w:space="0"/>
              <w:bottom w:val="single" w:color="auto" w:sz="8" w:space="0"/>
              <w:right w:val="single" w:color="auto" w:sz="4" w:space="0"/>
            </w:tcBorders>
            <w:shd w:val="clear"/>
            <w:vAlign w:val="center"/>
          </w:tcPr>
          <w:p>
            <w:pPr>
              <w:keepNext w:val="0"/>
              <w:keepLines w:val="0"/>
              <w:widowControl w:val="0"/>
              <w:suppressLineNumbers w:val="0"/>
              <w:autoSpaceDE/>
              <w:autoSpaceDN w:val="0"/>
              <w:spacing w:before="0" w:beforeAutospacing="0" w:after="0" w:afterAutospacing="0"/>
              <w:ind w:left="0" w:right="0"/>
              <w:jc w:val="left"/>
              <w:textAlignment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区城管执法局</w:t>
            </w:r>
          </w:p>
        </w:tc>
        <w:tc>
          <w:tcPr>
            <w:tcW w:w="3680" w:type="dxa"/>
            <w:tcBorders>
              <w:top w:val="single" w:color="auto" w:sz="4" w:space="0"/>
              <w:left w:val="single" w:color="auto" w:sz="4" w:space="0"/>
              <w:bottom w:val="single" w:color="auto" w:sz="8" w:space="0"/>
              <w:right w:val="single" w:color="auto" w:sz="4" w:space="0"/>
            </w:tcBorders>
            <w:shd w:val="clear"/>
            <w:vAlign w:val="center"/>
          </w:tcPr>
          <w:p>
            <w:pPr>
              <w:pStyle w:val="4"/>
              <w:widowControl/>
              <w:autoSpaceDE/>
              <w:autoSpaceDN w:val="0"/>
              <w:jc w:val="left"/>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临时建设违法的处罚</w:t>
            </w:r>
          </w:p>
        </w:tc>
        <w:tc>
          <w:tcPr>
            <w:tcW w:w="1117" w:type="dxa"/>
            <w:tcBorders>
              <w:top w:val="single" w:color="auto" w:sz="4" w:space="0"/>
              <w:left w:val="single" w:color="auto" w:sz="4" w:space="0"/>
              <w:bottom w:val="single" w:color="auto" w:sz="8"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r>
              <w:rPr>
                <w:rFonts w:hint="eastAsia" w:ascii="宋体" w:hAnsi="宋体" w:eastAsia="宋体" w:cs="宋体"/>
                <w:sz w:val="24"/>
                <w:szCs w:val="24"/>
                <w:bdr w:val="none" w:color="auto" w:sz="0" w:space="0"/>
              </w:rPr>
              <w:t>√</w:t>
            </w:r>
          </w:p>
        </w:tc>
        <w:tc>
          <w:tcPr>
            <w:tcW w:w="1167" w:type="dxa"/>
            <w:tcBorders>
              <w:top w:val="single" w:color="auto" w:sz="4" w:space="0"/>
              <w:left w:val="single" w:color="auto" w:sz="4" w:space="0"/>
              <w:bottom w:val="single" w:color="auto" w:sz="8"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1050" w:type="dxa"/>
            <w:tcBorders>
              <w:top w:val="single" w:color="auto" w:sz="4" w:space="0"/>
              <w:left w:val="single" w:color="auto" w:sz="4" w:space="0"/>
              <w:bottom w:val="single" w:color="auto" w:sz="8" w:space="0"/>
              <w:right w:val="single" w:color="auto" w:sz="4" w:space="0"/>
            </w:tcBorders>
            <w:shd w:val="clear"/>
            <w:vAlign w:val="center"/>
          </w:tcPr>
          <w:p>
            <w:pPr>
              <w:pStyle w:val="4"/>
              <w:widowControl/>
              <w:autoSpaceDE/>
              <w:autoSpaceDN w:val="0"/>
              <w:jc w:val="center"/>
              <w:textAlignment w:val="center"/>
              <w:rPr>
                <w:rFonts w:hint="eastAsia" w:ascii="宋体" w:hAnsi="宋体" w:eastAsia="宋体" w:cs="宋体"/>
                <w:sz w:val="24"/>
                <w:szCs w:val="24"/>
                <w:bdr w:val="none" w:color="auto" w:sz="0" w:space="0"/>
                <w:lang w:val="en-US"/>
              </w:rPr>
            </w:pPr>
          </w:p>
        </w:tc>
        <w:tc>
          <w:tcPr>
            <w:tcW w:w="3827" w:type="dxa"/>
            <w:tcBorders>
              <w:top w:val="single" w:color="auto" w:sz="4" w:space="0"/>
              <w:left w:val="single" w:color="auto" w:sz="4" w:space="0"/>
              <w:bottom w:val="single" w:color="auto" w:sz="8" w:space="0"/>
              <w:right w:val="single" w:color="auto" w:sz="8" w:space="0"/>
            </w:tcBorders>
            <w:shd w:val="clear"/>
            <w:vAlign w:val="center"/>
          </w:tcPr>
          <w:p>
            <w:pPr>
              <w:keepNext w:val="0"/>
              <w:keepLines w:val="0"/>
              <w:widowControl w:val="0"/>
              <w:suppressLineNumbers w:val="0"/>
              <w:autoSpaceDE/>
              <w:autoSpaceDN w:val="0"/>
              <w:spacing w:before="0" w:beforeAutospacing="0" w:after="0" w:afterAutospacing="0"/>
              <w:ind w:left="0" w:right="0"/>
              <w:jc w:val="both"/>
              <w:textAlignment w:val="center"/>
              <w:rPr>
                <w:rFonts w:hint="eastAsia" w:ascii="宋体" w:hAnsi="宋体" w:eastAsia="宋体" w:cs="宋体"/>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直接赋权至乡镇</w:t>
            </w:r>
          </w:p>
        </w:tc>
      </w:tr>
    </w:tbl>
    <w:p/>
    <w:sectPr>
      <w:pgSz w:w="15840" w:h="12240" w:orient="landscape"/>
      <w:pgMar w:top="1800" w:right="1440" w:bottom="1800" w:left="144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auto"/>
    <w:pitch w:val="variable"/>
    <w:sig w:usb0="E00006FF" w:usb1="420024FF" w:usb2="02000000" w:usb3="00000000" w:csb0="2000019F" w:csb1="00000000"/>
  </w:font>
  <w:font w:name="等线">
    <w:panose1 w:val="02010600030101010101"/>
    <w:charset w:val="86"/>
    <w:family w:val="auto"/>
    <w:pitch w:val="variable"/>
    <w:sig w:usb0="A00002BF" w:usb1="38CF7CFA" w:usb2="00000016" w:usb3="00000000" w:csb0="0004000F" w:csb1="00000000"/>
  </w:font>
  <w:font w:name="方正小标宋简体">
    <w:panose1 w:val="02000000000000000000"/>
    <w:charset w:val="86"/>
    <w:family w:val="auto"/>
    <w:pitch w:val="variable"/>
    <w:sig w:usb0="00000001" w:usb1="080E0000" w:usb2="00000000" w:usb3="00000000" w:csb0="00040000" w:csb1="00000000"/>
    <w:embedRegular r:id="rId1" w:fontKey="{805E8528-E9F7-435B-84A1-6214B20C424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方正小标宋简体">
    <w:panose1 w:val="02000000000000000000"/>
    <w:charset w:val="86"/>
    <w:family w:val="auto"/>
    <w:pitch w:val="variable"/>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625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4">
    <w:name w:val="正文 New New"/>
    <w:basedOn w:val="1"/>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2020-09-27T01:56:31Z</dcterms:created>
  <dc:creator>yaya</dc:creator>
  <cp:lastModifiedBy>yaya</cp:lastModifiedBy>
  <dcterms:modified xsi:type="dcterms:W3CDTF">2020-09-27T01:58:02Z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