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F7" w:rsidRDefault="005F4CF7" w:rsidP="005F4CF7">
      <w:pPr>
        <w:spacing w:line="540" w:lineRule="exact"/>
        <w:rPr>
          <w:rFonts w:ascii="仿宋" w:eastAsia="仿宋" w:hAnsi="仿宋" w:cs="Arial"/>
          <w:sz w:val="32"/>
        </w:rPr>
      </w:pPr>
    </w:p>
    <w:p w:rsidR="004546F0" w:rsidRDefault="00F94D6C" w:rsidP="005F4CF7">
      <w:pPr>
        <w:spacing w:line="540" w:lineRule="exact"/>
        <w:jc w:val="center"/>
        <w:rPr>
          <w:rFonts w:ascii="方正小标宋简体" w:eastAsia="方正小标宋简体" w:hAnsi="仿宋"/>
          <w:color w:val="000000" w:themeColor="text1"/>
          <w:sz w:val="44"/>
          <w:szCs w:val="44"/>
        </w:rPr>
      </w:pPr>
      <w:r>
        <w:rPr>
          <w:rFonts w:ascii="方正小标宋简体" w:eastAsia="方正小标宋简体" w:hAnsi="仿宋" w:hint="eastAsia"/>
          <w:color w:val="000000" w:themeColor="text1"/>
          <w:sz w:val="44"/>
          <w:szCs w:val="44"/>
        </w:rPr>
        <w:t>赫山区20</w:t>
      </w:r>
      <w:bookmarkStart w:id="0" w:name="_GoBack"/>
      <w:bookmarkEnd w:id="0"/>
      <w:r>
        <w:rPr>
          <w:rFonts w:ascii="方正小标宋简体" w:eastAsia="方正小标宋简体" w:hAnsi="仿宋" w:hint="eastAsia"/>
          <w:color w:val="000000" w:themeColor="text1"/>
          <w:sz w:val="44"/>
          <w:szCs w:val="44"/>
        </w:rPr>
        <w:t>20年调整预算（草案）汇报</w:t>
      </w:r>
    </w:p>
    <w:p w:rsidR="00537E1D" w:rsidRPr="00537E1D" w:rsidRDefault="00537E1D" w:rsidP="00537E1D">
      <w:pPr>
        <w:spacing w:line="560" w:lineRule="exact"/>
        <w:rPr>
          <w:rFonts w:ascii="楷体" w:eastAsia="楷体" w:hAnsi="楷体"/>
          <w:b/>
          <w:spacing w:val="-6"/>
          <w:sz w:val="32"/>
          <w:szCs w:val="32"/>
        </w:rPr>
      </w:pPr>
      <w:r w:rsidRPr="00537E1D">
        <w:rPr>
          <w:rFonts w:ascii="楷体" w:eastAsia="楷体" w:hAnsi="楷体" w:hint="eastAsia"/>
          <w:b/>
          <w:spacing w:val="-6"/>
          <w:sz w:val="32"/>
          <w:szCs w:val="32"/>
        </w:rPr>
        <w:t>——2020年11月30日在赫山区第五届人大常委会第35次会议上</w:t>
      </w:r>
    </w:p>
    <w:p w:rsidR="00A8264D" w:rsidRPr="00A645DC" w:rsidRDefault="00A8264D" w:rsidP="005F4CF7">
      <w:pPr>
        <w:spacing w:line="540" w:lineRule="exact"/>
        <w:jc w:val="center"/>
        <w:rPr>
          <w:rFonts w:ascii="楷体" w:eastAsia="楷体" w:hAnsi="楷体"/>
          <w:b/>
          <w:sz w:val="32"/>
          <w:szCs w:val="32"/>
        </w:rPr>
      </w:pPr>
      <w:r w:rsidRPr="00A645DC">
        <w:rPr>
          <w:rFonts w:ascii="楷体" w:eastAsia="楷体" w:hAnsi="楷体"/>
          <w:b/>
          <w:sz w:val="32"/>
          <w:szCs w:val="32"/>
        </w:rPr>
        <w:t>区财政局局长</w:t>
      </w:r>
      <w:r>
        <w:rPr>
          <w:rFonts w:ascii="楷体" w:eastAsia="楷体" w:hAnsi="楷体" w:hint="eastAsia"/>
          <w:b/>
          <w:sz w:val="32"/>
          <w:szCs w:val="32"/>
        </w:rPr>
        <w:t xml:space="preserve">  </w:t>
      </w:r>
      <w:r w:rsidRPr="00A645DC">
        <w:rPr>
          <w:rFonts w:ascii="楷体" w:eastAsia="楷体" w:hAnsi="楷体"/>
          <w:b/>
          <w:sz w:val="32"/>
          <w:szCs w:val="32"/>
        </w:rPr>
        <w:t>闵益华</w:t>
      </w:r>
    </w:p>
    <w:p w:rsidR="00681D48" w:rsidRDefault="00681D48" w:rsidP="005F4CF7">
      <w:pPr>
        <w:spacing w:line="540" w:lineRule="exact"/>
        <w:rPr>
          <w:rFonts w:ascii="仿宋" w:eastAsia="仿宋" w:hAnsi="仿宋" w:cs="Arial"/>
          <w:sz w:val="32"/>
        </w:rPr>
      </w:pPr>
    </w:p>
    <w:p w:rsidR="00537E1D" w:rsidRDefault="00537E1D" w:rsidP="00537E1D">
      <w:pPr>
        <w:spacing w:line="560" w:lineRule="exact"/>
        <w:rPr>
          <w:rFonts w:ascii="仿宋" w:eastAsia="仿宋" w:hAnsi="仿宋"/>
          <w:sz w:val="32"/>
          <w:szCs w:val="32"/>
        </w:rPr>
      </w:pPr>
      <w:r>
        <w:rPr>
          <w:rFonts w:ascii="仿宋" w:eastAsia="仿宋" w:hAnsi="仿宋" w:hint="eastAsia"/>
          <w:sz w:val="32"/>
          <w:szCs w:val="32"/>
        </w:rPr>
        <w:t>主任、各位副主任、各位委员：</w:t>
      </w:r>
    </w:p>
    <w:p w:rsidR="005C5171" w:rsidRPr="00342ED2" w:rsidRDefault="005C5171" w:rsidP="005C5171">
      <w:pPr>
        <w:spacing w:line="560" w:lineRule="exact"/>
        <w:ind w:firstLineChars="200" w:firstLine="640"/>
        <w:rPr>
          <w:rFonts w:ascii="仿宋" w:eastAsia="仿宋" w:hAnsi="仿宋"/>
          <w:sz w:val="32"/>
          <w:szCs w:val="32"/>
        </w:rPr>
      </w:pPr>
      <w:r w:rsidRPr="00342ED2">
        <w:rPr>
          <w:rFonts w:ascii="仿宋" w:eastAsia="仿宋" w:hAnsi="仿宋"/>
          <w:sz w:val="32"/>
          <w:szCs w:val="32"/>
        </w:rPr>
        <w:t>我受区人民政府委托，向本次大会报告全区2020年预算调整（草案），请予审议。</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元月份以来，新冠肺炎疫情严重地影响了我区经济运行与社会发展，上半年企业生产开工严重不足，产销下降，税源大幅减少，预计难以完成年初收入任务，加上为了帮助地方应对疫情影响，中央以直达资金的形式加大了对地方的转移支付支持力度，年初预算收支情况有了较大的变化，因此，有必要对2020年预算</w:t>
      </w:r>
      <w:r w:rsidR="00FE2D28">
        <w:rPr>
          <w:rFonts w:ascii="仿宋" w:eastAsia="仿宋" w:hAnsi="仿宋" w:hint="eastAsia"/>
          <w:color w:val="000000" w:themeColor="text1"/>
          <w:sz w:val="32"/>
          <w:szCs w:val="32"/>
        </w:rPr>
        <w:t>按照“收支平衡、精细管理、突出重点、有保有压、全面从紧、防范风险”的原则</w:t>
      </w:r>
      <w:r>
        <w:rPr>
          <w:rFonts w:ascii="仿宋" w:eastAsia="仿宋" w:hAnsi="仿宋" w:hint="eastAsia"/>
          <w:color w:val="000000" w:themeColor="text1"/>
          <w:sz w:val="32"/>
          <w:szCs w:val="32"/>
        </w:rPr>
        <w:t>进行调整。同时，将2020年地方政府债券收支情况一并报告。</w:t>
      </w:r>
    </w:p>
    <w:p w:rsidR="004546F0" w:rsidRDefault="00F94D6C" w:rsidP="005F4CF7">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一、一般公共预算收入调整情况</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调增</w:t>
      </w:r>
      <w:r>
        <w:rPr>
          <w:rFonts w:ascii="仿宋" w:eastAsia="仿宋" w:hAnsi="仿宋" w:hint="eastAsia"/>
          <w:color w:val="000000" w:themeColor="text1"/>
          <w:sz w:val="32"/>
          <w:szCs w:val="32"/>
        </w:rPr>
        <w:t>28173</w:t>
      </w:r>
      <w:r>
        <w:rPr>
          <w:rFonts w:ascii="仿宋" w:eastAsia="仿宋" w:hAnsi="仿宋"/>
          <w:color w:val="000000" w:themeColor="text1"/>
          <w:sz w:val="32"/>
          <w:szCs w:val="32"/>
        </w:rPr>
        <w:t>万元</w:t>
      </w:r>
      <w:r>
        <w:rPr>
          <w:rFonts w:ascii="仿宋" w:eastAsia="仿宋" w:hAnsi="仿宋" w:hint="eastAsia"/>
          <w:color w:val="000000" w:themeColor="text1"/>
          <w:sz w:val="32"/>
          <w:szCs w:val="32"/>
        </w:rPr>
        <w:t>，调整后，收入总规模为494714万元。</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（一）区本级地方财政收入调减3535万元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年初预算安排129305万元，比2019年实际完成123305万元增加6000万元。因受疫情影响，经济发展放缓，适当下调，调整为125770万元，比上年实际增长2%，比上年增加2465万元，比年初预算调减3535万元。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税收收入年初安排103444万元，调整预算安排98952万元，调减4492万元；非税收入年初安排25861万元，调整预算安排26818万元，调增957万元。调整后，税收占比为78.68%，比年初预算80%下降了2.32个百分点，比上年实际占比77.3%上升了1.38个百分点。</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（二）上级转移支付收入调增29532万元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正常一般性转移支付收入调减4851万元。在编制年度预算时，预计了部分一般性转移支付增量资金，受疫情影响，中央及省将增量转移支付一并纳入了直达资金，年初预计的增量资金4931万元要调减。另产粮大县奖励等项目进行了调整（见下表）。</w:t>
      </w:r>
    </w:p>
    <w:p w:rsidR="004546F0" w:rsidRDefault="00F94D6C" w:rsidP="005F4CF7">
      <w:pPr>
        <w:spacing w:line="540" w:lineRule="exact"/>
        <w:jc w:val="center"/>
        <w:rPr>
          <w:rFonts w:ascii="黑体" w:eastAsia="黑体" w:hAnsi="黑体"/>
          <w:color w:val="000000" w:themeColor="text1"/>
          <w:sz w:val="32"/>
          <w:szCs w:val="32"/>
        </w:rPr>
      </w:pPr>
      <w:r>
        <w:rPr>
          <w:rFonts w:ascii="黑体" w:eastAsia="黑体" w:hAnsi="黑体" w:cs="Arial" w:hint="eastAsia"/>
          <w:color w:val="000000" w:themeColor="text1"/>
          <w:kern w:val="0"/>
          <w:sz w:val="36"/>
          <w:szCs w:val="36"/>
        </w:rPr>
        <w:t>正常财力性转移支付调整情况</w:t>
      </w:r>
    </w:p>
    <w:p w:rsidR="004546F0" w:rsidRDefault="00F94D6C" w:rsidP="005F4CF7">
      <w:pPr>
        <w:spacing w:line="540" w:lineRule="exact"/>
        <w:ind w:firstLineChars="3200" w:firstLine="7040"/>
        <w:rPr>
          <w:rFonts w:ascii="仿宋" w:eastAsia="仿宋" w:hAnsi="仿宋"/>
          <w:color w:val="000000" w:themeColor="text1"/>
          <w:sz w:val="32"/>
          <w:szCs w:val="32"/>
        </w:rPr>
      </w:pPr>
      <w:r>
        <w:rPr>
          <w:rFonts w:ascii="宋体" w:hAnsi="宋体" w:cs="Arial" w:hint="eastAsia"/>
          <w:color w:val="000000" w:themeColor="text1"/>
          <w:kern w:val="0"/>
          <w:sz w:val="22"/>
          <w:szCs w:val="22"/>
        </w:rPr>
        <w:t>单位：万元</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7"/>
        <w:gridCol w:w="1197"/>
        <w:gridCol w:w="1197"/>
        <w:gridCol w:w="1198"/>
      </w:tblGrid>
      <w:tr w:rsidR="004546F0" w:rsidTr="0016298E">
        <w:trPr>
          <w:trHeight w:val="511"/>
          <w:jc w:val="center"/>
        </w:trPr>
        <w:tc>
          <w:tcPr>
            <w:tcW w:w="5367" w:type="dxa"/>
            <w:tcBorders>
              <w:top w:val="single" w:sz="8" w:space="0" w:color="auto"/>
              <w:left w:val="single" w:sz="8" w:space="0" w:color="auto"/>
            </w:tcBorders>
            <w:shd w:val="clear" w:color="auto" w:fill="auto"/>
            <w:noWrap/>
            <w:vAlign w:val="center"/>
          </w:tcPr>
          <w:p w:rsidR="004546F0" w:rsidRDefault="00F94D6C">
            <w:pPr>
              <w:widowControl/>
              <w:jc w:val="center"/>
              <w:rPr>
                <w:rFonts w:asciiTheme="minorEastAsia" w:eastAsiaTheme="minorEastAsia" w:hAnsiTheme="minorEastAsia" w:cs="Arial"/>
                <w:b/>
                <w:bCs/>
                <w:color w:val="000000" w:themeColor="text1"/>
                <w:kern w:val="0"/>
                <w:sz w:val="22"/>
                <w:szCs w:val="22"/>
              </w:rPr>
            </w:pPr>
            <w:r>
              <w:rPr>
                <w:rFonts w:asciiTheme="minorEastAsia" w:eastAsiaTheme="minorEastAsia" w:hAnsiTheme="minorEastAsia" w:cs="Arial" w:hint="eastAsia"/>
                <w:b/>
                <w:bCs/>
                <w:color w:val="000000" w:themeColor="text1"/>
                <w:kern w:val="0"/>
                <w:sz w:val="22"/>
                <w:szCs w:val="22"/>
              </w:rPr>
              <w:t xml:space="preserve">项    目　</w:t>
            </w:r>
          </w:p>
        </w:tc>
        <w:tc>
          <w:tcPr>
            <w:tcW w:w="1197" w:type="dxa"/>
            <w:tcBorders>
              <w:top w:val="single" w:sz="8" w:space="0" w:color="auto"/>
            </w:tcBorders>
            <w:shd w:val="clear" w:color="auto" w:fill="auto"/>
            <w:vAlign w:val="center"/>
          </w:tcPr>
          <w:p w:rsidR="004546F0" w:rsidRDefault="00F94D6C">
            <w:pPr>
              <w:widowControl/>
              <w:jc w:val="center"/>
              <w:rPr>
                <w:rFonts w:asciiTheme="minorEastAsia" w:eastAsiaTheme="minorEastAsia" w:hAnsiTheme="minorEastAsia" w:cs="Arial"/>
                <w:b/>
                <w:bCs/>
                <w:color w:val="000000" w:themeColor="text1"/>
                <w:kern w:val="0"/>
                <w:sz w:val="22"/>
                <w:szCs w:val="22"/>
              </w:rPr>
            </w:pPr>
            <w:r>
              <w:rPr>
                <w:rFonts w:asciiTheme="minorEastAsia" w:eastAsiaTheme="minorEastAsia" w:hAnsiTheme="minorEastAsia" w:cs="Arial" w:hint="eastAsia"/>
                <w:b/>
                <w:bCs/>
                <w:color w:val="000000" w:themeColor="text1"/>
                <w:kern w:val="0"/>
                <w:sz w:val="22"/>
                <w:szCs w:val="22"/>
              </w:rPr>
              <w:t>年初预算</w:t>
            </w:r>
          </w:p>
        </w:tc>
        <w:tc>
          <w:tcPr>
            <w:tcW w:w="1197" w:type="dxa"/>
            <w:tcBorders>
              <w:top w:val="single" w:sz="8" w:space="0" w:color="auto"/>
            </w:tcBorders>
            <w:shd w:val="clear" w:color="auto" w:fill="auto"/>
            <w:vAlign w:val="center"/>
          </w:tcPr>
          <w:p w:rsidR="004546F0" w:rsidRDefault="00F94D6C">
            <w:pPr>
              <w:widowControl/>
              <w:jc w:val="center"/>
              <w:rPr>
                <w:rFonts w:asciiTheme="minorEastAsia" w:eastAsiaTheme="minorEastAsia" w:hAnsiTheme="minorEastAsia" w:cs="Arial"/>
                <w:b/>
                <w:bCs/>
                <w:color w:val="000000" w:themeColor="text1"/>
                <w:kern w:val="0"/>
                <w:sz w:val="22"/>
                <w:szCs w:val="22"/>
              </w:rPr>
            </w:pPr>
            <w:r>
              <w:rPr>
                <w:rFonts w:asciiTheme="minorEastAsia" w:eastAsiaTheme="minorEastAsia" w:hAnsiTheme="minorEastAsia" w:cs="Arial" w:hint="eastAsia"/>
                <w:b/>
                <w:bCs/>
                <w:color w:val="000000" w:themeColor="text1"/>
                <w:kern w:val="0"/>
                <w:sz w:val="22"/>
                <w:szCs w:val="22"/>
              </w:rPr>
              <w:t>调整预算</w:t>
            </w:r>
          </w:p>
        </w:tc>
        <w:tc>
          <w:tcPr>
            <w:tcW w:w="1198" w:type="dxa"/>
            <w:tcBorders>
              <w:top w:val="single" w:sz="8" w:space="0" w:color="auto"/>
              <w:right w:val="single" w:sz="8" w:space="0" w:color="auto"/>
            </w:tcBorders>
            <w:shd w:val="clear" w:color="auto" w:fill="auto"/>
            <w:vAlign w:val="center"/>
          </w:tcPr>
          <w:p w:rsidR="004546F0" w:rsidRDefault="00F94D6C">
            <w:pPr>
              <w:widowControl/>
              <w:jc w:val="center"/>
              <w:rPr>
                <w:rFonts w:asciiTheme="minorEastAsia" w:eastAsiaTheme="minorEastAsia" w:hAnsiTheme="minorEastAsia" w:cs="Arial"/>
                <w:b/>
                <w:bCs/>
                <w:color w:val="000000" w:themeColor="text1"/>
                <w:kern w:val="0"/>
                <w:sz w:val="22"/>
                <w:szCs w:val="22"/>
              </w:rPr>
            </w:pPr>
            <w:r>
              <w:rPr>
                <w:rFonts w:asciiTheme="minorEastAsia" w:eastAsiaTheme="minorEastAsia" w:hAnsiTheme="minorEastAsia" w:cs="Arial" w:hint="eastAsia"/>
                <w:b/>
                <w:bCs/>
                <w:color w:val="000000" w:themeColor="text1"/>
                <w:kern w:val="0"/>
                <w:sz w:val="22"/>
                <w:szCs w:val="22"/>
              </w:rPr>
              <w:t>增减</w:t>
            </w:r>
          </w:p>
        </w:tc>
      </w:tr>
      <w:tr w:rsidR="004546F0" w:rsidTr="0016298E">
        <w:trPr>
          <w:trHeight w:val="511"/>
          <w:jc w:val="center"/>
        </w:trPr>
        <w:tc>
          <w:tcPr>
            <w:tcW w:w="5367" w:type="dxa"/>
            <w:tcBorders>
              <w:left w:val="single" w:sz="8" w:space="0" w:color="auto"/>
            </w:tcBorders>
            <w:shd w:val="clear" w:color="auto" w:fill="auto"/>
            <w:noWrap/>
            <w:vAlign w:val="center"/>
          </w:tcPr>
          <w:p w:rsidR="004546F0" w:rsidRDefault="00F94D6C">
            <w:pPr>
              <w:widowControl/>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一般转移支付</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68,309 </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63,378 </w:t>
            </w:r>
          </w:p>
        </w:tc>
        <w:tc>
          <w:tcPr>
            <w:tcW w:w="1198" w:type="dxa"/>
            <w:tcBorders>
              <w:right w:val="single" w:sz="8" w:space="0" w:color="auto"/>
            </w:tcBorders>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-4,931 </w:t>
            </w:r>
          </w:p>
        </w:tc>
      </w:tr>
      <w:tr w:rsidR="004546F0" w:rsidTr="0016298E">
        <w:trPr>
          <w:trHeight w:val="511"/>
          <w:jc w:val="center"/>
        </w:trPr>
        <w:tc>
          <w:tcPr>
            <w:tcW w:w="5367" w:type="dxa"/>
            <w:tcBorders>
              <w:left w:val="single" w:sz="8" w:space="0" w:color="auto"/>
            </w:tcBorders>
            <w:shd w:val="clear" w:color="auto" w:fill="auto"/>
            <w:noWrap/>
            <w:vAlign w:val="center"/>
          </w:tcPr>
          <w:p w:rsidR="004546F0" w:rsidRDefault="00F94D6C">
            <w:pPr>
              <w:widowControl/>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产粮大县奖励</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2,840 </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2,705 </w:t>
            </w:r>
          </w:p>
        </w:tc>
        <w:tc>
          <w:tcPr>
            <w:tcW w:w="1198" w:type="dxa"/>
            <w:tcBorders>
              <w:right w:val="single" w:sz="8" w:space="0" w:color="auto"/>
            </w:tcBorders>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-135 </w:t>
            </w:r>
          </w:p>
        </w:tc>
      </w:tr>
      <w:tr w:rsidR="004546F0" w:rsidTr="0016298E">
        <w:trPr>
          <w:trHeight w:val="511"/>
          <w:jc w:val="center"/>
        </w:trPr>
        <w:tc>
          <w:tcPr>
            <w:tcW w:w="5367" w:type="dxa"/>
            <w:tcBorders>
              <w:left w:val="single" w:sz="8" w:space="0" w:color="auto"/>
            </w:tcBorders>
            <w:shd w:val="clear" w:color="auto" w:fill="auto"/>
            <w:noWrap/>
            <w:vAlign w:val="center"/>
          </w:tcPr>
          <w:p w:rsidR="004546F0" w:rsidRDefault="00F94D6C">
            <w:pPr>
              <w:widowControl/>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生猪调出大县奖励</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506 </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504 </w:t>
            </w:r>
          </w:p>
        </w:tc>
        <w:tc>
          <w:tcPr>
            <w:tcW w:w="1198" w:type="dxa"/>
            <w:tcBorders>
              <w:right w:val="single" w:sz="8" w:space="0" w:color="auto"/>
            </w:tcBorders>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-2 </w:t>
            </w:r>
          </w:p>
        </w:tc>
      </w:tr>
      <w:tr w:rsidR="004546F0" w:rsidTr="0016298E">
        <w:trPr>
          <w:trHeight w:val="511"/>
          <w:jc w:val="center"/>
        </w:trPr>
        <w:tc>
          <w:tcPr>
            <w:tcW w:w="5367" w:type="dxa"/>
            <w:tcBorders>
              <w:left w:val="single" w:sz="8" w:space="0" w:color="auto"/>
            </w:tcBorders>
            <w:shd w:val="clear" w:color="000000" w:fill="FFFFFF"/>
            <w:noWrap/>
            <w:vAlign w:val="center"/>
          </w:tcPr>
          <w:p w:rsidR="004546F0" w:rsidRDefault="00F94D6C">
            <w:pPr>
              <w:widowControl/>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益阳苎麻纺织印染厂留守机构移交赫山街道梓园社区管理经费</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　</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172 </w:t>
            </w:r>
          </w:p>
        </w:tc>
        <w:tc>
          <w:tcPr>
            <w:tcW w:w="1198" w:type="dxa"/>
            <w:tcBorders>
              <w:right w:val="single" w:sz="8" w:space="0" w:color="auto"/>
            </w:tcBorders>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172 </w:t>
            </w:r>
          </w:p>
        </w:tc>
      </w:tr>
      <w:tr w:rsidR="004546F0" w:rsidTr="0016298E">
        <w:trPr>
          <w:trHeight w:val="511"/>
          <w:jc w:val="center"/>
        </w:trPr>
        <w:tc>
          <w:tcPr>
            <w:tcW w:w="5367" w:type="dxa"/>
            <w:tcBorders>
              <w:left w:val="single" w:sz="8" w:space="0" w:color="auto"/>
            </w:tcBorders>
            <w:shd w:val="clear" w:color="000000" w:fill="FFFFFF"/>
            <w:noWrap/>
            <w:vAlign w:val="center"/>
          </w:tcPr>
          <w:p w:rsidR="004546F0" w:rsidRDefault="00F94D6C">
            <w:pPr>
              <w:widowControl/>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益阳茶厂留守机构移交赫山桃花仑街道管理经费基数</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　</w:t>
            </w:r>
          </w:p>
        </w:tc>
        <w:tc>
          <w:tcPr>
            <w:tcW w:w="1197" w:type="dxa"/>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45 </w:t>
            </w:r>
          </w:p>
        </w:tc>
        <w:tc>
          <w:tcPr>
            <w:tcW w:w="1198" w:type="dxa"/>
            <w:tcBorders>
              <w:right w:val="single" w:sz="8" w:space="0" w:color="auto"/>
            </w:tcBorders>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45 </w:t>
            </w:r>
          </w:p>
        </w:tc>
      </w:tr>
      <w:tr w:rsidR="004546F0" w:rsidTr="0016298E">
        <w:trPr>
          <w:trHeight w:val="511"/>
          <w:jc w:val="center"/>
        </w:trPr>
        <w:tc>
          <w:tcPr>
            <w:tcW w:w="5367" w:type="dxa"/>
            <w:tcBorders>
              <w:left w:val="single" w:sz="8" w:space="0" w:color="auto"/>
              <w:bottom w:val="single" w:sz="8" w:space="0" w:color="auto"/>
            </w:tcBorders>
            <w:shd w:val="clear" w:color="000000" w:fill="FFFFFF"/>
            <w:noWrap/>
            <w:vAlign w:val="center"/>
          </w:tcPr>
          <w:p w:rsidR="004546F0" w:rsidRDefault="00F94D6C">
            <w:pPr>
              <w:widowControl/>
              <w:jc w:val="center"/>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合    计</w:t>
            </w:r>
          </w:p>
        </w:tc>
        <w:tc>
          <w:tcPr>
            <w:tcW w:w="1197" w:type="dxa"/>
            <w:tcBorders>
              <w:bottom w:val="single" w:sz="8" w:space="0" w:color="auto"/>
            </w:tcBorders>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71,655 </w:t>
            </w:r>
          </w:p>
        </w:tc>
        <w:tc>
          <w:tcPr>
            <w:tcW w:w="1197" w:type="dxa"/>
            <w:tcBorders>
              <w:bottom w:val="single" w:sz="8" w:space="0" w:color="auto"/>
            </w:tcBorders>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66</w:t>
            </w:r>
            <w:r w:rsidR="00D011B6">
              <w:rPr>
                <w:rFonts w:asciiTheme="minorEastAsia" w:eastAsiaTheme="minorEastAsia" w:hAnsiTheme="minorEastAsia" w:cs="Arial" w:hint="eastAsia"/>
                <w:color w:val="000000" w:themeColor="text1"/>
                <w:kern w:val="0"/>
                <w:sz w:val="22"/>
                <w:szCs w:val="22"/>
              </w:rPr>
              <w:t>,</w:t>
            </w:r>
            <w:r>
              <w:rPr>
                <w:rFonts w:asciiTheme="minorEastAsia" w:eastAsiaTheme="minorEastAsia" w:hAnsiTheme="minorEastAsia" w:cs="Arial" w:hint="eastAsia"/>
                <w:color w:val="000000" w:themeColor="text1"/>
                <w:kern w:val="0"/>
                <w:sz w:val="22"/>
                <w:szCs w:val="22"/>
              </w:rPr>
              <w:t xml:space="preserve">804 </w:t>
            </w:r>
          </w:p>
        </w:tc>
        <w:tc>
          <w:tcPr>
            <w:tcW w:w="1198" w:type="dxa"/>
            <w:tcBorders>
              <w:bottom w:val="single" w:sz="8" w:space="0" w:color="auto"/>
              <w:right w:val="single" w:sz="8" w:space="0" w:color="auto"/>
            </w:tcBorders>
            <w:shd w:val="clear" w:color="auto" w:fill="auto"/>
            <w:noWrap/>
            <w:vAlign w:val="center"/>
          </w:tcPr>
          <w:p w:rsidR="004546F0" w:rsidRDefault="00F94D6C">
            <w:pPr>
              <w:widowControl/>
              <w:jc w:val="right"/>
              <w:rPr>
                <w:rFonts w:asciiTheme="minorEastAsia" w:eastAsiaTheme="minorEastAsia" w:hAnsiTheme="minorEastAsia" w:cs="Arial"/>
                <w:color w:val="000000" w:themeColor="text1"/>
                <w:kern w:val="0"/>
                <w:sz w:val="22"/>
                <w:szCs w:val="22"/>
              </w:rPr>
            </w:pPr>
            <w:r>
              <w:rPr>
                <w:rFonts w:asciiTheme="minorEastAsia" w:eastAsiaTheme="minorEastAsia" w:hAnsiTheme="minorEastAsia" w:cs="Arial" w:hint="eastAsia"/>
                <w:color w:val="000000" w:themeColor="text1"/>
                <w:kern w:val="0"/>
                <w:sz w:val="22"/>
                <w:szCs w:val="22"/>
              </w:rPr>
              <w:t xml:space="preserve">-4,851 </w:t>
            </w:r>
          </w:p>
        </w:tc>
      </w:tr>
    </w:tbl>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2.中央直达资金中可用财力性补助34383万元。一是财力性补助15083万元，二是特殊转移支付19300万元。</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（三）政府性基金调入资金调减10524万元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年初预算安排16000万元，为平台公司应上缴利润12000万</w:t>
      </w:r>
      <w:r>
        <w:rPr>
          <w:rFonts w:ascii="仿宋" w:eastAsia="仿宋" w:hAnsi="仿宋" w:hint="eastAsia"/>
          <w:color w:val="000000" w:themeColor="text1"/>
          <w:sz w:val="32"/>
          <w:szCs w:val="32"/>
        </w:rPr>
        <w:lastRenderedPageBreak/>
        <w:t>元和全区土地出让金纯收益4000万元两部分。从目前的土地收入分配情况来看，土地出让金纯收益4000万元难以实现，应予调减，平台公司上缴利润拟由单位直接缴入国库，不再通过调入资金办理。同时，将5月份从一般预算收入中通过人民银行调整科目到政府性基金预算收入的5476万元调入一般预算。</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调整后，政府性基金调入资金为5476万元。</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（四）地方政府一般债券资金增加12700万元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到</w:t>
      </w:r>
      <w:r w:rsidR="005C5171">
        <w:rPr>
          <w:rFonts w:ascii="仿宋" w:eastAsia="仿宋" w:hAnsi="仿宋" w:hint="eastAsia"/>
          <w:color w:val="000000" w:themeColor="text1"/>
          <w:sz w:val="32"/>
          <w:szCs w:val="32"/>
        </w:rPr>
        <w:t>11</w:t>
      </w:r>
      <w:r>
        <w:rPr>
          <w:rFonts w:ascii="仿宋" w:eastAsia="仿宋" w:hAnsi="仿宋" w:hint="eastAsia"/>
          <w:color w:val="000000" w:themeColor="text1"/>
          <w:sz w:val="32"/>
          <w:szCs w:val="32"/>
        </w:rPr>
        <w:t>月</w:t>
      </w:r>
      <w:r w:rsidR="005C5171">
        <w:rPr>
          <w:rFonts w:ascii="仿宋" w:eastAsia="仿宋" w:hAnsi="仿宋" w:hint="eastAsia"/>
          <w:color w:val="000000" w:themeColor="text1"/>
          <w:sz w:val="32"/>
          <w:szCs w:val="32"/>
        </w:rPr>
        <w:t>10日</w:t>
      </w:r>
      <w:r>
        <w:rPr>
          <w:rFonts w:ascii="仿宋" w:eastAsia="仿宋" w:hAnsi="仿宋" w:hint="eastAsia"/>
          <w:color w:val="000000" w:themeColor="text1"/>
          <w:sz w:val="32"/>
          <w:szCs w:val="32"/>
        </w:rPr>
        <w:t>止，我区2020年地方政府一般债券共发行三批，总额度为12700万元，主要用于污水管网、农村公路、沧水铺芙蓉学校建设等（债券资金详细情况后有汇报）。</w:t>
      </w:r>
    </w:p>
    <w:p w:rsidR="004546F0" w:rsidRDefault="00F94D6C" w:rsidP="005F4CF7">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二、一般公共预算支出调整情况</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（一）当年地方财政支出调增24473万元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1.一般债券安排形成的新增支出4130万元。年初预算安排的部分项目使用了一般债券资金，考虑到支持公益事业建设发展的需要，部分项目安排比年初预算安排增加了支出，明细如下表。</w:t>
      </w:r>
    </w:p>
    <w:p w:rsidR="004546F0" w:rsidRDefault="00F94D6C" w:rsidP="005F4CF7">
      <w:pPr>
        <w:spacing w:line="540" w:lineRule="exact"/>
        <w:jc w:val="center"/>
        <w:rPr>
          <w:rFonts w:ascii="黑体" w:eastAsia="黑体" w:hAnsi="黑体" w:cs="Arial"/>
          <w:color w:val="000000" w:themeColor="text1"/>
          <w:kern w:val="0"/>
          <w:sz w:val="36"/>
          <w:szCs w:val="36"/>
        </w:rPr>
      </w:pPr>
      <w:r>
        <w:rPr>
          <w:rFonts w:ascii="黑体" w:eastAsia="黑体" w:hAnsi="黑体" w:cs="Arial" w:hint="eastAsia"/>
          <w:color w:val="000000" w:themeColor="text1"/>
          <w:kern w:val="0"/>
          <w:sz w:val="36"/>
          <w:szCs w:val="36"/>
        </w:rPr>
        <w:t>2020年一般债券安排增加支出情况</w:t>
      </w:r>
    </w:p>
    <w:p w:rsidR="004546F0" w:rsidRDefault="00F94D6C" w:rsidP="005F4CF7">
      <w:pPr>
        <w:spacing w:line="540" w:lineRule="exact"/>
        <w:ind w:firstLineChars="3200" w:firstLine="7040"/>
        <w:rPr>
          <w:rFonts w:ascii="宋体" w:hAnsi="宋体" w:cs="Arial"/>
          <w:color w:val="000000" w:themeColor="text1"/>
          <w:kern w:val="0"/>
          <w:sz w:val="22"/>
          <w:szCs w:val="22"/>
        </w:rPr>
      </w:pPr>
      <w:r>
        <w:rPr>
          <w:rFonts w:ascii="宋体" w:hAnsi="宋体" w:cs="Arial" w:hint="eastAsia"/>
          <w:color w:val="000000" w:themeColor="text1"/>
          <w:kern w:val="0"/>
          <w:sz w:val="22"/>
          <w:szCs w:val="22"/>
        </w:rPr>
        <w:t>单位：万元</w:t>
      </w:r>
    </w:p>
    <w:tbl>
      <w:tblPr>
        <w:tblW w:w="89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423"/>
        <w:gridCol w:w="1000"/>
        <w:gridCol w:w="1573"/>
        <w:gridCol w:w="1740"/>
        <w:gridCol w:w="2247"/>
      </w:tblGrid>
      <w:tr w:rsidR="004546F0" w:rsidTr="00985DCD">
        <w:trPr>
          <w:trHeight w:val="676"/>
          <w:jc w:val="center"/>
        </w:trPr>
        <w:tc>
          <w:tcPr>
            <w:tcW w:w="2423"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b/>
                <w:bCs/>
                <w:color w:val="000000" w:themeColor="text1"/>
                <w:kern w:val="0"/>
                <w:sz w:val="22"/>
                <w:szCs w:val="22"/>
              </w:rPr>
            </w:pPr>
            <w:r>
              <w:rPr>
                <w:rFonts w:asciiTheme="minorEastAsia" w:eastAsiaTheme="minorEastAsia" w:hAnsiTheme="minorEastAsia" w:cstheme="minorEastAsia" w:hint="eastAsia"/>
                <w:b/>
                <w:bCs/>
                <w:color w:val="000000" w:themeColor="text1"/>
                <w:kern w:val="0"/>
                <w:sz w:val="22"/>
                <w:szCs w:val="22"/>
              </w:rPr>
              <w:t>项目名称</w:t>
            </w:r>
          </w:p>
        </w:tc>
        <w:tc>
          <w:tcPr>
            <w:tcW w:w="1000"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b/>
                <w:bCs/>
                <w:color w:val="000000" w:themeColor="text1"/>
                <w:kern w:val="0"/>
                <w:sz w:val="22"/>
                <w:szCs w:val="22"/>
              </w:rPr>
            </w:pPr>
            <w:r>
              <w:rPr>
                <w:rFonts w:asciiTheme="minorEastAsia" w:eastAsiaTheme="minorEastAsia" w:hAnsiTheme="minorEastAsia" w:cstheme="minorEastAsia" w:hint="eastAsia"/>
                <w:b/>
                <w:bCs/>
                <w:color w:val="000000" w:themeColor="text1"/>
                <w:kern w:val="0"/>
                <w:sz w:val="22"/>
                <w:szCs w:val="22"/>
              </w:rPr>
              <w:t>年初预算安排</w:t>
            </w:r>
          </w:p>
        </w:tc>
        <w:tc>
          <w:tcPr>
            <w:tcW w:w="1573"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b/>
                <w:bCs/>
                <w:color w:val="000000" w:themeColor="text1"/>
                <w:kern w:val="0"/>
                <w:sz w:val="22"/>
                <w:szCs w:val="22"/>
              </w:rPr>
            </w:pPr>
            <w:r>
              <w:rPr>
                <w:rFonts w:asciiTheme="minorEastAsia" w:eastAsiaTheme="minorEastAsia" w:hAnsiTheme="minorEastAsia" w:cstheme="minorEastAsia" w:hint="eastAsia"/>
                <w:b/>
                <w:bCs/>
                <w:color w:val="000000" w:themeColor="text1"/>
                <w:kern w:val="0"/>
                <w:sz w:val="22"/>
                <w:szCs w:val="22"/>
              </w:rPr>
              <w:t>使用债券资金安排金额</w:t>
            </w:r>
          </w:p>
        </w:tc>
        <w:tc>
          <w:tcPr>
            <w:tcW w:w="1740"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b/>
                <w:bCs/>
                <w:color w:val="000000" w:themeColor="text1"/>
                <w:kern w:val="0"/>
                <w:sz w:val="22"/>
                <w:szCs w:val="22"/>
              </w:rPr>
            </w:pPr>
            <w:r>
              <w:rPr>
                <w:rFonts w:asciiTheme="minorEastAsia" w:eastAsiaTheme="minorEastAsia" w:hAnsiTheme="minorEastAsia" w:cstheme="minorEastAsia" w:hint="eastAsia"/>
                <w:b/>
                <w:bCs/>
                <w:color w:val="000000" w:themeColor="text1"/>
                <w:kern w:val="0"/>
                <w:sz w:val="22"/>
                <w:szCs w:val="22"/>
              </w:rPr>
              <w:t>使用债券资金安排形成的超支金额</w:t>
            </w:r>
          </w:p>
        </w:tc>
        <w:tc>
          <w:tcPr>
            <w:tcW w:w="2247"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b/>
                <w:bCs/>
                <w:color w:val="000000" w:themeColor="text1"/>
                <w:kern w:val="0"/>
                <w:sz w:val="22"/>
                <w:szCs w:val="22"/>
              </w:rPr>
            </w:pPr>
            <w:r>
              <w:rPr>
                <w:rFonts w:asciiTheme="minorEastAsia" w:eastAsiaTheme="minorEastAsia" w:hAnsiTheme="minorEastAsia" w:cstheme="minorEastAsia" w:hint="eastAsia"/>
                <w:b/>
                <w:bCs/>
                <w:color w:val="000000" w:themeColor="text1"/>
                <w:kern w:val="0"/>
                <w:sz w:val="22"/>
                <w:szCs w:val="22"/>
              </w:rPr>
              <w:t>资金安排</w:t>
            </w:r>
          </w:p>
          <w:p w:rsidR="004546F0" w:rsidRDefault="00F94D6C" w:rsidP="00985DCD">
            <w:pPr>
              <w:widowControl/>
              <w:spacing w:line="240" w:lineRule="exact"/>
              <w:jc w:val="center"/>
              <w:rPr>
                <w:rFonts w:asciiTheme="minorEastAsia" w:eastAsiaTheme="minorEastAsia" w:hAnsiTheme="minorEastAsia" w:cstheme="minorEastAsia"/>
                <w:b/>
                <w:bCs/>
                <w:color w:val="000000" w:themeColor="text1"/>
                <w:kern w:val="0"/>
                <w:sz w:val="22"/>
                <w:szCs w:val="22"/>
              </w:rPr>
            </w:pPr>
            <w:r>
              <w:rPr>
                <w:rFonts w:asciiTheme="minorEastAsia" w:eastAsiaTheme="minorEastAsia" w:hAnsiTheme="minorEastAsia" w:cstheme="minorEastAsia" w:hint="eastAsia"/>
                <w:b/>
                <w:bCs/>
                <w:color w:val="000000" w:themeColor="text1"/>
                <w:kern w:val="0"/>
                <w:sz w:val="22"/>
                <w:szCs w:val="22"/>
              </w:rPr>
              <w:t>（使用）单位</w:t>
            </w:r>
          </w:p>
        </w:tc>
      </w:tr>
      <w:tr w:rsidR="004546F0" w:rsidTr="00985DCD">
        <w:trPr>
          <w:trHeight w:val="381"/>
          <w:jc w:val="center"/>
        </w:trPr>
        <w:tc>
          <w:tcPr>
            <w:tcW w:w="2423"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教育大班额化解</w:t>
            </w:r>
          </w:p>
        </w:tc>
        <w:tc>
          <w:tcPr>
            <w:tcW w:w="10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1,000</w:t>
            </w:r>
          </w:p>
        </w:tc>
        <w:tc>
          <w:tcPr>
            <w:tcW w:w="1573"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1,400</w:t>
            </w:r>
          </w:p>
        </w:tc>
        <w:tc>
          <w:tcPr>
            <w:tcW w:w="174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400</w:t>
            </w:r>
          </w:p>
        </w:tc>
        <w:tc>
          <w:tcPr>
            <w:tcW w:w="2247"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沧水铺镇芙蓉</w:t>
            </w:r>
          </w:p>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学校建设</w:t>
            </w:r>
          </w:p>
        </w:tc>
      </w:tr>
      <w:tr w:rsidR="004546F0" w:rsidTr="00985DCD">
        <w:trPr>
          <w:trHeight w:val="381"/>
          <w:jc w:val="center"/>
        </w:trPr>
        <w:tc>
          <w:tcPr>
            <w:tcW w:w="2423"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交通公路建设</w:t>
            </w:r>
          </w:p>
        </w:tc>
        <w:tc>
          <w:tcPr>
            <w:tcW w:w="10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1,270</w:t>
            </w:r>
          </w:p>
        </w:tc>
        <w:tc>
          <w:tcPr>
            <w:tcW w:w="1573"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3,400</w:t>
            </w:r>
          </w:p>
        </w:tc>
        <w:tc>
          <w:tcPr>
            <w:tcW w:w="174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2,130</w:t>
            </w:r>
          </w:p>
        </w:tc>
        <w:tc>
          <w:tcPr>
            <w:tcW w:w="2247"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区公路建设</w:t>
            </w:r>
          </w:p>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养护中心</w:t>
            </w:r>
          </w:p>
        </w:tc>
      </w:tr>
      <w:tr w:rsidR="004546F0" w:rsidTr="00985DCD">
        <w:trPr>
          <w:trHeight w:val="381"/>
          <w:jc w:val="center"/>
        </w:trPr>
        <w:tc>
          <w:tcPr>
            <w:tcW w:w="2423"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基础设施建设（扶贫）</w:t>
            </w:r>
          </w:p>
        </w:tc>
        <w:tc>
          <w:tcPr>
            <w:tcW w:w="10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300</w:t>
            </w:r>
          </w:p>
        </w:tc>
        <w:tc>
          <w:tcPr>
            <w:tcW w:w="1573"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1,400</w:t>
            </w:r>
          </w:p>
        </w:tc>
        <w:tc>
          <w:tcPr>
            <w:tcW w:w="174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1,100</w:t>
            </w:r>
          </w:p>
        </w:tc>
        <w:tc>
          <w:tcPr>
            <w:tcW w:w="2247"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区扶贫办</w:t>
            </w:r>
          </w:p>
        </w:tc>
      </w:tr>
      <w:tr w:rsidR="004546F0" w:rsidTr="00985DCD">
        <w:trPr>
          <w:trHeight w:val="381"/>
          <w:jc w:val="center"/>
        </w:trPr>
        <w:tc>
          <w:tcPr>
            <w:tcW w:w="2423"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环境治理</w:t>
            </w:r>
          </w:p>
        </w:tc>
        <w:tc>
          <w:tcPr>
            <w:tcW w:w="1000" w:type="dxa"/>
            <w:tcBorders>
              <w:tl2br w:val="nil"/>
              <w:tr2bl w:val="nil"/>
            </w:tcBorders>
            <w:shd w:val="clear" w:color="auto" w:fill="auto"/>
            <w:noWrap/>
            <w:vAlign w:val="center"/>
          </w:tcPr>
          <w:p w:rsidR="004546F0" w:rsidRDefault="004546F0" w:rsidP="00985DCD">
            <w:pPr>
              <w:widowControl/>
              <w:spacing w:line="240" w:lineRule="exact"/>
              <w:jc w:val="right"/>
              <w:rPr>
                <w:rFonts w:asciiTheme="minorEastAsia" w:eastAsiaTheme="minorEastAsia" w:hAnsiTheme="minorEastAsia" w:cstheme="minorEastAsia"/>
                <w:color w:val="000000" w:themeColor="text1"/>
                <w:kern w:val="0"/>
                <w:sz w:val="22"/>
                <w:szCs w:val="22"/>
              </w:rPr>
            </w:pPr>
          </w:p>
        </w:tc>
        <w:tc>
          <w:tcPr>
            <w:tcW w:w="1573"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500</w:t>
            </w:r>
          </w:p>
        </w:tc>
        <w:tc>
          <w:tcPr>
            <w:tcW w:w="174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500</w:t>
            </w:r>
          </w:p>
        </w:tc>
        <w:tc>
          <w:tcPr>
            <w:tcW w:w="2247"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区城投</w:t>
            </w:r>
          </w:p>
        </w:tc>
      </w:tr>
      <w:tr w:rsidR="004546F0" w:rsidTr="00985DCD">
        <w:trPr>
          <w:trHeight w:val="381"/>
          <w:jc w:val="center"/>
        </w:trPr>
        <w:tc>
          <w:tcPr>
            <w:tcW w:w="2423"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合  计</w:t>
            </w:r>
          </w:p>
        </w:tc>
        <w:tc>
          <w:tcPr>
            <w:tcW w:w="10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2</w:t>
            </w:r>
            <w:r w:rsidR="00D011B6">
              <w:rPr>
                <w:rFonts w:asciiTheme="minorEastAsia" w:eastAsiaTheme="minorEastAsia" w:hAnsiTheme="minorEastAsia" w:cstheme="minorEastAsia" w:hint="eastAsia"/>
                <w:color w:val="000000" w:themeColor="text1"/>
                <w:kern w:val="0"/>
                <w:sz w:val="22"/>
                <w:szCs w:val="22"/>
              </w:rPr>
              <w:t>,</w:t>
            </w:r>
            <w:r>
              <w:rPr>
                <w:rFonts w:asciiTheme="minorEastAsia" w:eastAsiaTheme="minorEastAsia" w:hAnsiTheme="minorEastAsia" w:cstheme="minorEastAsia" w:hint="eastAsia"/>
                <w:color w:val="000000" w:themeColor="text1"/>
                <w:kern w:val="0"/>
                <w:sz w:val="22"/>
                <w:szCs w:val="22"/>
              </w:rPr>
              <w:t>570</w:t>
            </w:r>
          </w:p>
        </w:tc>
        <w:tc>
          <w:tcPr>
            <w:tcW w:w="1573"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6,700</w:t>
            </w:r>
          </w:p>
        </w:tc>
        <w:tc>
          <w:tcPr>
            <w:tcW w:w="174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4,130</w:t>
            </w:r>
          </w:p>
        </w:tc>
        <w:tc>
          <w:tcPr>
            <w:tcW w:w="2247" w:type="dxa"/>
            <w:tcBorders>
              <w:tl2br w:val="nil"/>
              <w:tr2bl w:val="nil"/>
            </w:tcBorders>
            <w:shd w:val="clear" w:color="auto" w:fill="auto"/>
            <w:noWrap/>
            <w:vAlign w:val="center"/>
          </w:tcPr>
          <w:p w:rsidR="004546F0" w:rsidRDefault="004546F0" w:rsidP="00985DCD">
            <w:pPr>
              <w:widowControl/>
              <w:spacing w:line="240" w:lineRule="exact"/>
              <w:jc w:val="center"/>
              <w:rPr>
                <w:rFonts w:asciiTheme="minorEastAsia" w:eastAsiaTheme="minorEastAsia" w:hAnsiTheme="minorEastAsia" w:cstheme="minorEastAsia"/>
                <w:color w:val="000000" w:themeColor="text1"/>
                <w:kern w:val="0"/>
                <w:sz w:val="22"/>
                <w:szCs w:val="22"/>
              </w:rPr>
            </w:pPr>
          </w:p>
        </w:tc>
      </w:tr>
    </w:tbl>
    <w:p w:rsidR="004546F0" w:rsidRDefault="00F94D6C" w:rsidP="005F4CF7">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2.年初预留项目预计增加支出2714万元。主要是园区基础</w:t>
      </w:r>
      <w:r>
        <w:rPr>
          <w:rFonts w:ascii="仿宋" w:eastAsia="仿宋" w:hAnsi="仿宋" w:hint="eastAsia"/>
          <w:color w:val="000000" w:themeColor="text1"/>
          <w:sz w:val="32"/>
          <w:szCs w:val="32"/>
        </w:rPr>
        <w:lastRenderedPageBreak/>
        <w:t>设施建设、非税收入征收成本等支出（明细见下表）。</w:t>
      </w:r>
    </w:p>
    <w:p w:rsidR="004546F0" w:rsidRDefault="00F94D6C" w:rsidP="005F4CF7">
      <w:pPr>
        <w:spacing w:line="560" w:lineRule="exact"/>
        <w:jc w:val="center"/>
        <w:rPr>
          <w:rFonts w:ascii="黑体" w:eastAsia="黑体" w:hAnsi="黑体" w:cs="Arial"/>
          <w:color w:val="000000" w:themeColor="text1"/>
          <w:kern w:val="0"/>
          <w:sz w:val="36"/>
          <w:szCs w:val="36"/>
        </w:rPr>
      </w:pPr>
      <w:r>
        <w:rPr>
          <w:rFonts w:ascii="黑体" w:eastAsia="黑体" w:hAnsi="黑体" w:cs="Arial" w:hint="eastAsia"/>
          <w:color w:val="000000" w:themeColor="text1"/>
          <w:kern w:val="0"/>
          <w:sz w:val="36"/>
          <w:szCs w:val="36"/>
        </w:rPr>
        <w:t>2020年调整预算预留项目变化表</w:t>
      </w:r>
    </w:p>
    <w:p w:rsidR="004546F0" w:rsidRDefault="00F94D6C" w:rsidP="005F4CF7">
      <w:pPr>
        <w:spacing w:line="560" w:lineRule="exact"/>
        <w:ind w:firstLineChars="1950" w:firstLine="3900"/>
        <w:rPr>
          <w:rFonts w:ascii="新宋体" w:eastAsia="新宋体" w:hAnsi="新宋体" w:cs="宋体"/>
          <w:color w:val="000000" w:themeColor="text1"/>
          <w:kern w:val="0"/>
          <w:sz w:val="18"/>
          <w:szCs w:val="18"/>
        </w:rPr>
      </w:pPr>
      <w:r>
        <w:rPr>
          <w:rFonts w:ascii="新宋体" w:eastAsia="新宋体" w:hAnsi="新宋体" w:cs="宋体" w:hint="eastAsia"/>
          <w:color w:val="000000" w:themeColor="text1"/>
          <w:kern w:val="0"/>
          <w:sz w:val="20"/>
          <w:szCs w:val="20"/>
        </w:rPr>
        <w:t xml:space="preserve">2020年11月16日                       </w:t>
      </w:r>
      <w:r>
        <w:rPr>
          <w:rFonts w:ascii="新宋体" w:eastAsia="新宋体" w:hAnsi="新宋体" w:cs="宋体" w:hint="eastAsia"/>
          <w:color w:val="000000" w:themeColor="text1"/>
          <w:kern w:val="0"/>
          <w:sz w:val="18"/>
          <w:szCs w:val="18"/>
        </w:rPr>
        <w:t>单位：元</w:t>
      </w:r>
    </w:p>
    <w:tbl>
      <w:tblPr>
        <w:tblW w:w="90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175"/>
        <w:gridCol w:w="1442"/>
        <w:gridCol w:w="1337"/>
        <w:gridCol w:w="1400"/>
        <w:gridCol w:w="1730"/>
      </w:tblGrid>
      <w:tr w:rsidR="004546F0" w:rsidTr="002C6218">
        <w:trPr>
          <w:trHeight w:val="462"/>
          <w:tblHeader/>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b/>
                <w:bCs/>
                <w:color w:val="000000" w:themeColor="text1"/>
                <w:kern w:val="0"/>
                <w:sz w:val="20"/>
                <w:szCs w:val="20"/>
              </w:rPr>
            </w:pPr>
            <w:r>
              <w:rPr>
                <w:rFonts w:asciiTheme="minorEastAsia" w:eastAsiaTheme="minorEastAsia" w:hAnsiTheme="minorEastAsia" w:cs="宋体" w:hint="eastAsia"/>
                <w:b/>
                <w:bCs/>
                <w:color w:val="000000" w:themeColor="text1"/>
                <w:kern w:val="0"/>
                <w:sz w:val="20"/>
                <w:szCs w:val="20"/>
              </w:rPr>
              <w:t>项    目</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b/>
                <w:bCs/>
                <w:color w:val="000000" w:themeColor="text1"/>
                <w:kern w:val="0"/>
                <w:sz w:val="20"/>
                <w:szCs w:val="20"/>
              </w:rPr>
            </w:pPr>
            <w:r>
              <w:rPr>
                <w:rFonts w:asciiTheme="minorEastAsia" w:eastAsiaTheme="minorEastAsia" w:hAnsiTheme="minorEastAsia" w:cs="宋体" w:hint="eastAsia"/>
                <w:b/>
                <w:bCs/>
                <w:color w:val="000000" w:themeColor="text1"/>
                <w:kern w:val="0"/>
                <w:sz w:val="20"/>
                <w:szCs w:val="20"/>
              </w:rPr>
              <w:t>调整预算</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b/>
                <w:bCs/>
                <w:color w:val="000000" w:themeColor="text1"/>
                <w:kern w:val="0"/>
                <w:sz w:val="20"/>
                <w:szCs w:val="20"/>
              </w:rPr>
            </w:pPr>
            <w:r>
              <w:rPr>
                <w:rFonts w:asciiTheme="minorEastAsia" w:eastAsiaTheme="minorEastAsia" w:hAnsiTheme="minorEastAsia" w:cs="宋体" w:hint="eastAsia"/>
                <w:b/>
                <w:bCs/>
                <w:color w:val="000000" w:themeColor="text1"/>
                <w:kern w:val="0"/>
                <w:sz w:val="20"/>
                <w:szCs w:val="20"/>
              </w:rPr>
              <w:t>年初预算</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b/>
                <w:bCs/>
                <w:color w:val="000000" w:themeColor="text1"/>
                <w:kern w:val="0"/>
                <w:sz w:val="20"/>
                <w:szCs w:val="20"/>
              </w:rPr>
            </w:pPr>
            <w:r>
              <w:rPr>
                <w:rFonts w:asciiTheme="minorEastAsia" w:eastAsiaTheme="minorEastAsia" w:hAnsiTheme="minorEastAsia" w:cs="宋体" w:hint="eastAsia"/>
                <w:b/>
                <w:bCs/>
                <w:color w:val="000000" w:themeColor="text1"/>
                <w:kern w:val="0"/>
                <w:sz w:val="20"/>
                <w:szCs w:val="20"/>
              </w:rPr>
              <w:t>调整数</w:t>
            </w:r>
          </w:p>
        </w:tc>
        <w:tc>
          <w:tcPr>
            <w:tcW w:w="1730"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宋体"/>
                <w:b/>
                <w:bCs/>
                <w:color w:val="000000" w:themeColor="text1"/>
                <w:kern w:val="0"/>
                <w:sz w:val="20"/>
                <w:szCs w:val="20"/>
              </w:rPr>
            </w:pPr>
            <w:r>
              <w:rPr>
                <w:rFonts w:asciiTheme="minorEastAsia" w:eastAsiaTheme="minorEastAsia" w:hAnsiTheme="minorEastAsia" w:cs="宋体" w:hint="eastAsia"/>
                <w:b/>
                <w:bCs/>
                <w:color w:val="000000" w:themeColor="text1"/>
                <w:kern w:val="0"/>
                <w:sz w:val="20"/>
                <w:szCs w:val="20"/>
              </w:rPr>
              <w:t>备  注</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园区基础设施建设</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120,000,000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35,000,000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85,000,000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用于园区发展及城镇建设</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办案经费支出</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83,100,000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54,000,000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29,100,000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非税收入征收成本返还</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国有资源有偿使用收入安排的支出</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55,000,000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90,000,000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-35,000,000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农业保险配套</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9,500,000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6,500,000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3,000,000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根据2020年方案计算</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新型工业化引导资金</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28,000,000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20,000,000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8,000,000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相关单位和企业增加</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四大家及乡镇维修经费</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13,000,000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5,000,000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8,000,000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经费增加</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城市电子安防工程维护</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3,000,000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2,000,000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农村公路管理养护</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9,674,900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5,500,000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4,174,900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扶贫特惠保</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4,150,529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2,600,000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1,550,529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安化对口扶贫</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1,500,000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500,000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绩效考核奖励</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24,000,000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19,500,000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4,500,000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禁毒(含禁毒协会)经费</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1,400,000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600,000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800,000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纳税大厅聘用人员经费</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1,685,564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1,600,000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85,564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财政部代理发行地方债券付息</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55,000,000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90,200,000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-35,200,000 </w:t>
            </w:r>
          </w:p>
        </w:tc>
        <w:tc>
          <w:tcPr>
            <w:tcW w:w="1730" w:type="dxa"/>
            <w:tcBorders>
              <w:tl2br w:val="nil"/>
              <w:tr2bl w:val="nil"/>
            </w:tcBorders>
            <w:shd w:val="clear" w:color="auto" w:fill="auto"/>
            <w:vAlign w:val="center"/>
          </w:tcPr>
          <w:p w:rsidR="004546F0" w:rsidRDefault="00F94D6C" w:rsidP="00026B85">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专项债券利息在基金中列支</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机关事业单位退休兜底资金</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231,340,000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296,340,000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-65,000,000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部分支出以直达资金安排</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乡镇工作人员待遇提高</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8,000,000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8,000,000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待分配</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税警联动经费</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1,000,000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1,000,000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麻纺厂留守机管理经费、上级基数</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1,718,900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1,718,900 </w:t>
            </w:r>
          </w:p>
        </w:tc>
        <w:tc>
          <w:tcPr>
            <w:tcW w:w="1730" w:type="dxa"/>
            <w:tcBorders>
              <w:tl2br w:val="nil"/>
              <w:tr2bl w:val="nil"/>
            </w:tcBorders>
            <w:shd w:val="clear" w:color="000000" w:fill="FFFFFF"/>
            <w:noWrap/>
            <w:vAlign w:val="bottom"/>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赫山街道梓园社区</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益阳茶厂留守机构管理经费、上级基数</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449,400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449,400 </w:t>
            </w:r>
          </w:p>
        </w:tc>
        <w:tc>
          <w:tcPr>
            <w:tcW w:w="1730" w:type="dxa"/>
            <w:tcBorders>
              <w:tl2br w:val="nil"/>
              <w:tr2bl w:val="nil"/>
            </w:tcBorders>
            <w:shd w:val="clear" w:color="000000" w:fill="FFFFFF"/>
            <w:noWrap/>
            <w:vAlign w:val="bottom"/>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赫山桃花仑街道</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县乡村公路以奖代补</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4,953,700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4,953,700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Tahoma"/>
                <w:color w:val="000000" w:themeColor="text1"/>
                <w:kern w:val="0"/>
                <w:sz w:val="20"/>
                <w:szCs w:val="20"/>
              </w:rPr>
              <w:t>2018</w:t>
            </w:r>
            <w:r>
              <w:rPr>
                <w:rFonts w:asciiTheme="minorEastAsia" w:eastAsiaTheme="minorEastAsia" w:hAnsiTheme="minorEastAsia" w:cs="宋体" w:hint="eastAsia"/>
                <w:color w:val="000000" w:themeColor="text1"/>
                <w:kern w:val="0"/>
                <w:sz w:val="20"/>
                <w:szCs w:val="20"/>
              </w:rPr>
              <w:t>年第二次区长办公会议纪要</w:t>
            </w:r>
          </w:p>
        </w:tc>
      </w:tr>
      <w:tr w:rsidR="004546F0" w:rsidTr="002C6218">
        <w:trPr>
          <w:trHeight w:val="462"/>
          <w:jc w:val="center"/>
        </w:trPr>
        <w:tc>
          <w:tcPr>
            <w:tcW w:w="3175"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合    计</w:t>
            </w:r>
          </w:p>
        </w:tc>
        <w:tc>
          <w:tcPr>
            <w:tcW w:w="1442"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656,472,993 </w:t>
            </w:r>
          </w:p>
        </w:tc>
        <w:tc>
          <w:tcPr>
            <w:tcW w:w="1337"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629,340,000 </w:t>
            </w:r>
          </w:p>
        </w:tc>
        <w:tc>
          <w:tcPr>
            <w:tcW w:w="1400"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 xml:space="preserve">27,132,993 </w:t>
            </w:r>
          </w:p>
        </w:tc>
        <w:tc>
          <w:tcPr>
            <w:tcW w:w="1730" w:type="dxa"/>
            <w:tcBorders>
              <w:tl2br w:val="nil"/>
              <w:tr2bl w:val="nil"/>
            </w:tcBorders>
            <w:shd w:val="clear" w:color="auto" w:fill="auto"/>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0"/>
                <w:szCs w:val="20"/>
              </w:rPr>
            </w:pPr>
            <w:r>
              <w:rPr>
                <w:rFonts w:asciiTheme="minorEastAsia" w:eastAsiaTheme="minorEastAsia" w:hAnsiTheme="minorEastAsia" w:cs="宋体" w:hint="eastAsia"/>
                <w:color w:val="000000" w:themeColor="text1"/>
                <w:kern w:val="0"/>
                <w:sz w:val="20"/>
                <w:szCs w:val="20"/>
              </w:rPr>
              <w:t xml:space="preserve">　</w:t>
            </w:r>
          </w:p>
        </w:tc>
      </w:tr>
    </w:tbl>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3.年度预算执行中新增加的支出16129万元。一是支持新冠肺炎疫情防控3352万元。二是保基本民生3308万元。安排资金590万元，用于退役士兵社保接续医保缴费及慰问。安排机关事业单位职业年金个人账户记实资金1849万元，健康扶贫兜底资金500万元，农村饮水、禁渔禁捕等369万元。三是支持粮食生产及污染土壤治理2740万元，其中粮食收购奖补资金2000万元。四是支持各项事业发展6144万元。安排教育系统资金3070万元，用于教师奖励性补贴、从教30年退休教师一次性补贴、人才津贴、师资培训等。安排资金1492万元，用于“雪亮工程”、区融媒体中心、应急平台、党政专用通信建设。安排国土规划用地确权资金780万元，“十四五”规划经费110万元，基层公共服务（一门式）全覆盖建设资金112万元，入规入库企业扶持资金230万元，第七次人口普查经费350万元。五是餐厨剩余物收集处理、叶紫故居维修等其他支出585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安排偿债准备金1500万元。为了更好地防范化解重大债务风险，根据《湖南省人民政府办公厅关于印发湖南省政府性债务管理实施细则的通知》中“关于县级以上人民政府应建立政府性债务偿债准备金”的规定，安排偿债准备金1500万元。</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（二）上解支出调增3700万元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中央直达资金下达到市级后，调整安排到高新区3700万元，在年底结算时上解。</w:t>
      </w:r>
    </w:p>
    <w:p w:rsidR="004546F0" w:rsidRDefault="00F94D6C" w:rsidP="005F4CF7">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三、调整后一般公共预算平衡情况</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收入总规模为494714万元，</w:t>
      </w:r>
      <w:r>
        <w:rPr>
          <w:rFonts w:ascii="仿宋" w:eastAsia="仿宋" w:hAnsi="仿宋"/>
          <w:color w:val="000000" w:themeColor="text1"/>
          <w:sz w:val="32"/>
          <w:szCs w:val="32"/>
        </w:rPr>
        <w:t>调增</w:t>
      </w:r>
      <w:r>
        <w:rPr>
          <w:rFonts w:ascii="仿宋" w:eastAsia="仿宋" w:hAnsi="仿宋" w:hint="eastAsia"/>
          <w:color w:val="000000" w:themeColor="text1"/>
          <w:sz w:val="32"/>
          <w:szCs w:val="32"/>
        </w:rPr>
        <w:t>28173</w:t>
      </w:r>
      <w:r>
        <w:rPr>
          <w:rFonts w:ascii="仿宋" w:eastAsia="仿宋" w:hAnsi="仿宋"/>
          <w:color w:val="000000" w:themeColor="text1"/>
          <w:sz w:val="32"/>
          <w:szCs w:val="32"/>
        </w:rPr>
        <w:t>万元</w:t>
      </w:r>
      <w:r>
        <w:rPr>
          <w:rFonts w:ascii="仿宋" w:eastAsia="仿宋" w:hAnsi="仿宋" w:hint="eastAsia"/>
          <w:color w:val="000000" w:themeColor="text1"/>
          <w:sz w:val="32"/>
          <w:szCs w:val="32"/>
        </w:rPr>
        <w:t>，</w:t>
      </w:r>
      <w:r>
        <w:rPr>
          <w:rFonts w:ascii="仿宋" w:eastAsia="仿宋" w:hAnsi="仿宋"/>
          <w:color w:val="000000" w:themeColor="text1"/>
          <w:sz w:val="32"/>
          <w:szCs w:val="32"/>
        </w:rPr>
        <w:t>其中：区</w:t>
      </w:r>
      <w:r>
        <w:rPr>
          <w:rFonts w:ascii="仿宋" w:eastAsia="仿宋" w:hAnsi="仿宋" w:hint="eastAsia"/>
          <w:color w:val="000000" w:themeColor="text1"/>
          <w:sz w:val="32"/>
          <w:szCs w:val="32"/>
        </w:rPr>
        <w:t>本</w:t>
      </w:r>
      <w:r>
        <w:rPr>
          <w:rFonts w:ascii="仿宋" w:eastAsia="仿宋" w:hAnsi="仿宋"/>
          <w:color w:val="000000" w:themeColor="text1"/>
          <w:sz w:val="32"/>
          <w:szCs w:val="32"/>
        </w:rPr>
        <w:lastRenderedPageBreak/>
        <w:t>级</w:t>
      </w:r>
      <w:r>
        <w:rPr>
          <w:rFonts w:ascii="仿宋" w:eastAsia="仿宋" w:hAnsi="仿宋" w:hint="eastAsia"/>
          <w:color w:val="000000" w:themeColor="text1"/>
          <w:sz w:val="32"/>
          <w:szCs w:val="32"/>
        </w:rPr>
        <w:t>地方</w:t>
      </w:r>
      <w:r>
        <w:rPr>
          <w:rFonts w:ascii="仿宋" w:eastAsia="仿宋" w:hAnsi="仿宋"/>
          <w:color w:val="000000" w:themeColor="text1"/>
          <w:sz w:val="32"/>
          <w:szCs w:val="32"/>
        </w:rPr>
        <w:t>财政收入</w:t>
      </w:r>
      <w:r>
        <w:rPr>
          <w:rFonts w:ascii="仿宋" w:eastAsia="仿宋" w:hAnsi="仿宋" w:hint="eastAsia"/>
          <w:color w:val="000000" w:themeColor="text1"/>
          <w:sz w:val="32"/>
          <w:szCs w:val="32"/>
        </w:rPr>
        <w:t>125770</w:t>
      </w:r>
      <w:r>
        <w:rPr>
          <w:rFonts w:ascii="仿宋" w:eastAsia="仿宋" w:hAnsi="仿宋"/>
          <w:color w:val="000000" w:themeColor="text1"/>
          <w:sz w:val="32"/>
          <w:szCs w:val="32"/>
        </w:rPr>
        <w:t>万元，</w:t>
      </w:r>
      <w:r>
        <w:rPr>
          <w:rFonts w:ascii="仿宋" w:eastAsia="仿宋" w:hAnsi="仿宋" w:hint="eastAsia"/>
          <w:color w:val="000000" w:themeColor="text1"/>
          <w:sz w:val="32"/>
          <w:szCs w:val="32"/>
        </w:rPr>
        <w:t>凋减3535万元</w:t>
      </w:r>
      <w:r>
        <w:rPr>
          <w:rFonts w:ascii="仿宋" w:eastAsia="仿宋" w:hAnsi="仿宋"/>
          <w:color w:val="000000" w:themeColor="text1"/>
          <w:sz w:val="32"/>
          <w:szCs w:val="32"/>
        </w:rPr>
        <w:t>；上级补助收入</w:t>
      </w:r>
      <w:r>
        <w:rPr>
          <w:rFonts w:ascii="仿宋" w:eastAsia="仿宋" w:hAnsi="仿宋" w:hint="eastAsia"/>
          <w:color w:val="000000" w:themeColor="text1"/>
          <w:sz w:val="32"/>
          <w:szCs w:val="32"/>
        </w:rPr>
        <w:t>321119</w:t>
      </w:r>
      <w:r>
        <w:rPr>
          <w:rFonts w:ascii="仿宋" w:eastAsia="仿宋" w:hAnsi="仿宋"/>
          <w:color w:val="000000" w:themeColor="text1"/>
          <w:sz w:val="32"/>
          <w:szCs w:val="32"/>
        </w:rPr>
        <w:t>万元，调增</w:t>
      </w:r>
      <w:r>
        <w:rPr>
          <w:rFonts w:ascii="仿宋" w:eastAsia="仿宋" w:hAnsi="仿宋" w:hint="eastAsia"/>
          <w:color w:val="000000" w:themeColor="text1"/>
          <w:sz w:val="32"/>
          <w:szCs w:val="32"/>
        </w:rPr>
        <w:t>29532</w:t>
      </w:r>
      <w:r>
        <w:rPr>
          <w:rFonts w:ascii="仿宋" w:eastAsia="仿宋" w:hAnsi="仿宋"/>
          <w:color w:val="000000" w:themeColor="text1"/>
          <w:sz w:val="32"/>
          <w:szCs w:val="32"/>
        </w:rPr>
        <w:t>万元；调入资金</w:t>
      </w:r>
      <w:r>
        <w:rPr>
          <w:rFonts w:ascii="仿宋" w:eastAsia="仿宋" w:hAnsi="仿宋" w:hint="eastAsia"/>
          <w:color w:val="000000" w:themeColor="text1"/>
          <w:sz w:val="32"/>
          <w:szCs w:val="32"/>
        </w:rPr>
        <w:t>14976</w:t>
      </w:r>
      <w:r>
        <w:rPr>
          <w:rFonts w:ascii="仿宋" w:eastAsia="仿宋" w:hAnsi="仿宋"/>
          <w:color w:val="000000" w:themeColor="text1"/>
          <w:sz w:val="32"/>
          <w:szCs w:val="32"/>
        </w:rPr>
        <w:t>万元，调</w:t>
      </w:r>
      <w:r>
        <w:rPr>
          <w:rFonts w:ascii="仿宋" w:eastAsia="仿宋" w:hAnsi="仿宋" w:hint="eastAsia"/>
          <w:color w:val="000000" w:themeColor="text1"/>
          <w:sz w:val="32"/>
          <w:szCs w:val="32"/>
        </w:rPr>
        <w:t>减10524</w:t>
      </w:r>
      <w:r>
        <w:rPr>
          <w:rFonts w:ascii="仿宋" w:eastAsia="仿宋" w:hAnsi="仿宋"/>
          <w:color w:val="000000" w:themeColor="text1"/>
          <w:sz w:val="32"/>
          <w:szCs w:val="32"/>
        </w:rPr>
        <w:t>万元；财政部代理发行地方政府债券</w:t>
      </w:r>
      <w:r>
        <w:rPr>
          <w:rFonts w:ascii="仿宋" w:eastAsia="仿宋" w:hAnsi="仿宋" w:hint="eastAsia"/>
          <w:color w:val="000000" w:themeColor="text1"/>
          <w:sz w:val="32"/>
          <w:szCs w:val="32"/>
        </w:rPr>
        <w:t>32849</w:t>
      </w:r>
      <w:r>
        <w:rPr>
          <w:rFonts w:ascii="仿宋" w:eastAsia="仿宋" w:hAnsi="仿宋"/>
          <w:color w:val="000000" w:themeColor="text1"/>
          <w:sz w:val="32"/>
          <w:szCs w:val="32"/>
        </w:rPr>
        <w:t>万元，调</w:t>
      </w:r>
      <w:r>
        <w:rPr>
          <w:rFonts w:ascii="仿宋" w:eastAsia="仿宋" w:hAnsi="仿宋" w:hint="eastAsia"/>
          <w:color w:val="000000" w:themeColor="text1"/>
          <w:sz w:val="32"/>
          <w:szCs w:val="32"/>
        </w:rPr>
        <w:t>增12700</w:t>
      </w:r>
      <w:r>
        <w:rPr>
          <w:rFonts w:ascii="仿宋" w:eastAsia="仿宋" w:hAnsi="仿宋"/>
          <w:color w:val="000000" w:themeColor="text1"/>
          <w:sz w:val="32"/>
          <w:szCs w:val="32"/>
        </w:rPr>
        <w:t>万元</w:t>
      </w:r>
      <w:r>
        <w:rPr>
          <w:rFonts w:ascii="仿宋" w:eastAsia="仿宋" w:hAnsi="仿宋" w:hint="eastAsia"/>
          <w:color w:val="000000" w:themeColor="text1"/>
          <w:sz w:val="32"/>
          <w:szCs w:val="32"/>
        </w:rPr>
        <w:t>。支出总规模为494714万元，</w:t>
      </w:r>
      <w:r>
        <w:rPr>
          <w:rFonts w:ascii="仿宋" w:eastAsia="仿宋" w:hAnsi="仿宋"/>
          <w:color w:val="000000" w:themeColor="text1"/>
          <w:sz w:val="32"/>
          <w:szCs w:val="32"/>
        </w:rPr>
        <w:t>调增</w:t>
      </w:r>
      <w:r>
        <w:rPr>
          <w:rFonts w:ascii="仿宋" w:eastAsia="仿宋" w:hAnsi="仿宋" w:hint="eastAsia"/>
          <w:color w:val="000000" w:themeColor="text1"/>
          <w:sz w:val="32"/>
          <w:szCs w:val="32"/>
        </w:rPr>
        <w:t>28173</w:t>
      </w:r>
      <w:r>
        <w:rPr>
          <w:rFonts w:ascii="仿宋" w:eastAsia="仿宋" w:hAnsi="仿宋"/>
          <w:color w:val="000000" w:themeColor="text1"/>
          <w:sz w:val="32"/>
          <w:szCs w:val="32"/>
        </w:rPr>
        <w:t>万元。其中：当年</w:t>
      </w:r>
      <w:r>
        <w:rPr>
          <w:rFonts w:ascii="仿宋" w:eastAsia="仿宋" w:hAnsi="仿宋" w:hint="eastAsia"/>
          <w:color w:val="000000" w:themeColor="text1"/>
          <w:sz w:val="32"/>
          <w:szCs w:val="32"/>
        </w:rPr>
        <w:t>区本级</w:t>
      </w:r>
      <w:r>
        <w:rPr>
          <w:rFonts w:ascii="仿宋" w:eastAsia="仿宋" w:hAnsi="仿宋"/>
          <w:color w:val="000000" w:themeColor="text1"/>
          <w:sz w:val="32"/>
          <w:szCs w:val="32"/>
        </w:rPr>
        <w:t>财政支出</w:t>
      </w:r>
      <w:r>
        <w:rPr>
          <w:rFonts w:ascii="仿宋" w:eastAsia="仿宋" w:hAnsi="仿宋" w:hint="eastAsia"/>
          <w:color w:val="000000" w:themeColor="text1"/>
          <w:sz w:val="32"/>
          <w:szCs w:val="32"/>
        </w:rPr>
        <w:t>440381</w:t>
      </w:r>
      <w:r>
        <w:rPr>
          <w:rFonts w:ascii="仿宋" w:eastAsia="仿宋" w:hAnsi="仿宋"/>
          <w:color w:val="000000" w:themeColor="text1"/>
          <w:sz w:val="32"/>
          <w:szCs w:val="32"/>
        </w:rPr>
        <w:t>万元，调增</w:t>
      </w:r>
      <w:r>
        <w:rPr>
          <w:rFonts w:ascii="仿宋" w:eastAsia="仿宋" w:hAnsi="仿宋" w:hint="eastAsia"/>
          <w:color w:val="000000" w:themeColor="text1"/>
          <w:sz w:val="32"/>
          <w:szCs w:val="32"/>
        </w:rPr>
        <w:t>24473</w:t>
      </w:r>
      <w:r>
        <w:rPr>
          <w:rFonts w:ascii="仿宋" w:eastAsia="仿宋" w:hAnsi="仿宋"/>
          <w:color w:val="000000" w:themeColor="text1"/>
          <w:sz w:val="32"/>
          <w:szCs w:val="32"/>
        </w:rPr>
        <w:t>万元；上解上级支出</w:t>
      </w:r>
      <w:r>
        <w:rPr>
          <w:rFonts w:ascii="仿宋" w:eastAsia="仿宋" w:hAnsi="仿宋" w:hint="eastAsia"/>
          <w:color w:val="000000" w:themeColor="text1"/>
          <w:sz w:val="32"/>
          <w:szCs w:val="32"/>
        </w:rPr>
        <w:t>34184</w:t>
      </w:r>
      <w:r>
        <w:rPr>
          <w:rFonts w:ascii="仿宋" w:eastAsia="仿宋" w:hAnsi="仿宋"/>
          <w:color w:val="000000" w:themeColor="text1"/>
          <w:sz w:val="32"/>
          <w:szCs w:val="32"/>
        </w:rPr>
        <w:t>万元，调增</w:t>
      </w:r>
      <w:r>
        <w:rPr>
          <w:rFonts w:ascii="仿宋" w:eastAsia="仿宋" w:hAnsi="仿宋" w:hint="eastAsia"/>
          <w:color w:val="000000" w:themeColor="text1"/>
          <w:sz w:val="32"/>
          <w:szCs w:val="32"/>
        </w:rPr>
        <w:t>3700</w:t>
      </w:r>
      <w:r>
        <w:rPr>
          <w:rFonts w:ascii="仿宋" w:eastAsia="仿宋" w:hAnsi="仿宋"/>
          <w:color w:val="000000" w:themeColor="text1"/>
          <w:sz w:val="32"/>
          <w:szCs w:val="32"/>
        </w:rPr>
        <w:t>万元；财政部代理发行地方政府债券还本</w:t>
      </w:r>
      <w:r>
        <w:rPr>
          <w:rFonts w:ascii="仿宋" w:eastAsia="仿宋" w:hAnsi="仿宋" w:hint="eastAsia"/>
          <w:color w:val="000000" w:themeColor="text1"/>
          <w:sz w:val="32"/>
          <w:szCs w:val="32"/>
        </w:rPr>
        <w:t>20149</w:t>
      </w:r>
      <w:r>
        <w:rPr>
          <w:rFonts w:ascii="仿宋" w:eastAsia="仿宋" w:hAnsi="仿宋"/>
          <w:color w:val="000000" w:themeColor="text1"/>
          <w:sz w:val="32"/>
          <w:szCs w:val="32"/>
        </w:rPr>
        <w:t>万元，未作调整</w:t>
      </w:r>
      <w:r>
        <w:rPr>
          <w:rFonts w:ascii="仿宋" w:eastAsia="仿宋" w:hAnsi="仿宋" w:hint="eastAsia"/>
          <w:color w:val="000000" w:themeColor="text1"/>
          <w:sz w:val="32"/>
          <w:szCs w:val="32"/>
        </w:rPr>
        <w:t>。</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预计当年收支平衡。</w:t>
      </w:r>
    </w:p>
    <w:p w:rsidR="004546F0" w:rsidRDefault="00F94D6C" w:rsidP="005F4CF7">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四、政府性基金预算调整情况</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（一）收入</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调增115176万元，分三部分，一是区本级土地出让收入调增30476万元，二是抗疫特别国债收入9800万元，三是地方政府转贷专项债券收入74900万元。</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（二）支出</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根据上级相关政策规定，结合我区实际，主要增加支出情况如下：</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1.征地拆迁、土地开发及建设等支出安排36500万元。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2.从土地出让收入中计提安排偿债准备金500万元，以增强防范化解重大债务风险的能力。</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3.从抗疫特别国债中安排8500万元，用于支持三医院南院区建设，安排1300万元，用于支持全区各乡镇街道园区新冠肺炎疫情防控。</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4.从专项债券中安排34900万元，用于支持园区停车场、城</w:t>
      </w:r>
      <w:r>
        <w:rPr>
          <w:rFonts w:ascii="仿宋" w:eastAsia="仿宋" w:hAnsi="仿宋" w:hint="eastAsia"/>
          <w:color w:val="000000" w:themeColor="text1"/>
          <w:sz w:val="32"/>
          <w:szCs w:val="32"/>
        </w:rPr>
        <w:lastRenderedPageBreak/>
        <w:t>东污水处理厂二期、标准化厂房等项目建设；安排6000万元，用于支持全区幼儿园改扩建及新建；根据市人民政府要求，安排20000万元，用于益阳高铁新城建设；安排14000万元，用于赫山主城区智慧停车场建设（区城投公司实施）。</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5.安排专项债券付息资金4000万元，用于支付专项债券2020年应付利息。</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6.调减调出一般预算资金额度10524万元。</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（三）平衡情况</w:t>
      </w:r>
    </w:p>
    <w:p w:rsidR="004546F0" w:rsidRDefault="00F94D6C" w:rsidP="005F4CF7">
      <w:pPr>
        <w:spacing w:line="540" w:lineRule="exact"/>
        <w:ind w:firstLineChars="200" w:firstLine="616"/>
        <w:rPr>
          <w:rFonts w:ascii="仿宋" w:eastAsia="仿宋" w:hAnsi="仿宋"/>
          <w:color w:val="000000" w:themeColor="text1"/>
          <w:sz w:val="32"/>
          <w:szCs w:val="32"/>
        </w:rPr>
      </w:pPr>
      <w:r>
        <w:rPr>
          <w:rFonts w:ascii="仿宋" w:eastAsia="仿宋" w:hAnsi="仿宋" w:hint="eastAsia"/>
          <w:color w:val="000000" w:themeColor="text1"/>
          <w:spacing w:val="-6"/>
          <w:sz w:val="32"/>
          <w:szCs w:val="32"/>
        </w:rPr>
        <w:t>通过调整，全年收入为187236万元，调增115176万元；全年各项支出为187236万元，调增115176万元，预计当年收支平衡</w:t>
      </w:r>
      <w:r>
        <w:rPr>
          <w:rFonts w:ascii="仿宋" w:eastAsia="仿宋" w:hAnsi="仿宋" w:hint="eastAsia"/>
          <w:color w:val="000000" w:themeColor="text1"/>
          <w:sz w:val="32"/>
          <w:szCs w:val="32"/>
        </w:rPr>
        <w:t>。</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说明一点：经过以上调整，2020年共安排偿债准备金2000万元（其中：从一般预算中调整安排1500万元，从政府性基金预算中调整安排500万元）。</w:t>
      </w:r>
    </w:p>
    <w:p w:rsidR="004546F0" w:rsidRDefault="00F94D6C" w:rsidP="005F4CF7">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五、中央直达资金情况</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到11月</w:t>
      </w:r>
      <w:r w:rsidR="005C5171">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日止，我区已收到上级下达的中央直达资金119022万元，已全部下达到相关单位。</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按财政部规定的中央直达资金标识区分情况为：一般债券1400万元，正常转移支付20093万元，特殊转移支付24312万元，抗疫特别国债16934万元（纳入基金预算管理），参照直达资金56283万元。</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按直达资金本级是否可统筹安排分：一是本级可统筹安排财力45583万元（其中：一般债券1400万元，财力性补助15083万元，特殊转移支付19300万元，抗疫特别国债9800万元）。主</w:t>
      </w:r>
      <w:r>
        <w:rPr>
          <w:rFonts w:ascii="仿宋" w:eastAsia="仿宋" w:hAnsi="仿宋" w:hint="eastAsia"/>
          <w:color w:val="000000" w:themeColor="text1"/>
          <w:sz w:val="32"/>
          <w:szCs w:val="32"/>
        </w:rPr>
        <w:lastRenderedPageBreak/>
        <w:t>要安排情况为：一般债券1400万元安排到区教育局，用于沧水铺镇芙蓉学校建设。财力性转移支付15083万元，用于机关事业单位养老保险区级财政兜底、粮食生产、区融媒体中心建设、新冠疫情隔离点支出。特殊转移支付19300万元主要用于城乡居民基本医疗保险区级财政补助、贫困对象参加城乡居民基本医疗保险个人部分补助、职业年金做实、退役军人相关待遇落实、支持乡镇疫情防控、耕地污染防治、受污染耕地早稻收购适当补贴等。抗疫特别国债9800万元用于三医院扩建南院区、各乡镇街道疫情防控支出。二是上级指定用途73439万元，主要是各项社保、民政、公共卫生、疫情防控等。</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另省财政已通知待下达抗疫特别国债4400万元，其中3400万元用于三医院扩建南院区、1000万元用于妇幼保健院公卫楼建设。</w:t>
      </w:r>
    </w:p>
    <w:p w:rsidR="004546F0" w:rsidRDefault="00F94D6C" w:rsidP="005F4CF7">
      <w:pPr>
        <w:spacing w:line="54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六、2020年财政部代理发行地方政府债券情况</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到</w:t>
      </w:r>
      <w:r w:rsidR="00653890">
        <w:rPr>
          <w:rFonts w:ascii="仿宋" w:eastAsia="仿宋" w:hAnsi="仿宋" w:hint="eastAsia"/>
          <w:color w:val="000000" w:themeColor="text1"/>
          <w:sz w:val="32"/>
          <w:szCs w:val="32"/>
        </w:rPr>
        <w:t>11月10日</w:t>
      </w:r>
      <w:r>
        <w:rPr>
          <w:rFonts w:ascii="仿宋" w:eastAsia="仿宋" w:hAnsi="仿宋" w:hint="eastAsia"/>
          <w:color w:val="000000" w:themeColor="text1"/>
          <w:sz w:val="32"/>
          <w:szCs w:val="32"/>
        </w:rPr>
        <w:t>为止，我区共收到各类债券资金97060万元，其中一般债券资金12700万元，专项债券74900万元，再融资债券9460万元。</w:t>
      </w:r>
    </w:p>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（一）一般债券资金</w:t>
      </w:r>
    </w:p>
    <w:p w:rsidR="00495CF2"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共收到一般债券三批，总额度为12700万元。</w:t>
      </w:r>
    </w:p>
    <w:p w:rsidR="00495CF2"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第一批额度8300万元（《湖南省财政厅关于下达2020年第一批新增一般债务限额的通知》湘财预</w:t>
      </w:r>
      <w:r>
        <w:rPr>
          <w:rFonts w:ascii="楷体_GB2312" w:eastAsia="楷体_GB2312" w:hAnsi="楷体_GB2312" w:cs="楷体_GB2312" w:hint="eastAsia"/>
          <w:color w:val="000000" w:themeColor="text1"/>
          <w:sz w:val="32"/>
          <w:szCs w:val="32"/>
        </w:rPr>
        <w:t>〔</w:t>
      </w:r>
      <w:r>
        <w:rPr>
          <w:rFonts w:ascii="仿宋" w:eastAsia="仿宋" w:hAnsi="仿宋" w:hint="eastAsia"/>
          <w:color w:val="000000" w:themeColor="text1"/>
          <w:sz w:val="32"/>
          <w:szCs w:val="32"/>
        </w:rPr>
        <w:t>2020</w:t>
      </w:r>
      <w:r>
        <w:rPr>
          <w:rFonts w:ascii="楷体_GB2312" w:eastAsia="楷体_GB2312" w:hAnsi="楷体_GB2312" w:cs="楷体_GB2312" w:hint="eastAsia"/>
          <w:color w:val="000000" w:themeColor="text1"/>
          <w:sz w:val="32"/>
          <w:szCs w:val="32"/>
        </w:rPr>
        <w:t>〕</w:t>
      </w:r>
      <w:r>
        <w:rPr>
          <w:rFonts w:ascii="仿宋" w:eastAsia="仿宋" w:hAnsi="仿宋" w:hint="eastAsia"/>
          <w:color w:val="000000" w:themeColor="text1"/>
          <w:sz w:val="32"/>
          <w:szCs w:val="32"/>
        </w:rPr>
        <w:t>48号）。</w:t>
      </w:r>
    </w:p>
    <w:p w:rsidR="00495CF2"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第二批额度1400万元，同时纳入中央直达资金进行管理</w:t>
      </w:r>
      <w:r w:rsidR="00495CF2">
        <w:rPr>
          <w:rFonts w:ascii="仿宋" w:eastAsia="仿宋" w:hAnsi="仿宋" w:hint="eastAsia"/>
          <w:color w:val="000000" w:themeColor="text1"/>
          <w:sz w:val="32"/>
          <w:szCs w:val="32"/>
        </w:rPr>
        <w:t>（《湖南省财政厅关于下达2020年第二批新增一般债务限额的</w:t>
      </w:r>
      <w:r w:rsidR="00495CF2">
        <w:rPr>
          <w:rFonts w:ascii="仿宋" w:eastAsia="仿宋" w:hAnsi="仿宋" w:hint="eastAsia"/>
          <w:color w:val="000000" w:themeColor="text1"/>
          <w:sz w:val="32"/>
          <w:szCs w:val="32"/>
        </w:rPr>
        <w:lastRenderedPageBreak/>
        <w:t>通知》湘财预</w:t>
      </w:r>
      <w:r w:rsidR="00495CF2">
        <w:rPr>
          <w:rFonts w:ascii="楷体_GB2312" w:eastAsia="楷体_GB2312" w:hAnsi="楷体_GB2312" w:cs="楷体_GB2312" w:hint="eastAsia"/>
          <w:color w:val="000000" w:themeColor="text1"/>
          <w:sz w:val="32"/>
          <w:szCs w:val="32"/>
        </w:rPr>
        <w:t>〔</w:t>
      </w:r>
      <w:r w:rsidR="00495CF2">
        <w:rPr>
          <w:rFonts w:ascii="仿宋" w:eastAsia="仿宋" w:hAnsi="仿宋" w:hint="eastAsia"/>
          <w:color w:val="000000" w:themeColor="text1"/>
          <w:sz w:val="32"/>
          <w:szCs w:val="32"/>
        </w:rPr>
        <w:t>2020</w:t>
      </w:r>
      <w:r w:rsidR="00495CF2">
        <w:rPr>
          <w:rFonts w:ascii="楷体_GB2312" w:eastAsia="楷体_GB2312" w:hAnsi="楷体_GB2312" w:cs="楷体_GB2312" w:hint="eastAsia"/>
          <w:color w:val="000000" w:themeColor="text1"/>
          <w:sz w:val="32"/>
          <w:szCs w:val="32"/>
        </w:rPr>
        <w:t>〕</w:t>
      </w:r>
      <w:r w:rsidR="00495CF2">
        <w:rPr>
          <w:rFonts w:ascii="仿宋" w:eastAsia="仿宋" w:hAnsi="仿宋" w:hint="eastAsia"/>
          <w:color w:val="000000" w:themeColor="text1"/>
          <w:sz w:val="32"/>
          <w:szCs w:val="32"/>
        </w:rPr>
        <w:t>108号）</w:t>
      </w:r>
      <w:r>
        <w:rPr>
          <w:rFonts w:ascii="仿宋" w:eastAsia="仿宋" w:hAnsi="仿宋" w:hint="eastAsia"/>
          <w:color w:val="000000" w:themeColor="text1"/>
          <w:sz w:val="32"/>
          <w:szCs w:val="32"/>
        </w:rPr>
        <w:t>。</w:t>
      </w:r>
    </w:p>
    <w:p w:rsidR="00495CF2"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第三批额度3000万元（《湖南省财政厅关于下达2020年第三批新增一般债务限额的通知》湘财预</w:t>
      </w:r>
      <w:r>
        <w:rPr>
          <w:rFonts w:ascii="楷体_GB2312" w:eastAsia="楷体_GB2312" w:hAnsi="楷体_GB2312" w:cs="楷体_GB2312" w:hint="eastAsia"/>
          <w:color w:val="000000" w:themeColor="text1"/>
          <w:sz w:val="32"/>
          <w:szCs w:val="32"/>
        </w:rPr>
        <w:t>〔</w:t>
      </w:r>
      <w:r>
        <w:rPr>
          <w:rFonts w:ascii="仿宋" w:eastAsia="仿宋" w:hAnsi="仿宋" w:hint="eastAsia"/>
          <w:color w:val="000000" w:themeColor="text1"/>
          <w:sz w:val="32"/>
          <w:szCs w:val="32"/>
        </w:rPr>
        <w:t>2020</w:t>
      </w:r>
      <w:r>
        <w:rPr>
          <w:rFonts w:ascii="楷体_GB2312" w:eastAsia="楷体_GB2312" w:hAnsi="楷体_GB2312" w:cs="楷体_GB2312" w:hint="eastAsia"/>
          <w:color w:val="000000" w:themeColor="text1"/>
          <w:sz w:val="32"/>
          <w:szCs w:val="32"/>
        </w:rPr>
        <w:t>〕</w:t>
      </w:r>
      <w:r>
        <w:rPr>
          <w:rFonts w:ascii="仿宋" w:eastAsia="仿宋" w:hAnsi="仿宋" w:hint="eastAsia"/>
          <w:color w:val="000000" w:themeColor="text1"/>
          <w:sz w:val="32"/>
          <w:szCs w:val="32"/>
        </w:rPr>
        <w:t>163号）。</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主要用于环保、公路建设，具体明细见下表：</w:t>
      </w:r>
    </w:p>
    <w:p w:rsidR="004546F0" w:rsidRDefault="00F94D6C" w:rsidP="005F4CF7">
      <w:pPr>
        <w:spacing w:line="540" w:lineRule="exact"/>
        <w:jc w:val="center"/>
        <w:rPr>
          <w:rFonts w:ascii="黑体" w:eastAsia="黑体" w:hAnsi="黑体" w:cs="Arial"/>
          <w:color w:val="000000" w:themeColor="text1"/>
          <w:kern w:val="0"/>
          <w:sz w:val="36"/>
          <w:szCs w:val="36"/>
        </w:rPr>
      </w:pPr>
      <w:r>
        <w:rPr>
          <w:rFonts w:ascii="黑体" w:eastAsia="黑体" w:hAnsi="黑体" w:cs="Arial" w:hint="eastAsia"/>
          <w:color w:val="000000" w:themeColor="text1"/>
          <w:kern w:val="0"/>
          <w:sz w:val="36"/>
          <w:szCs w:val="36"/>
        </w:rPr>
        <w:t>2020年一般债券安排使用情况</w:t>
      </w:r>
    </w:p>
    <w:p w:rsidR="004546F0" w:rsidRDefault="00F94D6C" w:rsidP="005F4CF7">
      <w:pPr>
        <w:spacing w:line="540" w:lineRule="exact"/>
        <w:ind w:firstLineChars="2500" w:firstLine="5250"/>
        <w:jc w:val="right"/>
        <w:rPr>
          <w:rFonts w:ascii="仿宋" w:hAnsi="仿宋"/>
          <w:color w:val="000000" w:themeColor="text1"/>
          <w:szCs w:val="21"/>
        </w:rPr>
      </w:pPr>
      <w:r>
        <w:rPr>
          <w:rFonts w:ascii="宋体" w:hAnsi="宋体" w:cs="宋体" w:hint="eastAsia"/>
          <w:color w:val="000000" w:themeColor="text1"/>
          <w:kern w:val="0"/>
          <w:szCs w:val="21"/>
        </w:rPr>
        <w:t xml:space="preserve">单位：万元  </w:t>
      </w:r>
    </w:p>
    <w:tbl>
      <w:tblPr>
        <w:tblW w:w="8933" w:type="dxa"/>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327"/>
        <w:gridCol w:w="3213"/>
        <w:gridCol w:w="1311"/>
        <w:gridCol w:w="3082"/>
      </w:tblGrid>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债券批次</w:t>
            </w:r>
          </w:p>
        </w:tc>
        <w:tc>
          <w:tcPr>
            <w:tcW w:w="3212"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项目名称</w:t>
            </w:r>
          </w:p>
        </w:tc>
        <w:tc>
          <w:tcPr>
            <w:tcW w:w="1311"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债券资金安排金额</w:t>
            </w:r>
          </w:p>
        </w:tc>
        <w:tc>
          <w:tcPr>
            <w:tcW w:w="3082" w:type="dxa"/>
            <w:tcBorders>
              <w:tl2br w:val="nil"/>
              <w:tr2bl w:val="nil"/>
            </w:tcBorders>
            <w:shd w:val="clear" w:color="auto" w:fill="auto"/>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资金安排（使用）单位</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第一批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自然村通水泥（沥青）路</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500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区公路建设养护中心</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第一批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安防工程</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1,500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区公路建设养护中心</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第一批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农村基础设施建设</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300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区扶贫办</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第一批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地下管线建设</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500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区龙岭建设投资有限公司</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第一批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污水管网建设</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4,800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区龙岭建设投资有限公司</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第一批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污水管网建设</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700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衡龙新区</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第二批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沧水铺镇芙蓉学校建设</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1,400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区教育局</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第三批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农村公路建设</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1,400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区公路建设养护中心</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第三批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农村公路建设</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1,100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区扶贫办</w:t>
            </w:r>
          </w:p>
        </w:tc>
      </w:tr>
      <w:tr w:rsidR="004546F0" w:rsidTr="002138CA">
        <w:trPr>
          <w:trHeight w:val="463"/>
        </w:trPr>
        <w:tc>
          <w:tcPr>
            <w:tcW w:w="1327" w:type="dxa"/>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第三批</w:t>
            </w:r>
          </w:p>
        </w:tc>
        <w:tc>
          <w:tcPr>
            <w:tcW w:w="321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环境治理</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500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区城投</w:t>
            </w:r>
          </w:p>
        </w:tc>
      </w:tr>
      <w:tr w:rsidR="004546F0" w:rsidTr="002138CA">
        <w:trPr>
          <w:trHeight w:val="463"/>
        </w:trPr>
        <w:tc>
          <w:tcPr>
            <w:tcW w:w="4540" w:type="dxa"/>
            <w:gridSpan w:val="2"/>
            <w:tcBorders>
              <w:tl2br w:val="nil"/>
              <w:tr2bl w:val="nil"/>
            </w:tcBorders>
            <w:shd w:val="clear" w:color="auto" w:fill="auto"/>
            <w:noWrap/>
            <w:vAlign w:val="center"/>
          </w:tcPr>
          <w:p w:rsidR="004546F0" w:rsidRDefault="00F94D6C" w:rsidP="00985DCD">
            <w:pPr>
              <w:widowControl/>
              <w:spacing w:line="24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合计</w:t>
            </w:r>
          </w:p>
        </w:tc>
        <w:tc>
          <w:tcPr>
            <w:tcW w:w="1311" w:type="dxa"/>
            <w:tcBorders>
              <w:tl2br w:val="nil"/>
              <w:tr2bl w:val="nil"/>
            </w:tcBorders>
            <w:shd w:val="clear" w:color="auto" w:fill="auto"/>
            <w:noWrap/>
            <w:vAlign w:val="center"/>
          </w:tcPr>
          <w:p w:rsidR="004546F0" w:rsidRDefault="00F94D6C" w:rsidP="00985DCD">
            <w:pPr>
              <w:widowControl/>
              <w:spacing w:line="240" w:lineRule="exact"/>
              <w:jc w:val="righ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12,700 </w:t>
            </w:r>
          </w:p>
        </w:tc>
        <w:tc>
          <w:tcPr>
            <w:tcW w:w="3082" w:type="dxa"/>
            <w:tcBorders>
              <w:tl2br w:val="nil"/>
              <w:tr2bl w:val="nil"/>
            </w:tcBorders>
            <w:shd w:val="clear" w:color="auto" w:fill="auto"/>
            <w:noWrap/>
            <w:vAlign w:val="center"/>
          </w:tcPr>
          <w:p w:rsidR="004546F0" w:rsidRDefault="00F94D6C" w:rsidP="00985DCD">
            <w:pPr>
              <w:widowControl/>
              <w:spacing w:line="240" w:lineRule="exact"/>
              <w:jc w:val="left"/>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 xml:space="preserve">　</w:t>
            </w:r>
          </w:p>
        </w:tc>
      </w:tr>
    </w:tbl>
    <w:p w:rsidR="004546F0" w:rsidRPr="00A8264D" w:rsidRDefault="00F94D6C" w:rsidP="005F4CF7">
      <w:pPr>
        <w:spacing w:line="54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（二）专项债券资金</w:t>
      </w:r>
    </w:p>
    <w:p w:rsidR="004546F0"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共收到专项债券资金两批，额度为74900万元。</w:t>
      </w:r>
    </w:p>
    <w:p w:rsidR="00495CF2"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第一批额度54300万元（《湖南省财政厅关于下达2020年第二批新增专项债务限额的通知》湘财预</w:t>
      </w:r>
      <w:r>
        <w:rPr>
          <w:rFonts w:ascii="楷体_GB2312" w:eastAsia="楷体_GB2312" w:hAnsi="楷体_GB2312" w:cs="楷体_GB2312" w:hint="eastAsia"/>
          <w:color w:val="000000" w:themeColor="text1"/>
          <w:sz w:val="32"/>
          <w:szCs w:val="32"/>
        </w:rPr>
        <w:t>〔</w:t>
      </w:r>
      <w:r>
        <w:rPr>
          <w:rFonts w:ascii="仿宋" w:eastAsia="仿宋" w:hAnsi="仿宋" w:hint="eastAsia"/>
          <w:color w:val="000000" w:themeColor="text1"/>
          <w:sz w:val="32"/>
          <w:szCs w:val="32"/>
        </w:rPr>
        <w:t>2020</w:t>
      </w:r>
      <w:r>
        <w:rPr>
          <w:rFonts w:ascii="楷体_GB2312" w:eastAsia="楷体_GB2312" w:hAnsi="楷体_GB2312" w:cs="楷体_GB2312" w:hint="eastAsia"/>
          <w:color w:val="000000" w:themeColor="text1"/>
          <w:sz w:val="32"/>
          <w:szCs w:val="32"/>
        </w:rPr>
        <w:t>〕</w:t>
      </w:r>
      <w:r>
        <w:rPr>
          <w:rFonts w:ascii="仿宋" w:eastAsia="仿宋" w:hAnsi="仿宋" w:hint="eastAsia"/>
          <w:color w:val="000000" w:themeColor="text1"/>
          <w:sz w:val="32"/>
          <w:szCs w:val="32"/>
        </w:rPr>
        <w:t>65号）。</w:t>
      </w:r>
    </w:p>
    <w:p w:rsidR="00495CF2" w:rsidRDefault="00F94D6C"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第二批额度20600万元（《湖南省财政厅关于下达2020年第三批新增专项债务限额的通知》湘财预</w:t>
      </w:r>
      <w:r>
        <w:rPr>
          <w:rFonts w:ascii="楷体_GB2312" w:eastAsia="楷体_GB2312" w:hAnsi="楷体_GB2312" w:cs="楷体_GB2312" w:hint="eastAsia"/>
          <w:color w:val="000000" w:themeColor="text1"/>
          <w:sz w:val="32"/>
          <w:szCs w:val="32"/>
        </w:rPr>
        <w:t>〔</w:t>
      </w:r>
      <w:r>
        <w:rPr>
          <w:rFonts w:ascii="仿宋" w:eastAsia="仿宋" w:hAnsi="仿宋" w:hint="eastAsia"/>
          <w:color w:val="000000" w:themeColor="text1"/>
          <w:sz w:val="32"/>
          <w:szCs w:val="32"/>
        </w:rPr>
        <w:t>2020</w:t>
      </w:r>
      <w:r>
        <w:rPr>
          <w:rFonts w:ascii="楷体_GB2312" w:eastAsia="楷体_GB2312" w:hAnsi="楷体_GB2312" w:cs="楷体_GB2312" w:hint="eastAsia"/>
          <w:color w:val="000000" w:themeColor="text1"/>
          <w:sz w:val="32"/>
          <w:szCs w:val="32"/>
        </w:rPr>
        <w:t>〕</w:t>
      </w:r>
      <w:r>
        <w:rPr>
          <w:rFonts w:ascii="仿宋" w:eastAsia="仿宋" w:hAnsi="仿宋" w:hint="eastAsia"/>
          <w:color w:val="000000" w:themeColor="text1"/>
          <w:sz w:val="32"/>
          <w:szCs w:val="32"/>
        </w:rPr>
        <w:t>164号）。</w:t>
      </w:r>
    </w:p>
    <w:p w:rsidR="00495CF2" w:rsidRDefault="00495CF2" w:rsidP="005F4CF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主要用于智能停车场、环保等，具体明细见下表：</w:t>
      </w:r>
    </w:p>
    <w:p w:rsidR="00985DCD" w:rsidRDefault="00985DCD" w:rsidP="005F4CF7">
      <w:pPr>
        <w:spacing w:line="540" w:lineRule="exact"/>
        <w:jc w:val="center"/>
        <w:rPr>
          <w:rFonts w:ascii="仿宋" w:eastAsia="仿宋" w:hAnsi="仿宋"/>
          <w:color w:val="000000" w:themeColor="text1"/>
          <w:sz w:val="32"/>
          <w:szCs w:val="32"/>
        </w:rPr>
      </w:pPr>
      <w:r w:rsidRPr="001758F6">
        <w:rPr>
          <w:rFonts w:ascii="方正小标宋简体" w:eastAsia="方正小标宋简体" w:hAnsi="宋体" w:cs="宋体" w:hint="eastAsia"/>
          <w:color w:val="000000"/>
          <w:kern w:val="0"/>
          <w:sz w:val="36"/>
          <w:szCs w:val="36"/>
        </w:rPr>
        <w:lastRenderedPageBreak/>
        <w:t>2020年专项债券安排使用情况</w:t>
      </w:r>
    </w:p>
    <w:p w:rsidR="00985DCD" w:rsidRDefault="00985DCD" w:rsidP="005F4CF7">
      <w:pPr>
        <w:spacing w:line="540" w:lineRule="exact"/>
        <w:ind w:firstLineChars="2500" w:firstLine="7000"/>
        <w:rPr>
          <w:rFonts w:ascii="仿宋" w:eastAsia="仿宋" w:hAnsi="仿宋"/>
          <w:color w:val="000000" w:themeColor="text1"/>
          <w:sz w:val="32"/>
          <w:szCs w:val="32"/>
        </w:rPr>
      </w:pPr>
      <w:r w:rsidRPr="001758F6">
        <w:rPr>
          <w:rFonts w:ascii="宋体" w:hAnsi="宋体" w:cs="宋体" w:hint="eastAsia"/>
          <w:color w:val="000000"/>
          <w:kern w:val="0"/>
          <w:sz w:val="28"/>
          <w:szCs w:val="28"/>
        </w:rPr>
        <w:t>单位：万元</w:t>
      </w:r>
    </w:p>
    <w:tbl>
      <w:tblPr>
        <w:tblW w:w="8790" w:type="dxa"/>
        <w:tblInd w:w="93" w:type="dxa"/>
        <w:tblLook w:val="04A0"/>
      </w:tblPr>
      <w:tblGrid>
        <w:gridCol w:w="1289"/>
        <w:gridCol w:w="3114"/>
        <w:gridCol w:w="1981"/>
        <w:gridCol w:w="2406"/>
      </w:tblGrid>
      <w:tr w:rsidR="001758F6" w:rsidRPr="001758F6" w:rsidTr="002C6218">
        <w:trPr>
          <w:trHeight w:val="454"/>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债券批次</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项目名称</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债券资金安排金额</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资金安排（使用）单位</w:t>
            </w:r>
          </w:p>
        </w:tc>
      </w:tr>
      <w:tr w:rsidR="001758F6" w:rsidRPr="001758F6" w:rsidTr="002C6218">
        <w:trPr>
          <w:trHeight w:val="442"/>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第一批</w:t>
            </w:r>
          </w:p>
        </w:tc>
        <w:tc>
          <w:tcPr>
            <w:tcW w:w="3114" w:type="dxa"/>
            <w:tcBorders>
              <w:top w:val="nil"/>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龙岭工业集中区南片区智能停车场</w:t>
            </w:r>
          </w:p>
        </w:tc>
        <w:tc>
          <w:tcPr>
            <w:tcW w:w="1981"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 xml:space="preserve">10,000 </w:t>
            </w:r>
          </w:p>
        </w:tc>
        <w:tc>
          <w:tcPr>
            <w:tcW w:w="2406"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龙岭工业集中区</w:t>
            </w:r>
          </w:p>
        </w:tc>
      </w:tr>
      <w:tr w:rsidR="001758F6" w:rsidRPr="001758F6" w:rsidTr="002C6218">
        <w:trPr>
          <w:trHeight w:val="47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第一批</w:t>
            </w:r>
          </w:p>
        </w:tc>
        <w:tc>
          <w:tcPr>
            <w:tcW w:w="3114" w:type="dxa"/>
            <w:tcBorders>
              <w:top w:val="nil"/>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城东污水处理厂二期及配套管网</w:t>
            </w:r>
          </w:p>
        </w:tc>
        <w:tc>
          <w:tcPr>
            <w:tcW w:w="1981"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 xml:space="preserve">5,800 </w:t>
            </w:r>
          </w:p>
        </w:tc>
        <w:tc>
          <w:tcPr>
            <w:tcW w:w="2406"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龙岭工业集中区</w:t>
            </w:r>
          </w:p>
        </w:tc>
      </w:tr>
      <w:tr w:rsidR="001758F6" w:rsidRPr="001758F6" w:rsidTr="002C6218">
        <w:trPr>
          <w:trHeight w:val="502"/>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第一批</w:t>
            </w:r>
          </w:p>
        </w:tc>
        <w:tc>
          <w:tcPr>
            <w:tcW w:w="3114" w:type="dxa"/>
            <w:tcBorders>
              <w:top w:val="nil"/>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智能绿色标志产业园标准化厂房基础设施建设</w:t>
            </w:r>
          </w:p>
        </w:tc>
        <w:tc>
          <w:tcPr>
            <w:tcW w:w="1981"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 xml:space="preserve">12,500 </w:t>
            </w:r>
          </w:p>
        </w:tc>
        <w:tc>
          <w:tcPr>
            <w:tcW w:w="2406"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衡龙新区</w:t>
            </w:r>
          </w:p>
        </w:tc>
      </w:tr>
      <w:tr w:rsidR="001758F6" w:rsidRPr="001758F6" w:rsidTr="002C6218">
        <w:trPr>
          <w:trHeight w:val="322"/>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第一批</w:t>
            </w:r>
          </w:p>
        </w:tc>
        <w:tc>
          <w:tcPr>
            <w:tcW w:w="3114" w:type="dxa"/>
            <w:tcBorders>
              <w:top w:val="nil"/>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公办幼儿园建设</w:t>
            </w:r>
          </w:p>
        </w:tc>
        <w:tc>
          <w:tcPr>
            <w:tcW w:w="1981"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 xml:space="preserve">6,000 </w:t>
            </w:r>
          </w:p>
        </w:tc>
        <w:tc>
          <w:tcPr>
            <w:tcW w:w="2406"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教育局</w:t>
            </w:r>
          </w:p>
        </w:tc>
      </w:tr>
      <w:tr w:rsidR="001758F6" w:rsidRPr="001758F6" w:rsidTr="002C6218">
        <w:trPr>
          <w:trHeight w:val="502"/>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第一批</w:t>
            </w:r>
          </w:p>
        </w:tc>
        <w:tc>
          <w:tcPr>
            <w:tcW w:w="3114" w:type="dxa"/>
            <w:tcBorders>
              <w:top w:val="nil"/>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益阳南高铁站站场及配套基础设施建设。</w:t>
            </w:r>
          </w:p>
        </w:tc>
        <w:tc>
          <w:tcPr>
            <w:tcW w:w="1981"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 xml:space="preserve">20,000 </w:t>
            </w:r>
          </w:p>
        </w:tc>
        <w:tc>
          <w:tcPr>
            <w:tcW w:w="2406"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高新区</w:t>
            </w:r>
          </w:p>
        </w:tc>
      </w:tr>
      <w:tr w:rsidR="001758F6" w:rsidRPr="001758F6" w:rsidTr="002C6218">
        <w:trPr>
          <w:trHeight w:val="53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第二批</w:t>
            </w:r>
          </w:p>
        </w:tc>
        <w:tc>
          <w:tcPr>
            <w:tcW w:w="3114" w:type="dxa"/>
            <w:tcBorders>
              <w:top w:val="nil"/>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高端电子产业园标准化厂房基础设施建设</w:t>
            </w:r>
          </w:p>
        </w:tc>
        <w:tc>
          <w:tcPr>
            <w:tcW w:w="1981"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 xml:space="preserve">6,600 </w:t>
            </w:r>
          </w:p>
        </w:tc>
        <w:tc>
          <w:tcPr>
            <w:tcW w:w="2406"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龙岭工业集中区</w:t>
            </w:r>
          </w:p>
        </w:tc>
      </w:tr>
      <w:tr w:rsidR="001758F6" w:rsidRPr="001758F6" w:rsidTr="002C6218">
        <w:trPr>
          <w:trHeight w:val="406"/>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第二批</w:t>
            </w:r>
          </w:p>
        </w:tc>
        <w:tc>
          <w:tcPr>
            <w:tcW w:w="3114" w:type="dxa"/>
            <w:tcBorders>
              <w:top w:val="nil"/>
              <w:left w:val="nil"/>
              <w:bottom w:val="single" w:sz="4" w:space="0" w:color="auto"/>
              <w:right w:val="single" w:sz="4" w:space="0" w:color="auto"/>
            </w:tcBorders>
            <w:shd w:val="clear" w:color="auto" w:fill="auto"/>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赫山主城区智慧停车场建设</w:t>
            </w:r>
          </w:p>
        </w:tc>
        <w:tc>
          <w:tcPr>
            <w:tcW w:w="1981"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 xml:space="preserve">14,000 </w:t>
            </w:r>
          </w:p>
        </w:tc>
        <w:tc>
          <w:tcPr>
            <w:tcW w:w="2406"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区城投公司</w:t>
            </w:r>
          </w:p>
        </w:tc>
      </w:tr>
      <w:tr w:rsidR="001758F6" w:rsidRPr="001758F6" w:rsidTr="002C6218">
        <w:trPr>
          <w:trHeight w:val="322"/>
        </w:trPr>
        <w:tc>
          <w:tcPr>
            <w:tcW w:w="44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58F6" w:rsidRPr="001758F6" w:rsidRDefault="001758F6" w:rsidP="00985DCD">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合计</w:t>
            </w:r>
          </w:p>
        </w:tc>
        <w:tc>
          <w:tcPr>
            <w:tcW w:w="1981"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D011B6">
            <w:pPr>
              <w:widowControl/>
              <w:spacing w:line="240" w:lineRule="exact"/>
              <w:jc w:val="center"/>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74,900</w:t>
            </w:r>
          </w:p>
        </w:tc>
        <w:tc>
          <w:tcPr>
            <w:tcW w:w="2406" w:type="dxa"/>
            <w:tcBorders>
              <w:top w:val="nil"/>
              <w:left w:val="nil"/>
              <w:bottom w:val="single" w:sz="4" w:space="0" w:color="auto"/>
              <w:right w:val="single" w:sz="4" w:space="0" w:color="auto"/>
            </w:tcBorders>
            <w:shd w:val="clear" w:color="auto" w:fill="auto"/>
            <w:noWrap/>
            <w:vAlign w:val="center"/>
            <w:hideMark/>
          </w:tcPr>
          <w:p w:rsidR="001758F6" w:rsidRPr="001758F6" w:rsidRDefault="001758F6" w:rsidP="00985DCD">
            <w:pPr>
              <w:widowControl/>
              <w:spacing w:line="240" w:lineRule="exact"/>
              <w:jc w:val="left"/>
              <w:rPr>
                <w:rFonts w:asciiTheme="minorEastAsia" w:eastAsiaTheme="minorEastAsia" w:hAnsiTheme="minorEastAsia" w:cs="宋体"/>
                <w:color w:val="000000" w:themeColor="text1"/>
                <w:kern w:val="0"/>
                <w:sz w:val="22"/>
                <w:szCs w:val="22"/>
              </w:rPr>
            </w:pPr>
            <w:r w:rsidRPr="001758F6">
              <w:rPr>
                <w:rFonts w:asciiTheme="minorEastAsia" w:eastAsiaTheme="minorEastAsia" w:hAnsiTheme="minorEastAsia" w:cs="宋体" w:hint="eastAsia"/>
                <w:color w:val="000000" w:themeColor="text1"/>
                <w:kern w:val="0"/>
                <w:sz w:val="22"/>
                <w:szCs w:val="22"/>
              </w:rPr>
              <w:t xml:space="preserve">　</w:t>
            </w:r>
          </w:p>
        </w:tc>
      </w:tr>
    </w:tbl>
    <w:p w:rsidR="004546F0" w:rsidRPr="00A8264D" w:rsidRDefault="00F94D6C" w:rsidP="002C6218">
      <w:pPr>
        <w:spacing w:line="520" w:lineRule="exact"/>
        <w:ind w:firstLineChars="200" w:firstLine="643"/>
        <w:rPr>
          <w:rFonts w:ascii="楷体" w:eastAsia="楷体" w:hAnsi="楷体" w:cs="楷体_GB2312"/>
          <w:b/>
          <w:bCs/>
          <w:color w:val="000000" w:themeColor="text1"/>
          <w:sz w:val="32"/>
          <w:szCs w:val="32"/>
        </w:rPr>
      </w:pPr>
      <w:r w:rsidRPr="00A8264D">
        <w:rPr>
          <w:rFonts w:ascii="楷体" w:eastAsia="楷体" w:hAnsi="楷体" w:cs="楷体_GB2312" w:hint="eastAsia"/>
          <w:b/>
          <w:bCs/>
          <w:color w:val="000000" w:themeColor="text1"/>
          <w:sz w:val="32"/>
          <w:szCs w:val="32"/>
        </w:rPr>
        <w:t>（三）再融资债券资金</w:t>
      </w:r>
    </w:p>
    <w:p w:rsidR="004546F0" w:rsidRDefault="00F94D6C" w:rsidP="002C6218">
      <w:pPr>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年初预算安排20149万元。到目前止，收到再融资债券五批，总额度为9460万元，具体情况如下：</w:t>
      </w:r>
    </w:p>
    <w:p w:rsidR="004546F0" w:rsidRDefault="00F94D6C" w:rsidP="002C6218">
      <w:pPr>
        <w:spacing w:line="520" w:lineRule="exact"/>
        <w:jc w:val="center"/>
        <w:rPr>
          <w:rFonts w:ascii="黑体" w:eastAsia="黑体" w:hAnsi="黑体" w:cs="Arial"/>
          <w:color w:val="000000" w:themeColor="text1"/>
          <w:kern w:val="0"/>
          <w:sz w:val="36"/>
          <w:szCs w:val="36"/>
        </w:rPr>
      </w:pPr>
      <w:r>
        <w:rPr>
          <w:rFonts w:ascii="黑体" w:eastAsia="黑体" w:hAnsi="黑体" w:cs="Arial" w:hint="eastAsia"/>
          <w:color w:val="000000" w:themeColor="text1"/>
          <w:kern w:val="0"/>
          <w:sz w:val="36"/>
          <w:szCs w:val="36"/>
        </w:rPr>
        <w:t>2020年再融资债券情况表</w:t>
      </w:r>
    </w:p>
    <w:p w:rsidR="004546F0" w:rsidRDefault="00F94D6C" w:rsidP="002C6218">
      <w:pPr>
        <w:spacing w:line="520" w:lineRule="exact"/>
        <w:ind w:firstLineChars="2500" w:firstLine="5250"/>
        <w:jc w:val="right"/>
        <w:rPr>
          <w:rFonts w:ascii="宋体" w:hAnsi="宋体" w:cs="宋体"/>
          <w:color w:val="000000" w:themeColor="text1"/>
          <w:kern w:val="0"/>
          <w:szCs w:val="21"/>
        </w:rPr>
      </w:pPr>
      <w:r>
        <w:rPr>
          <w:rFonts w:ascii="宋体" w:hAnsi="宋体" w:cs="宋体" w:hint="eastAsia"/>
          <w:color w:val="000000" w:themeColor="text1"/>
          <w:kern w:val="0"/>
          <w:szCs w:val="21"/>
        </w:rPr>
        <w:t xml:space="preserve">单位：万元  </w:t>
      </w:r>
    </w:p>
    <w:tbl>
      <w:tblPr>
        <w:tblW w:w="87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325"/>
        <w:gridCol w:w="1281"/>
        <w:gridCol w:w="1668"/>
        <w:gridCol w:w="1261"/>
        <w:gridCol w:w="846"/>
        <w:gridCol w:w="2391"/>
      </w:tblGrid>
      <w:tr w:rsidR="004546F0">
        <w:trPr>
          <w:trHeight w:val="454"/>
          <w:jc w:val="center"/>
        </w:trPr>
        <w:tc>
          <w:tcPr>
            <w:tcW w:w="1325" w:type="dxa"/>
            <w:tcBorders>
              <w:tl2br w:val="nil"/>
              <w:tr2bl w:val="nil"/>
            </w:tcBorders>
            <w:shd w:val="clear" w:color="auto" w:fill="auto"/>
            <w:noWrap/>
            <w:vAlign w:val="center"/>
          </w:tcPr>
          <w:p w:rsidR="004546F0" w:rsidRDefault="00F94D6C">
            <w:pPr>
              <w:widowControl/>
              <w:spacing w:line="260" w:lineRule="exact"/>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债券批次</w:t>
            </w:r>
          </w:p>
        </w:tc>
        <w:tc>
          <w:tcPr>
            <w:tcW w:w="1281" w:type="dxa"/>
            <w:tcBorders>
              <w:tl2br w:val="nil"/>
              <w:tr2bl w:val="nil"/>
            </w:tcBorders>
            <w:shd w:val="clear" w:color="auto" w:fill="auto"/>
            <w:vAlign w:val="center"/>
          </w:tcPr>
          <w:p w:rsidR="004546F0" w:rsidRDefault="00F94D6C">
            <w:pPr>
              <w:widowControl/>
              <w:spacing w:line="260" w:lineRule="exact"/>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 xml:space="preserve">发行日期 </w:t>
            </w:r>
          </w:p>
        </w:tc>
        <w:tc>
          <w:tcPr>
            <w:tcW w:w="1668" w:type="dxa"/>
            <w:tcBorders>
              <w:tl2br w:val="nil"/>
              <w:tr2bl w:val="nil"/>
            </w:tcBorders>
            <w:shd w:val="clear" w:color="auto" w:fill="auto"/>
            <w:vAlign w:val="center"/>
          </w:tcPr>
          <w:p w:rsidR="004546F0" w:rsidRDefault="00F94D6C">
            <w:pPr>
              <w:widowControl/>
              <w:spacing w:line="260" w:lineRule="exact"/>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发行期限（年）</w:t>
            </w:r>
          </w:p>
        </w:tc>
        <w:tc>
          <w:tcPr>
            <w:tcW w:w="1261" w:type="dxa"/>
            <w:tcBorders>
              <w:tl2br w:val="nil"/>
              <w:tr2bl w:val="nil"/>
            </w:tcBorders>
            <w:shd w:val="clear" w:color="auto" w:fill="auto"/>
            <w:vAlign w:val="center"/>
          </w:tcPr>
          <w:p w:rsidR="004546F0" w:rsidRDefault="00F94D6C">
            <w:pPr>
              <w:widowControl/>
              <w:spacing w:line="260" w:lineRule="exact"/>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发行利率</w:t>
            </w:r>
          </w:p>
        </w:tc>
        <w:tc>
          <w:tcPr>
            <w:tcW w:w="846" w:type="dxa"/>
            <w:tcBorders>
              <w:tl2br w:val="nil"/>
              <w:tr2bl w:val="nil"/>
            </w:tcBorders>
            <w:shd w:val="clear" w:color="auto" w:fill="auto"/>
            <w:vAlign w:val="center"/>
          </w:tcPr>
          <w:p w:rsidR="004546F0" w:rsidRDefault="00F94D6C">
            <w:pPr>
              <w:widowControl/>
              <w:spacing w:line="260" w:lineRule="exact"/>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金额</w:t>
            </w:r>
          </w:p>
        </w:tc>
        <w:tc>
          <w:tcPr>
            <w:tcW w:w="2391" w:type="dxa"/>
            <w:tcBorders>
              <w:tl2br w:val="nil"/>
              <w:tr2bl w:val="nil"/>
            </w:tcBorders>
            <w:shd w:val="clear" w:color="auto" w:fill="auto"/>
            <w:vAlign w:val="center"/>
          </w:tcPr>
          <w:p w:rsidR="004546F0" w:rsidRDefault="00F94D6C">
            <w:pPr>
              <w:widowControl/>
              <w:spacing w:line="260" w:lineRule="exact"/>
              <w:jc w:val="center"/>
              <w:rPr>
                <w:rFonts w:ascii="宋体" w:hAnsi="宋体" w:cs="宋体"/>
                <w:b/>
                <w:bCs/>
                <w:color w:val="000000" w:themeColor="text1"/>
                <w:kern w:val="0"/>
                <w:sz w:val="24"/>
              </w:rPr>
            </w:pPr>
            <w:r>
              <w:rPr>
                <w:rFonts w:ascii="宋体" w:hAnsi="宋体" w:cs="宋体" w:hint="eastAsia"/>
                <w:b/>
                <w:bCs/>
                <w:color w:val="000000" w:themeColor="text1"/>
                <w:kern w:val="0"/>
                <w:sz w:val="24"/>
              </w:rPr>
              <w:t>省级资金文号</w:t>
            </w:r>
          </w:p>
        </w:tc>
      </w:tr>
      <w:tr w:rsidR="004546F0">
        <w:trPr>
          <w:trHeight w:val="454"/>
          <w:jc w:val="center"/>
        </w:trPr>
        <w:tc>
          <w:tcPr>
            <w:tcW w:w="1325" w:type="dxa"/>
            <w:tcBorders>
              <w:tl2br w:val="nil"/>
              <w:tr2bl w:val="nil"/>
            </w:tcBorders>
            <w:shd w:val="clear" w:color="auto" w:fill="auto"/>
            <w:noWrap/>
            <w:vAlign w:val="center"/>
          </w:tcPr>
          <w:p w:rsidR="004546F0" w:rsidRDefault="00F94D6C">
            <w:pPr>
              <w:widowControl/>
              <w:spacing w:line="260" w:lineRule="exact"/>
              <w:jc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第一批</w:t>
            </w:r>
          </w:p>
        </w:tc>
        <w:tc>
          <w:tcPr>
            <w:tcW w:w="128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6月9日</w:t>
            </w:r>
          </w:p>
        </w:tc>
        <w:tc>
          <w:tcPr>
            <w:tcW w:w="1668"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26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2.70%</w:t>
            </w:r>
          </w:p>
        </w:tc>
        <w:tc>
          <w:tcPr>
            <w:tcW w:w="846"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 xml:space="preserve">514 </w:t>
            </w:r>
          </w:p>
        </w:tc>
        <w:tc>
          <w:tcPr>
            <w:tcW w:w="2391"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kern w:val="0"/>
                <w:sz w:val="24"/>
              </w:rPr>
            </w:pPr>
            <w:r>
              <w:rPr>
                <w:rFonts w:ascii="宋体" w:hAnsi="宋体" w:cs="宋体" w:hint="eastAsia"/>
                <w:color w:val="000000" w:themeColor="text1"/>
                <w:kern w:val="0"/>
                <w:sz w:val="24"/>
              </w:rPr>
              <w:t>湘财预</w:t>
            </w:r>
            <w:r>
              <w:rPr>
                <w:rFonts w:ascii="楷体_GB2312" w:eastAsia="楷体_GB2312" w:hAnsi="楷体_GB2312" w:cs="楷体_GB2312" w:hint="eastAsia"/>
                <w:color w:val="000000" w:themeColor="text1"/>
                <w:kern w:val="0"/>
                <w:sz w:val="24"/>
              </w:rPr>
              <w:t>〔</w:t>
            </w:r>
            <w:r>
              <w:rPr>
                <w:rFonts w:ascii="宋体" w:hAnsi="宋体" w:cs="宋体" w:hint="eastAsia"/>
                <w:color w:val="000000" w:themeColor="text1"/>
                <w:kern w:val="0"/>
                <w:sz w:val="24"/>
              </w:rPr>
              <w:t>2020</w:t>
            </w:r>
            <w:r>
              <w:rPr>
                <w:rFonts w:ascii="楷体_GB2312" w:eastAsia="楷体_GB2312" w:hAnsi="楷体_GB2312" w:cs="楷体_GB2312" w:hint="eastAsia"/>
                <w:color w:val="000000" w:themeColor="text1"/>
                <w:kern w:val="0"/>
                <w:sz w:val="24"/>
              </w:rPr>
              <w:t>〕</w:t>
            </w:r>
            <w:r>
              <w:rPr>
                <w:rFonts w:ascii="宋体" w:hAnsi="宋体" w:cs="宋体" w:hint="eastAsia"/>
                <w:color w:val="000000" w:themeColor="text1"/>
                <w:kern w:val="0"/>
                <w:sz w:val="24"/>
              </w:rPr>
              <w:t>84号</w:t>
            </w:r>
          </w:p>
        </w:tc>
      </w:tr>
      <w:tr w:rsidR="004546F0">
        <w:trPr>
          <w:trHeight w:val="454"/>
          <w:jc w:val="center"/>
        </w:trPr>
        <w:tc>
          <w:tcPr>
            <w:tcW w:w="1325" w:type="dxa"/>
            <w:tcBorders>
              <w:tl2br w:val="nil"/>
              <w:tr2bl w:val="nil"/>
            </w:tcBorders>
            <w:shd w:val="clear" w:color="auto" w:fill="auto"/>
            <w:noWrap/>
            <w:vAlign w:val="center"/>
          </w:tcPr>
          <w:p w:rsidR="004546F0" w:rsidRDefault="00F94D6C">
            <w:pPr>
              <w:widowControl/>
              <w:spacing w:line="260" w:lineRule="exact"/>
              <w:jc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第二批</w:t>
            </w:r>
          </w:p>
        </w:tc>
        <w:tc>
          <w:tcPr>
            <w:tcW w:w="128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7月3日</w:t>
            </w:r>
          </w:p>
        </w:tc>
        <w:tc>
          <w:tcPr>
            <w:tcW w:w="1668"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6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2.65%</w:t>
            </w:r>
          </w:p>
        </w:tc>
        <w:tc>
          <w:tcPr>
            <w:tcW w:w="846"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 xml:space="preserve">2,687 </w:t>
            </w:r>
          </w:p>
        </w:tc>
        <w:tc>
          <w:tcPr>
            <w:tcW w:w="2391"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spacing w:val="-11"/>
                <w:kern w:val="0"/>
                <w:sz w:val="24"/>
              </w:rPr>
            </w:pPr>
            <w:r>
              <w:rPr>
                <w:rFonts w:ascii="宋体" w:hAnsi="宋体" w:cs="宋体" w:hint="eastAsia"/>
                <w:color w:val="000000" w:themeColor="text1"/>
                <w:spacing w:val="-11"/>
                <w:kern w:val="0"/>
                <w:sz w:val="24"/>
              </w:rPr>
              <w:t>湘财预</w:t>
            </w:r>
            <w:r>
              <w:rPr>
                <w:rFonts w:ascii="楷体_GB2312" w:eastAsia="楷体_GB2312" w:hAnsi="楷体_GB2312" w:cs="楷体_GB2312" w:hint="eastAsia"/>
                <w:color w:val="000000" w:themeColor="text1"/>
                <w:spacing w:val="-11"/>
                <w:kern w:val="0"/>
                <w:sz w:val="24"/>
              </w:rPr>
              <w:t>〔</w:t>
            </w:r>
            <w:r>
              <w:rPr>
                <w:rFonts w:ascii="宋体" w:hAnsi="宋体" w:cs="宋体" w:hint="eastAsia"/>
                <w:color w:val="000000" w:themeColor="text1"/>
                <w:spacing w:val="-11"/>
                <w:kern w:val="0"/>
                <w:sz w:val="24"/>
              </w:rPr>
              <w:t>2020</w:t>
            </w:r>
            <w:r>
              <w:rPr>
                <w:rFonts w:ascii="楷体_GB2312" w:eastAsia="楷体_GB2312" w:hAnsi="楷体_GB2312" w:cs="楷体_GB2312" w:hint="eastAsia"/>
                <w:color w:val="000000" w:themeColor="text1"/>
                <w:spacing w:val="-11"/>
                <w:kern w:val="0"/>
                <w:sz w:val="24"/>
              </w:rPr>
              <w:t>〕</w:t>
            </w:r>
            <w:r>
              <w:rPr>
                <w:rFonts w:ascii="宋体" w:hAnsi="宋体" w:cs="宋体" w:hint="eastAsia"/>
                <w:color w:val="000000" w:themeColor="text1"/>
                <w:spacing w:val="-11"/>
                <w:kern w:val="0"/>
                <w:sz w:val="24"/>
              </w:rPr>
              <w:t>118号</w:t>
            </w:r>
          </w:p>
        </w:tc>
      </w:tr>
      <w:tr w:rsidR="004546F0">
        <w:trPr>
          <w:trHeight w:val="454"/>
          <w:jc w:val="center"/>
        </w:trPr>
        <w:tc>
          <w:tcPr>
            <w:tcW w:w="1325" w:type="dxa"/>
            <w:tcBorders>
              <w:tl2br w:val="nil"/>
              <w:tr2bl w:val="nil"/>
            </w:tcBorders>
            <w:shd w:val="clear" w:color="auto" w:fill="auto"/>
            <w:noWrap/>
            <w:vAlign w:val="center"/>
          </w:tcPr>
          <w:p w:rsidR="004546F0" w:rsidRDefault="00F94D6C">
            <w:pPr>
              <w:widowControl/>
              <w:spacing w:line="260" w:lineRule="exact"/>
              <w:jc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第三批</w:t>
            </w:r>
          </w:p>
        </w:tc>
        <w:tc>
          <w:tcPr>
            <w:tcW w:w="128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8月18日</w:t>
            </w:r>
          </w:p>
        </w:tc>
        <w:tc>
          <w:tcPr>
            <w:tcW w:w="1668"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26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2.94%</w:t>
            </w:r>
          </w:p>
        </w:tc>
        <w:tc>
          <w:tcPr>
            <w:tcW w:w="846"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 xml:space="preserve">182 </w:t>
            </w:r>
          </w:p>
        </w:tc>
        <w:tc>
          <w:tcPr>
            <w:tcW w:w="2391"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spacing w:val="-11"/>
                <w:kern w:val="0"/>
                <w:sz w:val="24"/>
              </w:rPr>
            </w:pPr>
            <w:r>
              <w:rPr>
                <w:rFonts w:ascii="宋体" w:hAnsi="宋体" w:cs="宋体" w:hint="eastAsia"/>
                <w:color w:val="000000" w:themeColor="text1"/>
                <w:spacing w:val="-11"/>
                <w:kern w:val="0"/>
                <w:sz w:val="24"/>
              </w:rPr>
              <w:t>湘财预</w:t>
            </w:r>
            <w:r>
              <w:rPr>
                <w:rFonts w:ascii="楷体_GB2312" w:eastAsia="楷体_GB2312" w:hAnsi="楷体_GB2312" w:cs="楷体_GB2312" w:hint="eastAsia"/>
                <w:color w:val="000000" w:themeColor="text1"/>
                <w:spacing w:val="-11"/>
                <w:kern w:val="0"/>
                <w:sz w:val="24"/>
              </w:rPr>
              <w:t>〔</w:t>
            </w:r>
            <w:r>
              <w:rPr>
                <w:rFonts w:ascii="宋体" w:hAnsi="宋体" w:cs="宋体" w:hint="eastAsia"/>
                <w:color w:val="000000" w:themeColor="text1"/>
                <w:spacing w:val="-11"/>
                <w:kern w:val="0"/>
                <w:sz w:val="24"/>
              </w:rPr>
              <w:t>2020</w:t>
            </w:r>
            <w:r>
              <w:rPr>
                <w:rFonts w:ascii="楷体_GB2312" w:eastAsia="楷体_GB2312" w:hAnsi="楷体_GB2312" w:cs="楷体_GB2312" w:hint="eastAsia"/>
                <w:color w:val="000000" w:themeColor="text1"/>
                <w:spacing w:val="-11"/>
                <w:kern w:val="0"/>
                <w:sz w:val="24"/>
              </w:rPr>
              <w:t>〕</w:t>
            </w:r>
            <w:r>
              <w:rPr>
                <w:rFonts w:ascii="宋体" w:hAnsi="宋体" w:cs="宋体" w:hint="eastAsia"/>
                <w:color w:val="000000" w:themeColor="text1"/>
                <w:spacing w:val="-11"/>
                <w:kern w:val="0"/>
                <w:sz w:val="24"/>
              </w:rPr>
              <w:t>215号</w:t>
            </w:r>
          </w:p>
        </w:tc>
      </w:tr>
      <w:tr w:rsidR="004546F0">
        <w:trPr>
          <w:trHeight w:val="454"/>
          <w:jc w:val="center"/>
        </w:trPr>
        <w:tc>
          <w:tcPr>
            <w:tcW w:w="1325" w:type="dxa"/>
            <w:tcBorders>
              <w:tl2br w:val="nil"/>
              <w:tr2bl w:val="nil"/>
            </w:tcBorders>
            <w:shd w:val="clear" w:color="auto" w:fill="auto"/>
            <w:noWrap/>
            <w:vAlign w:val="center"/>
          </w:tcPr>
          <w:p w:rsidR="004546F0" w:rsidRDefault="00F94D6C">
            <w:pPr>
              <w:widowControl/>
              <w:spacing w:line="260" w:lineRule="exact"/>
              <w:jc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第四批</w:t>
            </w:r>
          </w:p>
        </w:tc>
        <w:tc>
          <w:tcPr>
            <w:tcW w:w="128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10月13日</w:t>
            </w:r>
          </w:p>
        </w:tc>
        <w:tc>
          <w:tcPr>
            <w:tcW w:w="1668"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30</w:t>
            </w:r>
          </w:p>
        </w:tc>
        <w:tc>
          <w:tcPr>
            <w:tcW w:w="126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4.11%</w:t>
            </w:r>
          </w:p>
        </w:tc>
        <w:tc>
          <w:tcPr>
            <w:tcW w:w="846"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 xml:space="preserve">5,311 </w:t>
            </w:r>
          </w:p>
        </w:tc>
        <w:tc>
          <w:tcPr>
            <w:tcW w:w="2391"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spacing w:val="-11"/>
                <w:kern w:val="0"/>
                <w:sz w:val="24"/>
              </w:rPr>
            </w:pPr>
            <w:r>
              <w:rPr>
                <w:rFonts w:ascii="宋体" w:hAnsi="宋体" w:cs="宋体" w:hint="eastAsia"/>
                <w:color w:val="000000" w:themeColor="text1"/>
                <w:spacing w:val="-11"/>
                <w:kern w:val="0"/>
                <w:sz w:val="24"/>
              </w:rPr>
              <w:t>湘财预</w:t>
            </w:r>
            <w:r>
              <w:rPr>
                <w:rFonts w:ascii="楷体_GB2312" w:eastAsia="楷体_GB2312" w:hAnsi="楷体_GB2312" w:cs="楷体_GB2312" w:hint="eastAsia"/>
                <w:color w:val="000000" w:themeColor="text1"/>
                <w:spacing w:val="-11"/>
                <w:kern w:val="0"/>
                <w:sz w:val="24"/>
              </w:rPr>
              <w:t>〔</w:t>
            </w:r>
            <w:r>
              <w:rPr>
                <w:rFonts w:ascii="宋体" w:hAnsi="宋体" w:cs="宋体" w:hint="eastAsia"/>
                <w:color w:val="000000" w:themeColor="text1"/>
                <w:spacing w:val="-11"/>
                <w:kern w:val="0"/>
                <w:sz w:val="24"/>
              </w:rPr>
              <w:t>2020</w:t>
            </w:r>
            <w:r>
              <w:rPr>
                <w:rFonts w:ascii="楷体_GB2312" w:eastAsia="楷体_GB2312" w:hAnsi="楷体_GB2312" w:cs="楷体_GB2312" w:hint="eastAsia"/>
                <w:color w:val="000000" w:themeColor="text1"/>
                <w:spacing w:val="-11"/>
                <w:kern w:val="0"/>
                <w:sz w:val="24"/>
              </w:rPr>
              <w:t>〕</w:t>
            </w:r>
            <w:r>
              <w:rPr>
                <w:rFonts w:ascii="宋体" w:hAnsi="宋体" w:cs="宋体" w:hint="eastAsia"/>
                <w:color w:val="000000" w:themeColor="text1"/>
                <w:spacing w:val="-11"/>
                <w:kern w:val="0"/>
                <w:sz w:val="24"/>
              </w:rPr>
              <w:t>262号</w:t>
            </w:r>
          </w:p>
        </w:tc>
      </w:tr>
      <w:tr w:rsidR="004546F0">
        <w:trPr>
          <w:trHeight w:val="454"/>
          <w:jc w:val="center"/>
        </w:trPr>
        <w:tc>
          <w:tcPr>
            <w:tcW w:w="1325" w:type="dxa"/>
            <w:tcBorders>
              <w:tl2br w:val="nil"/>
              <w:tr2bl w:val="nil"/>
            </w:tcBorders>
            <w:shd w:val="clear" w:color="auto" w:fill="auto"/>
            <w:noWrap/>
            <w:vAlign w:val="center"/>
          </w:tcPr>
          <w:p w:rsidR="004546F0" w:rsidRDefault="00F94D6C">
            <w:pPr>
              <w:widowControl/>
              <w:spacing w:line="260" w:lineRule="exact"/>
              <w:jc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第五批</w:t>
            </w:r>
          </w:p>
        </w:tc>
        <w:tc>
          <w:tcPr>
            <w:tcW w:w="128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11月10日</w:t>
            </w:r>
          </w:p>
        </w:tc>
        <w:tc>
          <w:tcPr>
            <w:tcW w:w="1668"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20</w:t>
            </w:r>
          </w:p>
        </w:tc>
        <w:tc>
          <w:tcPr>
            <w:tcW w:w="1261"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4.00%</w:t>
            </w:r>
          </w:p>
        </w:tc>
        <w:tc>
          <w:tcPr>
            <w:tcW w:w="846"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 xml:space="preserve">766 </w:t>
            </w:r>
          </w:p>
        </w:tc>
        <w:tc>
          <w:tcPr>
            <w:tcW w:w="2391"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r w:rsidR="004546F0">
        <w:trPr>
          <w:trHeight w:val="454"/>
          <w:jc w:val="center"/>
        </w:trPr>
        <w:tc>
          <w:tcPr>
            <w:tcW w:w="1325" w:type="dxa"/>
            <w:tcBorders>
              <w:tl2br w:val="nil"/>
              <w:tr2bl w:val="nil"/>
            </w:tcBorders>
            <w:shd w:val="clear" w:color="auto" w:fill="auto"/>
            <w:noWrap/>
            <w:vAlign w:val="center"/>
          </w:tcPr>
          <w:p w:rsidR="004546F0" w:rsidRDefault="00F94D6C">
            <w:pPr>
              <w:widowControl/>
              <w:spacing w:line="26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合  计</w:t>
            </w:r>
          </w:p>
        </w:tc>
        <w:tc>
          <w:tcPr>
            <w:tcW w:w="1281"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1668"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1261"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c>
          <w:tcPr>
            <w:tcW w:w="846" w:type="dxa"/>
            <w:tcBorders>
              <w:tl2br w:val="nil"/>
              <w:tr2bl w:val="nil"/>
            </w:tcBorders>
            <w:shd w:val="clear" w:color="auto" w:fill="auto"/>
            <w:noWrap/>
            <w:vAlign w:val="center"/>
          </w:tcPr>
          <w:p w:rsidR="004546F0" w:rsidRDefault="00F94D6C">
            <w:pPr>
              <w:widowControl/>
              <w:spacing w:line="260" w:lineRule="exact"/>
              <w:jc w:val="right"/>
              <w:rPr>
                <w:rFonts w:ascii="宋体" w:hAnsi="宋体" w:cs="宋体"/>
                <w:color w:val="000000" w:themeColor="text1"/>
                <w:kern w:val="0"/>
                <w:sz w:val="24"/>
              </w:rPr>
            </w:pPr>
            <w:r>
              <w:rPr>
                <w:rFonts w:ascii="宋体" w:hAnsi="宋体" w:cs="宋体" w:hint="eastAsia"/>
                <w:color w:val="000000" w:themeColor="text1"/>
                <w:kern w:val="0"/>
                <w:sz w:val="24"/>
              </w:rPr>
              <w:t xml:space="preserve">9,460 </w:t>
            </w:r>
          </w:p>
        </w:tc>
        <w:tc>
          <w:tcPr>
            <w:tcW w:w="2391" w:type="dxa"/>
            <w:tcBorders>
              <w:tl2br w:val="nil"/>
              <w:tr2bl w:val="nil"/>
            </w:tcBorders>
            <w:shd w:val="clear" w:color="auto" w:fill="auto"/>
            <w:noWrap/>
            <w:vAlign w:val="center"/>
          </w:tcPr>
          <w:p w:rsidR="004546F0" w:rsidRDefault="00F94D6C">
            <w:pPr>
              <w:widowControl/>
              <w:spacing w:line="260" w:lineRule="exact"/>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w:t>
            </w:r>
          </w:p>
        </w:tc>
      </w:tr>
    </w:tbl>
    <w:p w:rsidR="004546F0" w:rsidRDefault="00F94D6C" w:rsidP="002C6218">
      <w:pPr>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再融资债全部用于偿还到期债券本金，资金不下拨，由省财政厅直接偿还，根据2019年底我区的申报，还有一批再融资债券发行，用于偿还我区2020年到期债务。</w:t>
      </w:r>
    </w:p>
    <w:sectPr w:rsidR="004546F0" w:rsidSect="00A8264D">
      <w:footerReference w:type="default" r:id="rId8"/>
      <w:pgSz w:w="11906" w:h="16838" w:code="9"/>
      <w:pgMar w:top="2098" w:right="1474" w:bottom="1985" w:left="1588" w:header="851" w:footer="1701"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53F" w:rsidRDefault="00A4353F" w:rsidP="004546F0">
      <w:r>
        <w:separator/>
      </w:r>
    </w:p>
  </w:endnote>
  <w:endnote w:type="continuationSeparator" w:id="0">
    <w:p w:rsidR="00A4353F" w:rsidRDefault="00A4353F" w:rsidP="004546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F0" w:rsidRDefault="00E52253">
    <w:pPr>
      <w:pStyle w:val="a3"/>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sdt>
                <w:sdtPr>
                  <w:rPr>
                    <w:sz w:val="24"/>
                    <w:szCs w:val="24"/>
                  </w:rPr>
                  <w:id w:val="7167610"/>
                </w:sdtPr>
                <w:sdtContent>
                  <w:p w:rsidR="004546F0" w:rsidRDefault="00E52253">
                    <w:pPr>
                      <w:pStyle w:val="a3"/>
                      <w:jc w:val="center"/>
                      <w:rPr>
                        <w:sz w:val="24"/>
                        <w:szCs w:val="24"/>
                      </w:rPr>
                    </w:pPr>
                    <w:r w:rsidRPr="00E52253">
                      <w:rPr>
                        <w:sz w:val="24"/>
                        <w:szCs w:val="24"/>
                      </w:rPr>
                      <w:fldChar w:fldCharType="begin"/>
                    </w:r>
                    <w:r w:rsidR="00F94D6C">
                      <w:rPr>
                        <w:sz w:val="24"/>
                        <w:szCs w:val="24"/>
                      </w:rPr>
                      <w:instrText xml:space="preserve"> PAGE   \* MERGEFORMAT </w:instrText>
                    </w:r>
                    <w:r w:rsidRPr="00E52253">
                      <w:rPr>
                        <w:sz w:val="24"/>
                        <w:szCs w:val="24"/>
                      </w:rPr>
                      <w:fldChar w:fldCharType="separate"/>
                    </w:r>
                    <w:r w:rsidR="002138CA" w:rsidRPr="002138CA">
                      <w:rPr>
                        <w:noProof/>
                        <w:sz w:val="24"/>
                        <w:szCs w:val="24"/>
                        <w:lang w:val="zh-CN"/>
                      </w:rPr>
                      <w:t>-</w:t>
                    </w:r>
                    <w:r w:rsidR="002138CA">
                      <w:rPr>
                        <w:noProof/>
                        <w:sz w:val="24"/>
                        <w:szCs w:val="24"/>
                      </w:rPr>
                      <w:t xml:space="preserve"> 10 -</w:t>
                    </w:r>
                    <w:r>
                      <w:rPr>
                        <w:sz w:val="24"/>
                        <w:szCs w:val="24"/>
                        <w:lang w:val="zh-CN"/>
                      </w:rPr>
                      <w:fldChar w:fldCharType="end"/>
                    </w:r>
                  </w:p>
                </w:sdtContent>
              </w:sdt>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53F" w:rsidRDefault="00A4353F" w:rsidP="004546F0">
      <w:r>
        <w:separator/>
      </w:r>
    </w:p>
  </w:footnote>
  <w:footnote w:type="continuationSeparator" w:id="0">
    <w:p w:rsidR="00A4353F" w:rsidRDefault="00A4353F" w:rsidP="004546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2069"/>
    <w:rsid w:val="00006173"/>
    <w:rsid w:val="00006308"/>
    <w:rsid w:val="00024BB2"/>
    <w:rsid w:val="00026B85"/>
    <w:rsid w:val="000342C1"/>
    <w:rsid w:val="000410C8"/>
    <w:rsid w:val="0005652E"/>
    <w:rsid w:val="00077F9E"/>
    <w:rsid w:val="000F1AE1"/>
    <w:rsid w:val="0011193F"/>
    <w:rsid w:val="001331B8"/>
    <w:rsid w:val="001560DF"/>
    <w:rsid w:val="0016298E"/>
    <w:rsid w:val="001758F6"/>
    <w:rsid w:val="00192DA5"/>
    <w:rsid w:val="001A7486"/>
    <w:rsid w:val="001B5719"/>
    <w:rsid w:val="001C22E0"/>
    <w:rsid w:val="00202DDF"/>
    <w:rsid w:val="002138CA"/>
    <w:rsid w:val="00233835"/>
    <w:rsid w:val="00237CB0"/>
    <w:rsid w:val="002469A7"/>
    <w:rsid w:val="00267F8A"/>
    <w:rsid w:val="00281136"/>
    <w:rsid w:val="00282D06"/>
    <w:rsid w:val="00284FC5"/>
    <w:rsid w:val="00294B5B"/>
    <w:rsid w:val="002A50AC"/>
    <w:rsid w:val="002A7D99"/>
    <w:rsid w:val="002B1FEB"/>
    <w:rsid w:val="002C371C"/>
    <w:rsid w:val="002C6218"/>
    <w:rsid w:val="00301942"/>
    <w:rsid w:val="003447C9"/>
    <w:rsid w:val="00355580"/>
    <w:rsid w:val="003C5DB6"/>
    <w:rsid w:val="003E78EC"/>
    <w:rsid w:val="004102B6"/>
    <w:rsid w:val="004546F0"/>
    <w:rsid w:val="00474B85"/>
    <w:rsid w:val="0048371D"/>
    <w:rsid w:val="004929CD"/>
    <w:rsid w:val="00495CF2"/>
    <w:rsid w:val="004968D2"/>
    <w:rsid w:val="004A52DA"/>
    <w:rsid w:val="004A7606"/>
    <w:rsid w:val="004B6278"/>
    <w:rsid w:val="004D6952"/>
    <w:rsid w:val="0050628B"/>
    <w:rsid w:val="00512491"/>
    <w:rsid w:val="00522553"/>
    <w:rsid w:val="005266DA"/>
    <w:rsid w:val="00537E1D"/>
    <w:rsid w:val="0056777C"/>
    <w:rsid w:val="0057119F"/>
    <w:rsid w:val="00587C32"/>
    <w:rsid w:val="005C5171"/>
    <w:rsid w:val="005E1DFA"/>
    <w:rsid w:val="005E7FDB"/>
    <w:rsid w:val="005F3AFA"/>
    <w:rsid w:val="005F4CF7"/>
    <w:rsid w:val="006032FB"/>
    <w:rsid w:val="00621169"/>
    <w:rsid w:val="00623D3C"/>
    <w:rsid w:val="00624326"/>
    <w:rsid w:val="00627222"/>
    <w:rsid w:val="00634299"/>
    <w:rsid w:val="00653890"/>
    <w:rsid w:val="00670010"/>
    <w:rsid w:val="00681D48"/>
    <w:rsid w:val="006A2B87"/>
    <w:rsid w:val="006B534C"/>
    <w:rsid w:val="006D2B38"/>
    <w:rsid w:val="006E5022"/>
    <w:rsid w:val="006F0732"/>
    <w:rsid w:val="006F615B"/>
    <w:rsid w:val="0070727D"/>
    <w:rsid w:val="00723B30"/>
    <w:rsid w:val="00734183"/>
    <w:rsid w:val="007713BA"/>
    <w:rsid w:val="00777947"/>
    <w:rsid w:val="007917AD"/>
    <w:rsid w:val="007A2457"/>
    <w:rsid w:val="007A6620"/>
    <w:rsid w:val="007A7FF0"/>
    <w:rsid w:val="007B11D2"/>
    <w:rsid w:val="007B5727"/>
    <w:rsid w:val="007D0791"/>
    <w:rsid w:val="007E5D19"/>
    <w:rsid w:val="008316B8"/>
    <w:rsid w:val="00857FFE"/>
    <w:rsid w:val="0086483E"/>
    <w:rsid w:val="00864F44"/>
    <w:rsid w:val="00866D23"/>
    <w:rsid w:val="008869A1"/>
    <w:rsid w:val="008C13BD"/>
    <w:rsid w:val="008D038E"/>
    <w:rsid w:val="008D2069"/>
    <w:rsid w:val="008D49C9"/>
    <w:rsid w:val="0095022C"/>
    <w:rsid w:val="009636E0"/>
    <w:rsid w:val="00985DCD"/>
    <w:rsid w:val="009A6361"/>
    <w:rsid w:val="009D54B3"/>
    <w:rsid w:val="009D68A5"/>
    <w:rsid w:val="009F6492"/>
    <w:rsid w:val="00A02EC7"/>
    <w:rsid w:val="00A35486"/>
    <w:rsid w:val="00A4071C"/>
    <w:rsid w:val="00A4353F"/>
    <w:rsid w:val="00A56F5E"/>
    <w:rsid w:val="00A72E69"/>
    <w:rsid w:val="00A7301B"/>
    <w:rsid w:val="00A8264D"/>
    <w:rsid w:val="00A85EEA"/>
    <w:rsid w:val="00AC74F9"/>
    <w:rsid w:val="00AD5D21"/>
    <w:rsid w:val="00AD6BBF"/>
    <w:rsid w:val="00AF616E"/>
    <w:rsid w:val="00B14225"/>
    <w:rsid w:val="00B1712D"/>
    <w:rsid w:val="00B4355D"/>
    <w:rsid w:val="00B76B04"/>
    <w:rsid w:val="00B93ABA"/>
    <w:rsid w:val="00B95E68"/>
    <w:rsid w:val="00BC26F0"/>
    <w:rsid w:val="00BC788E"/>
    <w:rsid w:val="00BE1D7F"/>
    <w:rsid w:val="00BF0407"/>
    <w:rsid w:val="00C04F0B"/>
    <w:rsid w:val="00C12E1C"/>
    <w:rsid w:val="00C276F3"/>
    <w:rsid w:val="00C86156"/>
    <w:rsid w:val="00CC010A"/>
    <w:rsid w:val="00CD3868"/>
    <w:rsid w:val="00CE3F22"/>
    <w:rsid w:val="00D011B6"/>
    <w:rsid w:val="00D100C3"/>
    <w:rsid w:val="00D20DB9"/>
    <w:rsid w:val="00D308DD"/>
    <w:rsid w:val="00D34111"/>
    <w:rsid w:val="00D35DAD"/>
    <w:rsid w:val="00D54396"/>
    <w:rsid w:val="00D7265A"/>
    <w:rsid w:val="00D76D71"/>
    <w:rsid w:val="00D772B3"/>
    <w:rsid w:val="00D80562"/>
    <w:rsid w:val="00D8129C"/>
    <w:rsid w:val="00DA53C0"/>
    <w:rsid w:val="00DB3753"/>
    <w:rsid w:val="00DF3AD3"/>
    <w:rsid w:val="00DF42CE"/>
    <w:rsid w:val="00E14F6E"/>
    <w:rsid w:val="00E25246"/>
    <w:rsid w:val="00E33637"/>
    <w:rsid w:val="00E52253"/>
    <w:rsid w:val="00E7219F"/>
    <w:rsid w:val="00E812B5"/>
    <w:rsid w:val="00E85D0C"/>
    <w:rsid w:val="00E972A4"/>
    <w:rsid w:val="00E97B66"/>
    <w:rsid w:val="00EA4276"/>
    <w:rsid w:val="00EA47E2"/>
    <w:rsid w:val="00EA7B47"/>
    <w:rsid w:val="00EA7BFC"/>
    <w:rsid w:val="00EB27FE"/>
    <w:rsid w:val="00EF3F62"/>
    <w:rsid w:val="00F11B20"/>
    <w:rsid w:val="00F17151"/>
    <w:rsid w:val="00F27FC8"/>
    <w:rsid w:val="00F5624F"/>
    <w:rsid w:val="00F82E4E"/>
    <w:rsid w:val="00F85F8D"/>
    <w:rsid w:val="00F91C81"/>
    <w:rsid w:val="00F94D6C"/>
    <w:rsid w:val="00FB4EA0"/>
    <w:rsid w:val="00FE2D28"/>
    <w:rsid w:val="00FE38E9"/>
    <w:rsid w:val="00FE63E5"/>
    <w:rsid w:val="1A5E484C"/>
    <w:rsid w:val="1D647DBC"/>
    <w:rsid w:val="2AB667DF"/>
    <w:rsid w:val="53050E8A"/>
    <w:rsid w:val="61765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F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546F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546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546F0"/>
    <w:rPr>
      <w:rFonts w:ascii="Times New Roman" w:eastAsia="宋体" w:hAnsi="Times New Roman" w:cs="Times New Roman"/>
      <w:sz w:val="18"/>
      <w:szCs w:val="18"/>
    </w:rPr>
  </w:style>
  <w:style w:type="character" w:customStyle="1" w:styleId="Char">
    <w:name w:val="页脚 Char"/>
    <w:basedOn w:val="a0"/>
    <w:link w:val="a3"/>
    <w:uiPriority w:val="99"/>
    <w:qFormat/>
    <w:rsid w:val="004546F0"/>
    <w:rPr>
      <w:rFonts w:ascii="Times New Roman" w:eastAsia="宋体" w:hAnsi="Times New Roman" w:cs="Times New Roman"/>
      <w:sz w:val="18"/>
      <w:szCs w:val="18"/>
    </w:rPr>
  </w:style>
  <w:style w:type="paragraph" w:styleId="a5">
    <w:name w:val="List Paragraph"/>
    <w:basedOn w:val="a"/>
    <w:uiPriority w:val="34"/>
    <w:qFormat/>
    <w:rsid w:val="004546F0"/>
    <w:pPr>
      <w:ind w:firstLineChars="200" w:firstLine="420"/>
    </w:pPr>
  </w:style>
  <w:style w:type="paragraph" w:styleId="a6">
    <w:name w:val="Balloon Text"/>
    <w:basedOn w:val="a"/>
    <w:link w:val="Char1"/>
    <w:uiPriority w:val="99"/>
    <w:semiHidden/>
    <w:unhideWhenUsed/>
    <w:rsid w:val="00FE2D28"/>
    <w:rPr>
      <w:sz w:val="18"/>
      <w:szCs w:val="18"/>
    </w:rPr>
  </w:style>
  <w:style w:type="character" w:customStyle="1" w:styleId="Char1">
    <w:name w:val="批注框文本 Char"/>
    <w:basedOn w:val="a0"/>
    <w:link w:val="a6"/>
    <w:uiPriority w:val="99"/>
    <w:semiHidden/>
    <w:rsid w:val="00FE2D2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3158901">
      <w:bodyDiv w:val="1"/>
      <w:marLeft w:val="0"/>
      <w:marRight w:val="0"/>
      <w:marTop w:val="0"/>
      <w:marBottom w:val="0"/>
      <w:divBdr>
        <w:top w:val="none" w:sz="0" w:space="0" w:color="auto"/>
        <w:left w:val="none" w:sz="0" w:space="0" w:color="auto"/>
        <w:bottom w:val="none" w:sz="0" w:space="0" w:color="auto"/>
        <w:right w:val="none" w:sz="0" w:space="0" w:color="auto"/>
      </w:divBdr>
    </w:div>
    <w:div w:id="1906337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0B827-A2D1-4F99-B853-5C19F77F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2020-11-20T01:23:00Z</cp:lastPrinted>
  <dcterms:created xsi:type="dcterms:W3CDTF">2020-11-25T07:10:00Z</dcterms:created>
  <dcterms:modified xsi:type="dcterms:W3CDTF">2020-11-26T01:30:00Z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