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益阳市赫山区财政局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关于政府性债务工作的情况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基本情况</w:t>
      </w:r>
    </w:p>
    <w:p>
      <w:pPr>
        <w:spacing w:line="560" w:lineRule="exact"/>
        <w:ind w:firstLine="627" w:firstLineChars="196"/>
        <w:rPr>
          <w:rFonts w:ascii="黑体" w:hAnsi="黑体" w:eastAsia="黑体"/>
          <w:sz w:val="32"/>
          <w:szCs w:val="32"/>
        </w:rPr>
      </w:pPr>
      <w:r>
        <w:rPr>
          <w:rFonts w:ascii="楷体_GB2312" w:hAnsi="黑体" w:eastAsia="楷体_GB2312"/>
          <w:b/>
          <w:sz w:val="32"/>
          <w:szCs w:val="32"/>
        </w:rPr>
        <w:t>(</w:t>
      </w:r>
      <w:r>
        <w:rPr>
          <w:rFonts w:hint="eastAsia" w:ascii="楷体_GB2312" w:hAnsi="黑体" w:eastAsia="楷体_GB2312"/>
          <w:b/>
          <w:sz w:val="32"/>
          <w:szCs w:val="32"/>
        </w:rPr>
        <w:t>一</w:t>
      </w:r>
      <w:r>
        <w:rPr>
          <w:rFonts w:ascii="楷体_GB2312" w:hAnsi="黑体" w:eastAsia="楷体_GB2312"/>
          <w:b/>
          <w:sz w:val="32"/>
          <w:szCs w:val="32"/>
        </w:rPr>
        <w:t>)</w:t>
      </w:r>
      <w:r>
        <w:rPr>
          <w:rFonts w:hint="eastAsia" w:ascii="楷体_GB2312" w:hAnsi="黑体" w:eastAsia="楷体_GB2312"/>
          <w:b/>
          <w:sz w:val="32"/>
          <w:szCs w:val="32"/>
        </w:rPr>
        <w:t>政府性债务余额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　截至2020年末，我区纳入政府性债务管理系统的政府性债务余额为34.18亿元，其中一般债务16.38亿元（含存量债务0.09亿元）、专项债务17.80亿元。</w:t>
      </w:r>
    </w:p>
    <w:p>
      <w:pPr>
        <w:spacing w:line="560" w:lineRule="exact"/>
        <w:ind w:firstLine="627" w:firstLineChars="196"/>
        <w:rPr>
          <w:rFonts w:ascii="楷体_GB2312" w:hAnsi="黑体" w:eastAsia="楷体_GB2312"/>
          <w:b/>
          <w:sz w:val="32"/>
          <w:szCs w:val="32"/>
        </w:rPr>
      </w:pPr>
      <w:r>
        <w:rPr>
          <w:rFonts w:ascii="楷体_GB2312" w:hAnsi="黑体" w:eastAsia="楷体_GB2312"/>
          <w:b/>
          <w:sz w:val="32"/>
          <w:szCs w:val="32"/>
        </w:rPr>
        <w:t>(</w:t>
      </w:r>
      <w:r>
        <w:rPr>
          <w:rFonts w:hint="eastAsia" w:ascii="楷体_GB2312" w:hAnsi="黑体" w:eastAsia="楷体_GB2312"/>
          <w:b/>
          <w:sz w:val="32"/>
          <w:szCs w:val="32"/>
        </w:rPr>
        <w:t>二</w:t>
      </w:r>
      <w:r>
        <w:rPr>
          <w:rFonts w:ascii="楷体_GB2312" w:hAnsi="黑体" w:eastAsia="楷体_GB2312"/>
          <w:b/>
          <w:sz w:val="32"/>
          <w:szCs w:val="32"/>
        </w:rPr>
        <w:t>)</w:t>
      </w:r>
      <w:r>
        <w:rPr>
          <w:rFonts w:hint="eastAsia" w:ascii="楷体_GB2312" w:hAnsi="黑体" w:eastAsia="楷体_GB2312"/>
          <w:b/>
          <w:sz w:val="32"/>
          <w:szCs w:val="32"/>
        </w:rPr>
        <w:t>政府性债务风险预警情况分析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截至2020年末，我区政府性债务余额34.18亿元，目前我区政府债务管理制度健全，审批规范，监管得力，综合债务率处于绿色安全范围，无论从债务结构、偿还能力和制度建设来判断，还是从财政收入、项目运行、综合债务率来分析，我区政府性债务规模小、期限较长、利率较低、融资空间较大、风险可控。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5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二、管理措施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下阶段，我区将坚持依法依规，严格按照国家及省、市相关规定组织开展融资举债工作；坚持将融资举债计划纳入政府性债务管理，控制在风险可控范围内；同时借鉴省内外通行做法，优先考虑政府债券、</w:t>
      </w:r>
      <w:r>
        <w:rPr>
          <w:rFonts w:ascii="仿宋_GB2312" w:eastAsia="仿宋_GB2312"/>
          <w:sz w:val="32"/>
          <w:szCs w:val="32"/>
        </w:rPr>
        <w:t>PPP</w:t>
      </w:r>
      <w:r>
        <w:rPr>
          <w:rFonts w:hint="eastAsia" w:ascii="仿宋_GB2312" w:eastAsia="仿宋_GB2312"/>
          <w:sz w:val="32"/>
          <w:szCs w:val="32"/>
        </w:rPr>
        <w:t>模式等相关法律法规鼓励的融资模式。针对我区欠规范的举债行为，相关整改方案及融资工作基本思路如下：</w:t>
      </w:r>
    </w:p>
    <w:p>
      <w:pPr>
        <w:spacing w:line="560" w:lineRule="exact"/>
        <w:ind w:firstLine="787" w:firstLineChars="246"/>
        <w:rPr>
          <w:rFonts w:ascii="楷体_GB2312" w:hAnsi="黑体" w:eastAsia="楷体_GB2312"/>
          <w:b/>
          <w:sz w:val="32"/>
          <w:szCs w:val="32"/>
        </w:rPr>
      </w:pPr>
      <w:r>
        <w:rPr>
          <w:rFonts w:ascii="楷体_GB2312" w:hAnsi="黑体" w:eastAsia="楷体_GB2312"/>
          <w:b/>
          <w:sz w:val="32"/>
          <w:szCs w:val="32"/>
        </w:rPr>
        <w:t>(</w:t>
      </w:r>
      <w:r>
        <w:rPr>
          <w:rFonts w:hint="eastAsia" w:ascii="楷体_GB2312" w:hAnsi="黑体" w:eastAsia="楷体_GB2312"/>
          <w:b/>
          <w:sz w:val="32"/>
          <w:szCs w:val="32"/>
        </w:rPr>
        <w:t>一</w:t>
      </w:r>
      <w:r>
        <w:rPr>
          <w:rFonts w:ascii="楷体_GB2312" w:hAnsi="黑体" w:eastAsia="楷体_GB2312"/>
          <w:b/>
          <w:sz w:val="32"/>
          <w:szCs w:val="32"/>
        </w:rPr>
        <w:t>)</w:t>
      </w:r>
      <w:r>
        <w:rPr>
          <w:rFonts w:hint="eastAsia" w:ascii="楷体_GB2312" w:hAnsi="黑体" w:eastAsia="楷体_GB2312"/>
          <w:b/>
          <w:sz w:val="32"/>
          <w:szCs w:val="32"/>
        </w:rPr>
        <w:t>加强规划和预算管理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将政府性债务纳入中长期财政规划管理和年度财政预算管理，严禁政府各工作部门和融资平台擅自举债，强化和保障区域资金链安全，防范系统性风险。按省财政厅债务预警的相关要求，严控债务规模。</w:t>
      </w:r>
    </w:p>
    <w:p>
      <w:pPr>
        <w:spacing w:line="560" w:lineRule="exact"/>
        <w:ind w:firstLine="627" w:firstLineChars="196"/>
        <w:rPr>
          <w:rFonts w:ascii="楷体_GB2312" w:hAnsi="黑体" w:eastAsia="楷体_GB2312"/>
          <w:b/>
          <w:sz w:val="32"/>
          <w:szCs w:val="32"/>
        </w:rPr>
      </w:pPr>
      <w:r>
        <w:rPr>
          <w:rFonts w:ascii="楷体_GB2312" w:hAnsi="黑体" w:eastAsia="楷体_GB2312"/>
          <w:b/>
          <w:sz w:val="32"/>
          <w:szCs w:val="32"/>
        </w:rPr>
        <w:t xml:space="preserve"> (</w:t>
      </w:r>
      <w:r>
        <w:rPr>
          <w:rFonts w:hint="eastAsia" w:ascii="楷体_GB2312" w:hAnsi="黑体" w:eastAsia="楷体_GB2312"/>
          <w:b/>
          <w:sz w:val="32"/>
          <w:szCs w:val="32"/>
        </w:rPr>
        <w:t>二</w:t>
      </w:r>
      <w:r>
        <w:rPr>
          <w:rFonts w:ascii="楷体_GB2312" w:hAnsi="黑体" w:eastAsia="楷体_GB2312"/>
          <w:b/>
          <w:sz w:val="32"/>
          <w:szCs w:val="32"/>
        </w:rPr>
        <w:t>)</w:t>
      </w:r>
      <w:r>
        <w:rPr>
          <w:rFonts w:hint="eastAsia" w:ascii="楷体_GB2312" w:hAnsi="黑体" w:eastAsia="楷体_GB2312"/>
          <w:b/>
          <w:sz w:val="32"/>
          <w:szCs w:val="32"/>
        </w:rPr>
        <w:t>规范审批决策程序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进一步规范政府平台公司举债融资和融资项目的审批决策程序，所有政府性债务和融资项目先经区政府常务会议集体研究，再报请区人大常委会审议，坚决制止和杜绝融资平台和政府部门单位擅自违规举债。</w:t>
      </w:r>
    </w:p>
    <w:p>
      <w:pPr>
        <w:spacing w:line="560" w:lineRule="exact"/>
        <w:ind w:firstLine="787" w:firstLineChars="246"/>
        <w:rPr>
          <w:rFonts w:ascii="楷体_GB2312" w:hAnsi="黑体" w:eastAsia="楷体_GB2312"/>
          <w:b/>
          <w:sz w:val="32"/>
          <w:szCs w:val="32"/>
        </w:rPr>
      </w:pPr>
      <w:r>
        <w:rPr>
          <w:rFonts w:ascii="楷体_GB2312" w:hAnsi="黑体" w:eastAsia="楷体_GB2312"/>
          <w:b/>
          <w:sz w:val="32"/>
          <w:szCs w:val="32"/>
        </w:rPr>
        <w:t>(</w:t>
      </w:r>
      <w:r>
        <w:rPr>
          <w:rFonts w:hint="eastAsia" w:ascii="楷体_GB2312" w:hAnsi="黑体" w:eastAsia="楷体_GB2312"/>
          <w:b/>
          <w:sz w:val="32"/>
          <w:szCs w:val="32"/>
        </w:rPr>
        <w:t>三</w:t>
      </w:r>
      <w:r>
        <w:rPr>
          <w:rFonts w:ascii="楷体_GB2312" w:hAnsi="黑体" w:eastAsia="楷体_GB2312"/>
          <w:b/>
          <w:sz w:val="32"/>
          <w:szCs w:val="32"/>
        </w:rPr>
        <w:t>)</w:t>
      </w:r>
      <w:r>
        <w:rPr>
          <w:rFonts w:hint="eastAsia" w:ascii="楷体_GB2312" w:hAnsi="黑体" w:eastAsia="楷体_GB2312"/>
          <w:b/>
          <w:sz w:val="32"/>
          <w:szCs w:val="32"/>
        </w:rPr>
        <w:t>规范融资资金使用管理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资金必须用于政府计划规定的建设项目和建设内容，不得挤占和挪用；必须厉行节约，防止损失浪费。对融资资金实行单独核算，专款专用，不得截留、挪用、挤占贷款资金。</w:t>
      </w:r>
    </w:p>
    <w:p>
      <w:pPr>
        <w:spacing w:line="560" w:lineRule="exact"/>
        <w:ind w:firstLine="787" w:firstLineChars="246"/>
        <w:rPr>
          <w:rFonts w:ascii="楷体_GB2312" w:hAnsi="黑体" w:eastAsia="楷体_GB2312"/>
          <w:b/>
          <w:sz w:val="32"/>
          <w:szCs w:val="32"/>
        </w:rPr>
      </w:pPr>
      <w:r>
        <w:rPr>
          <w:rFonts w:ascii="楷体_GB2312" w:hAnsi="黑体" w:eastAsia="楷体_GB2312"/>
          <w:b/>
          <w:sz w:val="32"/>
          <w:szCs w:val="32"/>
        </w:rPr>
        <w:t>(</w:t>
      </w:r>
      <w:r>
        <w:rPr>
          <w:rFonts w:hint="eastAsia" w:ascii="楷体_GB2312" w:hAnsi="黑体" w:eastAsia="楷体_GB2312"/>
          <w:b/>
          <w:sz w:val="32"/>
          <w:szCs w:val="32"/>
        </w:rPr>
        <w:t>四</w:t>
      </w:r>
      <w:r>
        <w:rPr>
          <w:rFonts w:ascii="楷体_GB2312" w:hAnsi="黑体" w:eastAsia="楷体_GB2312"/>
          <w:b/>
          <w:sz w:val="32"/>
          <w:szCs w:val="32"/>
        </w:rPr>
        <w:t>)</w:t>
      </w:r>
      <w:r>
        <w:rPr>
          <w:rFonts w:hint="eastAsia" w:ascii="楷体_GB2312" w:hAnsi="黑体" w:eastAsia="楷体_GB2312"/>
          <w:b/>
          <w:sz w:val="32"/>
          <w:szCs w:val="32"/>
        </w:rPr>
        <w:t>督促融资平台加强内部管理</w:t>
      </w:r>
    </w:p>
    <w:p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鼓励平台公司通过政府购买服务引进高端人才，加强队伍建设；督促平台公司按现代企业制度加强内部管理，逐步提高经营管理水平。重点做好土地经营、经营权出让等经营性收入，加强造血功能，逐步实现平台自求平衡，增强可持续融资能力。</w:t>
      </w:r>
    </w:p>
    <w:p>
      <w:pPr>
        <w:spacing w:line="560" w:lineRule="exact"/>
        <w:ind w:firstLine="627" w:firstLineChars="196"/>
        <w:rPr>
          <w:rFonts w:ascii="楷体_GB2312" w:hAnsi="黑体" w:eastAsia="楷体_GB2312"/>
          <w:b/>
          <w:sz w:val="32"/>
          <w:szCs w:val="32"/>
        </w:rPr>
      </w:pPr>
      <w:r>
        <w:rPr>
          <w:rFonts w:ascii="楷体_GB2312" w:hAnsi="黑体" w:eastAsia="楷体_GB2312"/>
          <w:b/>
          <w:sz w:val="32"/>
          <w:szCs w:val="32"/>
        </w:rPr>
        <w:t>(</w:t>
      </w:r>
      <w:r>
        <w:rPr>
          <w:rFonts w:hint="eastAsia" w:ascii="楷体_GB2312" w:hAnsi="黑体" w:eastAsia="楷体_GB2312"/>
          <w:b/>
          <w:sz w:val="32"/>
          <w:szCs w:val="32"/>
        </w:rPr>
        <w:t>五</w:t>
      </w:r>
      <w:r>
        <w:rPr>
          <w:rFonts w:ascii="楷体_GB2312" w:hAnsi="黑体" w:eastAsia="楷体_GB2312"/>
          <w:b/>
          <w:sz w:val="32"/>
          <w:szCs w:val="32"/>
        </w:rPr>
        <w:t>)</w:t>
      </w:r>
      <w:r>
        <w:rPr>
          <w:rFonts w:hint="eastAsia" w:ascii="楷体_GB2312" w:hAnsi="黑体" w:eastAsia="楷体_GB2312"/>
          <w:b/>
          <w:sz w:val="32"/>
          <w:szCs w:val="32"/>
        </w:rPr>
        <w:t>强化部门监督管理职责</w:t>
      </w:r>
    </w:p>
    <w:p>
      <w:pPr>
        <w:spacing w:line="560" w:lineRule="exact"/>
        <w:ind w:firstLine="645"/>
        <w:rPr>
          <w:rFonts w:hint="eastAsia" w:ascii="宋体" w:eastAsia="仿宋_GB2312"/>
          <w:sz w:val="20"/>
          <w:szCs w:val="20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区财政局作为政府性债务管理部门，对政府性债务申报审核、规模批复负责，建立全区政府性债务动态监控和预警系统；督促、协调融资平台建立偿债风险资金专户，督促和指导平台筹集和管理偿债风险资金；落实财政对平台公司的返还奖励，支持平台公司做大做强。区审计局应加强对政府性债务的跟踪审计，严控各部门单位擅自举借债务，确保不虚增债务。区国资局对信贷资金的使用情况进行检查、监督、管理，督促各融资平台加强资金内控管理，规范融资资金筹措和使用。区金融办对全区的融资资金运行情况建立动态监控和预警系统，定期向区政府报送融资资金情况和风险分析报告，及时掌握融资资金运行情况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bookmarkStart w:id="0" w:name="_GoBack"/>
      <w:bookmarkEnd w:id="0"/>
    </w:p>
    <w:sectPr>
      <w:footerReference r:id="rId3" w:type="default"/>
      <w:pgSz w:w="16838" w:h="11906" w:orient="landscape"/>
      <w:pgMar w:top="1531" w:right="2098" w:bottom="1531" w:left="1985" w:header="851" w:footer="1701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C2A26"/>
    <w:multiLevelType w:val="singleLevel"/>
    <w:tmpl w:val="590C2A26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hideSpellingErrors/>
  <w:hideGrammaticalError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910EAB"/>
    <w:rsid w:val="000965EB"/>
    <w:rsid w:val="00116369"/>
    <w:rsid w:val="00152B99"/>
    <w:rsid w:val="00240FF2"/>
    <w:rsid w:val="00270C49"/>
    <w:rsid w:val="002C09D9"/>
    <w:rsid w:val="00481785"/>
    <w:rsid w:val="004A2099"/>
    <w:rsid w:val="005020E5"/>
    <w:rsid w:val="00563719"/>
    <w:rsid w:val="005718BC"/>
    <w:rsid w:val="00573C1D"/>
    <w:rsid w:val="005C5400"/>
    <w:rsid w:val="00666DB5"/>
    <w:rsid w:val="006F3C73"/>
    <w:rsid w:val="007028BB"/>
    <w:rsid w:val="007815CC"/>
    <w:rsid w:val="00790B71"/>
    <w:rsid w:val="007D2F9E"/>
    <w:rsid w:val="007F5AC4"/>
    <w:rsid w:val="0083322F"/>
    <w:rsid w:val="008501E3"/>
    <w:rsid w:val="008A18FF"/>
    <w:rsid w:val="008D5A05"/>
    <w:rsid w:val="00910EAB"/>
    <w:rsid w:val="00966E3F"/>
    <w:rsid w:val="00982824"/>
    <w:rsid w:val="009B1E8B"/>
    <w:rsid w:val="009B6586"/>
    <w:rsid w:val="009B74EF"/>
    <w:rsid w:val="00A215B8"/>
    <w:rsid w:val="00A810D6"/>
    <w:rsid w:val="00A953A2"/>
    <w:rsid w:val="00B77548"/>
    <w:rsid w:val="00BE6364"/>
    <w:rsid w:val="00C22DD0"/>
    <w:rsid w:val="00CA763A"/>
    <w:rsid w:val="00CD19FC"/>
    <w:rsid w:val="00D81277"/>
    <w:rsid w:val="00E84427"/>
    <w:rsid w:val="00EA75C1"/>
    <w:rsid w:val="00F83F8C"/>
    <w:rsid w:val="00F85F75"/>
    <w:rsid w:val="00FE7397"/>
    <w:rsid w:val="00FF2E72"/>
    <w:rsid w:val="06891063"/>
    <w:rsid w:val="0A986E84"/>
    <w:rsid w:val="145D6234"/>
    <w:rsid w:val="1F2C0342"/>
    <w:rsid w:val="2A3D467E"/>
    <w:rsid w:val="2B8A1417"/>
    <w:rsid w:val="2F4555AF"/>
    <w:rsid w:val="30AD3361"/>
    <w:rsid w:val="43742EE3"/>
    <w:rsid w:val="4482218A"/>
    <w:rsid w:val="4835735E"/>
    <w:rsid w:val="4EB94ABE"/>
    <w:rsid w:val="4FA92FE8"/>
    <w:rsid w:val="51AB7A74"/>
    <w:rsid w:val="54BD0B4F"/>
    <w:rsid w:val="57BF7EA2"/>
    <w:rsid w:val="597C4C08"/>
    <w:rsid w:val="5FA95E9B"/>
    <w:rsid w:val="66D341A5"/>
    <w:rsid w:val="69632B1A"/>
    <w:rsid w:val="6A944B69"/>
    <w:rsid w:val="6B5F448D"/>
    <w:rsid w:val="6E8218D8"/>
    <w:rsid w:val="72612A8A"/>
    <w:rsid w:val="7A321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qFormat/>
    <w:uiPriority w:val="99"/>
    <w:pPr>
      <w:ind w:left="100" w:leftChars="2500"/>
    </w:p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spacing w:beforeAutospacing="1" w:afterAutospacing="1"/>
      <w:jc w:val="left"/>
    </w:pPr>
    <w:rPr>
      <w:kern w:val="0"/>
      <w:sz w:val="24"/>
    </w:rPr>
  </w:style>
  <w:style w:type="character" w:customStyle="1" w:styleId="8">
    <w:name w:val="日期 Char"/>
    <w:basedOn w:val="7"/>
    <w:link w:val="2"/>
    <w:locked/>
    <w:uiPriority w:val="99"/>
    <w:rPr>
      <w:rFonts w:cs="Times New Roman"/>
      <w:kern w:val="2"/>
      <w:sz w:val="24"/>
      <w:szCs w:val="24"/>
    </w:rPr>
  </w:style>
  <w:style w:type="character" w:customStyle="1" w:styleId="9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4</Pages>
  <Words>187</Words>
  <Characters>1071</Characters>
  <Lines>8</Lines>
  <Paragraphs>2</Paragraphs>
  <TotalTime>14</TotalTime>
  <ScaleCrop>false</ScaleCrop>
  <LinksUpToDate>false</LinksUpToDate>
  <CharactersWithSpaces>1256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2021-01-13T07:43:00Z</dcterms:created>
  <dc:creator>Administrator</dc:creator>
  <cp:lastModifiedBy>Administrator</cp:lastModifiedBy>
  <cp:lastPrinted>2019-01-18T00:45:00Z</cp:lastPrinted>
  <dcterms:modified xsi:type="dcterms:W3CDTF">2021-01-13T11:19:28Z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