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wordWrap/>
        <w:adjustRightInd/>
        <w:snapToGrid/>
        <w:spacing w:line="600" w:lineRule="exact"/>
        <w:ind w:right="0"/>
        <w:jc w:val="both"/>
        <w:textAlignment w:val="baseline"/>
        <w:outlineLvl w:val="9"/>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附件1</w:t>
      </w:r>
    </w:p>
    <w:p>
      <w:pPr>
        <w:widowControl w:val="0"/>
        <w:shd w:val="clear" w:color="auto" w:fill="FFFFFF"/>
        <w:wordWrap/>
        <w:adjustRightInd/>
        <w:snapToGrid/>
        <w:spacing w:before="157" w:beforeLines="50" w:after="157" w:afterLines="50" w:line="600" w:lineRule="exact"/>
        <w:ind w:left="1958" w:leftChars="304" w:right="0" w:hanging="1320" w:hangingChars="300"/>
        <w:jc w:val="center"/>
        <w:textAlignment w:val="baseline"/>
        <w:outlineLvl w:val="9"/>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赫山区下放村级部分政务服务事项权限目录（第三批）</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28" w:type="dxa"/>
          <w:bottom w:w="57" w:type="dxa"/>
          <w:right w:w="28" w:type="dxa"/>
        </w:tblCellMar>
      </w:tblPr>
      <w:tblGrid>
        <w:gridCol w:w="621"/>
        <w:gridCol w:w="1713"/>
        <w:gridCol w:w="3285"/>
        <w:gridCol w:w="4320"/>
        <w:gridCol w:w="2370"/>
        <w:gridCol w:w="14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630" w:hRule="atLeast"/>
          <w:tblHeader/>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sz w:val="24"/>
                <w:szCs w:val="24"/>
              </w:rPr>
              <w:t>序号</w:t>
            </w:r>
          </w:p>
        </w:tc>
        <w:tc>
          <w:tcPr>
            <w:tcW w:w="1713"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val="0"/>
                <w:color w:val="auto"/>
                <w:kern w:val="0"/>
                <w:sz w:val="24"/>
                <w:szCs w:val="24"/>
                <w:lang w:val="en-US" w:eastAsia="zh-CN"/>
              </w:rPr>
            </w:pPr>
            <w:r>
              <w:rPr>
                <w:rFonts w:hint="eastAsia" w:ascii="仿宋" w:hAnsi="仿宋" w:eastAsia="仿宋" w:cs="仿宋"/>
                <w:b/>
                <w:bCs w:val="0"/>
                <w:color w:val="auto"/>
                <w:kern w:val="0"/>
                <w:sz w:val="24"/>
                <w:szCs w:val="24"/>
                <w:lang w:val="en-US" w:eastAsia="zh-CN"/>
              </w:rPr>
              <w:t>赋权部门</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sz w:val="24"/>
                <w:szCs w:val="24"/>
              </w:rPr>
              <w:t>赋权事项</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实施依据</w:t>
            </w:r>
          </w:p>
        </w:tc>
        <w:tc>
          <w:tcPr>
            <w:tcW w:w="237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赋权方式</w:t>
            </w:r>
          </w:p>
        </w:tc>
        <w:tc>
          <w:tcPr>
            <w:tcW w:w="1443"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2004"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13"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区卫健局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农村部分计划生育家庭奖励扶助对象确认</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1.《湖南省人口与计划生育条例》 2.《湖南省农村部分计划生育家庭奖励扶助对象确认条件的政策性解释》 3.《湖南省人口计生委湖南省财政厅关于将符合规定的“半边户”农村居民一方纳入农村部分计划生育家庭奖励扶助制度的通知》</w:t>
            </w:r>
          </w:p>
        </w:tc>
        <w:tc>
          <w:tcPr>
            <w:tcW w:w="237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村级受理、乡镇（街道）初审并公示、区卫健局办结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42"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区医保局</w:t>
            </w:r>
          </w:p>
        </w:tc>
        <w:tc>
          <w:tcPr>
            <w:tcW w:w="328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城乡居民基本医疗保险参保信息变更登记</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《湖南省城乡居民基本医疗保险实施办法》</w:t>
            </w:r>
            <w:r>
              <w:rPr>
                <w:rFonts w:hint="eastAsia" w:ascii="仿宋" w:hAnsi="仿宋" w:eastAsia="仿宋" w:cs="仿宋"/>
                <w:i w:val="0"/>
                <w:caps w:val="0"/>
                <w:color w:val="auto"/>
                <w:spacing w:val="0"/>
                <w:sz w:val="24"/>
                <w:szCs w:val="24"/>
                <w:shd w:val="clear" w:color="auto" w:fill="FFFFFF"/>
                <w:lang w:val="en-US" w:eastAsia="zh-CN"/>
              </w:rPr>
              <w:t>第五条</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村级受理、区医保局办结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2347" w:hRule="exac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区残联</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bidi="ar"/>
              </w:rPr>
              <w:t>残疾人大学生、高中生及贫困残疾人家庭子女大学生、高中生资助</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1.《关于印发 &lt;湖南省残疾人大学生及贫困残疾人家庭大学生子女资助管理办法&gt;的通知》 2.《关于调整&lt;残疾人大学生及贫困残疾人家庭大学生子女资助办法&gt;的通知》 3.《关于印发&lt;湖南省高中阶段残疾学生和高中阶段贫困残疾人家庭子女资助管理办法&gt;的通知》</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村级受理、区残联办结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986"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p>
          <w:p>
            <w:pPr>
              <w:pStyle w:val="6"/>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-422275</wp:posOffset>
                      </wp:positionH>
                      <wp:positionV relativeFrom="paragraph">
                        <wp:posOffset>-26670</wp:posOffset>
                      </wp:positionV>
                      <wp:extent cx="535305" cy="666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5305" cy="666115"/>
                              </a:xfrm>
                              <a:prstGeom prst="rect">
                                <a:avLst/>
                              </a:prstGeom>
                              <a:noFill/>
                              <a:ln>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- 3 -</w:t>
                                  </w:r>
                                </w:p>
                              </w:txbxContent>
                            </wps:txbx>
                            <wps:bodyPr vert="eaVert" lIns="91439" tIns="45719" rIns="91439" bIns="45719" upright="1"/>
                          </wps:wsp>
                        </a:graphicData>
                      </a:graphic>
                    </wp:anchor>
                  </w:drawing>
                </mc:Choice>
                <mc:Fallback>
                  <w:pict>
                    <v:shape id="_x0000_s1026" o:spid="_x0000_s1026" o:spt="202" type="#_x0000_t202" style="position:absolute;left:0pt;margin-left:-33.25pt;margin-top:-2.1pt;height:52.45pt;width:42.15pt;z-index:251660288;mso-width-relative:page;mso-height-relative:page;" fillcolor="#FFFFFF" filled="f" stroked="f" coordsize="21600,21600" o:gfxdata="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BGCZNkAAAAJAQAADwAAAAAAAAABACAAAAAiAAAA&#10;ZHJzL2Rvd25yZXYueG1sUEsBAhQAFAAAAAgAh07iQAmoDerNAQAAjwMAAA4AAAAAAAAAAQAgAAAA&#10;KAEAAGRycy9lMm9Eb2MueG1sUEsFBgAAAAAGAAYAWQEAAGcFAAAAAA==&#10;">
                      <v:path/>
                      <v:fill on="f" color2="#FFFFFF" o:opacity2="65536f" focussize="0,0"/>
                      <v:stroke on="f"/>
                      <v:imagedata o:title=""/>
                      <o:lock v:ext="edit" grouping="f" rotation="f" text="f" aspectratio="f"/>
                      <v:textbox inset="7.19992125984252pt,3.59992125984252pt,7.19992125984252pt,3.59992125984252pt"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- 3 -</w:t>
                            </w:r>
                          </w:p>
                        </w:txbxContent>
                      </v:textbox>
                    </v:shape>
                  </w:pict>
                </mc:Fallback>
              </mc:AlternateContent>
            </w:r>
            <w:r>
              <w:rPr>
                <w:rFonts w:hint="eastAsia" w:ascii="仿宋" w:hAnsi="仿宋" w:eastAsia="仿宋" w:cs="仿宋"/>
                <w:color w:val="auto"/>
                <w:sz w:val="24"/>
                <w:szCs w:val="24"/>
                <w:lang w:val="en-US" w:eastAsia="zh-CN"/>
              </w:rPr>
              <w:t>4</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区住建局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农村危房改造补助资金发放</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《湖南省2017年农村危房改造实施方案》</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村级受理、区住建局办结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35"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200" w:lineRule="exact"/>
              <w:ind w:left="0" w:leftChars="0" w:right="0" w:rightChars="0" w:firstLine="0" w:firstLineChars="0"/>
              <w:jc w:val="center"/>
              <w:textAlignment w:val="center"/>
              <w:outlineLvl w:val="9"/>
              <w:rPr>
                <w:rFonts w:hint="eastAsia" w:ascii="仿宋" w:hAnsi="仿宋" w:eastAsia="仿宋" w:cs="仿宋"/>
                <w:color w:val="auto"/>
                <w:sz w:val="24"/>
                <w:szCs w:val="24"/>
                <w:lang w:val="en-US" w:eastAsia="zh-CN"/>
              </w:rPr>
            </w:pPr>
          </w:p>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-447040</wp:posOffset>
                      </wp:positionH>
                      <wp:positionV relativeFrom="paragraph">
                        <wp:posOffset>-659130</wp:posOffset>
                      </wp:positionV>
                      <wp:extent cx="535305" cy="666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5305" cy="666115"/>
                              </a:xfrm>
                              <a:prstGeom prst="rect">
                                <a:avLst/>
                              </a:prstGeom>
                              <a:noFill/>
                              <a:ln>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 xml:space="preserve"> -</w:t>
                                  </w:r>
                                </w:p>
                              </w:txbxContent>
                            </wps:txbx>
                            <wps:bodyPr vert="eaVert" lIns="91439" tIns="45719" rIns="91439" bIns="45719" upright="1"/>
                          </wps:wsp>
                        </a:graphicData>
                      </a:graphic>
                    </wp:anchor>
                  </w:drawing>
                </mc:Choice>
                <mc:Fallback>
                  <w:pict>
                    <v:shape id="_x0000_s1026" o:spid="_x0000_s1026" o:spt="202" type="#_x0000_t202" style="position:absolute;left:0pt;margin-left:-35.2pt;margin-top:-51.9pt;height:52.45pt;width:42.15pt;z-index:251661312;mso-width-relative:page;mso-height-relative:page;" fillcolor="#FFFFFF" filled="f" stroked="f" coordsize="21600,21600" o:gfxdata="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gCitkAAAAJAQAADwAAAAAAAAABACAAAAAiAAAA&#10;ZHJzL2Rvd25yZXYueG1sUEsBAhQAFAAAAAgAh07iQIwwYuvNAQAAjwMAAA4AAAAAAAAAAQAgAAAA&#10;KAEAAGRycy9lMm9Eb2MueG1sUEsFBgAAAAAGAAYAWQEAAGcFAAAAAA==&#10;">
                      <v:path/>
                      <v:fill on="f" color2="#FFFFFF" o:opacity2="65536f" focussize="0,0"/>
                      <v:stroke on="f"/>
                      <v:imagedata o:title=""/>
                      <o:lock v:ext="edit" grouping="f" rotation="f" text="f" aspectratio="f"/>
                      <v:textbox inset="7.19992125984252pt,3.59992125984252pt,7.19992125984252pt,3.59992125984252pt"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 w:hAnsi="仿宋" w:eastAsia="仿宋" w:cs="仿宋"/>
                <w:color w:val="auto"/>
                <w:sz w:val="24"/>
                <w:szCs w:val="24"/>
                <w:lang w:val="en-US" w:eastAsia="zh-CN"/>
              </w:rPr>
              <w:t>5</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区司法局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人民调解服务</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rPr>
              <w:t>《中华人民共和国人民调解法》</w:t>
            </w:r>
            <w:r>
              <w:rPr>
                <w:rFonts w:hint="eastAsia" w:ascii="仿宋" w:hAnsi="仿宋" w:eastAsia="仿宋" w:cs="仿宋"/>
                <w:i w:val="0"/>
                <w:caps w:val="0"/>
                <w:color w:val="auto"/>
                <w:spacing w:val="0"/>
                <w:sz w:val="24"/>
                <w:szCs w:val="24"/>
                <w:shd w:val="clear" w:color="auto" w:fill="FFFFFF"/>
                <w:lang w:val="en-US" w:eastAsia="zh-CN"/>
              </w:rPr>
              <w:t>第八条</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1094"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赫山公安分局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流动人口管理</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rPr>
              <w:t>《湖南省流动人口服务和管理规定》</w:t>
            </w:r>
            <w:r>
              <w:rPr>
                <w:rFonts w:hint="eastAsia" w:ascii="仿宋" w:hAnsi="仿宋" w:eastAsia="仿宋" w:cs="仿宋"/>
                <w:i w:val="0"/>
                <w:caps w:val="0"/>
                <w:color w:val="auto"/>
                <w:spacing w:val="0"/>
                <w:sz w:val="24"/>
                <w:szCs w:val="24"/>
                <w:shd w:val="clear" w:color="auto" w:fill="FFFFFF"/>
                <w:lang w:val="en-US" w:eastAsia="zh-CN"/>
              </w:rPr>
              <w:t>第二十二条</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村级受理、乡镇（街道）派出所办结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35"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赫山公安分局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居住证办理</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rPr>
              <w:t>《居住证暂行条例》 第二条</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村级受理、乡镇（街道）派出所办结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35"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区人社局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bidi="ar"/>
              </w:rPr>
              <w:t>养老保险待遇领取资格认证（取消集中认证）</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1.</w:t>
            </w:r>
            <w:r>
              <w:rPr>
                <w:rFonts w:hint="eastAsia" w:ascii="仿宋" w:hAnsi="仿宋" w:eastAsia="仿宋" w:cs="仿宋"/>
                <w:i w:val="0"/>
                <w:caps w:val="0"/>
                <w:color w:val="auto"/>
                <w:spacing w:val="0"/>
                <w:sz w:val="24"/>
                <w:szCs w:val="24"/>
                <w:shd w:val="clear" w:color="auto" w:fill="FFFFFF"/>
              </w:rPr>
              <w:t>《中华人民共和国社会保险法》</w:t>
            </w: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rPr>
              <w:t>人力资源社会保障部办公厅关于全面取消领取社会保险待遇资格集中认证的通知》</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村级受理、进行网上认证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35"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区林业局</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林木采伐许可证核发</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《中华人民共和国森林法》（1984年9月20日主席令第十七号，2009年8月27日予以修改）第三十二条</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村级受理、区林业局办结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35" w:hRule="atLeast"/>
          <w:jc w:val="center"/>
        </w:trPr>
        <w:tc>
          <w:tcPr>
            <w:tcW w:w="621"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71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区经管站</w:t>
            </w:r>
          </w:p>
        </w:tc>
        <w:tc>
          <w:tcPr>
            <w:tcW w:w="3285"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农村土地承包经营权证核发、备案登记</w:t>
            </w:r>
          </w:p>
        </w:tc>
        <w:tc>
          <w:tcPr>
            <w:tcW w:w="43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《中华人民共和国农村土地承包经营权证管理办法》（2003年11月14日农业部令第33号）</w:t>
            </w:r>
          </w:p>
        </w:tc>
        <w:tc>
          <w:tcPr>
            <w:tcW w:w="23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服务前移至村、社区</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村级受理、区经管站办结后村级发证</w:t>
            </w:r>
          </w:p>
        </w:tc>
      </w:tr>
    </w:tbl>
    <w:p>
      <w:pPr>
        <w:widowControl w:val="0"/>
        <w:shd w:val="clear" w:color="auto" w:fill="FFFFFF"/>
        <w:wordWrap/>
        <w:adjustRightInd/>
        <w:snapToGrid/>
        <w:spacing w:line="600" w:lineRule="exact"/>
        <w:ind w:right="0"/>
        <w:jc w:val="both"/>
        <w:textAlignment w:val="baseline"/>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br w:type="page"/>
      </w:r>
      <w:r>
        <w:rPr>
          <w:rFonts w:hint="eastAsia" w:ascii="黑体" w:hAnsi="黑体" w:eastAsia="黑体" w:cs="黑体"/>
          <w:color w:val="auto"/>
          <w:kern w:val="0"/>
          <w:sz w:val="32"/>
          <w:szCs w:val="32"/>
          <w:lang w:val="en-US" w:eastAsia="zh-CN"/>
        </w:rPr>
        <w:t>附件2</w:t>
      </w:r>
    </w:p>
    <w:p>
      <w:pPr>
        <w:widowControl w:val="0"/>
        <w:shd w:val="clear" w:color="auto" w:fill="FFFFFF"/>
        <w:wordWrap/>
        <w:adjustRightInd/>
        <w:snapToGrid/>
        <w:spacing w:before="157" w:beforeLines="50" w:after="157" w:afterLines="50" w:line="600" w:lineRule="exact"/>
        <w:ind w:left="1958" w:leftChars="304" w:right="0" w:hanging="1320" w:hangingChars="300"/>
        <w:jc w:val="center"/>
        <w:textAlignment w:val="baseline"/>
        <w:outlineLvl w:val="9"/>
        <w:rPr>
          <w:rFonts w:hint="eastAsia" w:ascii="黑体" w:hAnsi="黑体" w:eastAsia="黑体" w:cs="黑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赫山区村（社区）直接办理事项目录（第二批）</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28" w:type="dxa"/>
          <w:bottom w:w="57" w:type="dxa"/>
          <w:right w:w="28" w:type="dxa"/>
        </w:tblCellMar>
      </w:tblPr>
      <w:tblGrid>
        <w:gridCol w:w="903"/>
        <w:gridCol w:w="1725"/>
        <w:gridCol w:w="9910"/>
        <w:gridCol w:w="1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723" w:hRule="atLeast"/>
          <w:tblHeader/>
          <w:jc w:val="center"/>
        </w:trPr>
        <w:tc>
          <w:tcPr>
            <w:tcW w:w="903"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sz w:val="24"/>
                <w:szCs w:val="24"/>
              </w:rPr>
              <w:t>序号</w:t>
            </w:r>
          </w:p>
        </w:tc>
        <w:tc>
          <w:tcPr>
            <w:tcW w:w="1725"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kern w:val="0"/>
                <w:sz w:val="24"/>
                <w:szCs w:val="24"/>
                <w:lang w:val="en-US" w:eastAsia="zh-CN"/>
              </w:rPr>
            </w:pPr>
            <w:r>
              <w:rPr>
                <w:rFonts w:hint="eastAsia" w:ascii="仿宋" w:hAnsi="仿宋" w:eastAsia="仿宋" w:cs="仿宋"/>
                <w:b/>
                <w:bCs w:val="0"/>
                <w:color w:val="auto"/>
                <w:kern w:val="0"/>
                <w:sz w:val="24"/>
                <w:szCs w:val="24"/>
                <w:lang w:val="en-US" w:eastAsia="zh-CN"/>
              </w:rPr>
              <w:t>事项名称</w:t>
            </w:r>
          </w:p>
        </w:tc>
        <w:tc>
          <w:tcPr>
            <w:tcW w:w="991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实施依据</w:t>
            </w:r>
          </w:p>
        </w:tc>
        <w:tc>
          <w:tcPr>
            <w:tcW w:w="120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1112" w:hRule="atLeast"/>
          <w:jc w:val="center"/>
        </w:trPr>
        <w:tc>
          <w:tcPr>
            <w:tcW w:w="903" w:type="dxa"/>
            <w:tcBorders>
              <w:tl2br w:val="nil"/>
              <w:tr2bl w:val="nil"/>
            </w:tcBorders>
            <w:noWrap w:val="0"/>
            <w:vAlign w:val="center"/>
          </w:tcPr>
          <w:p>
            <w:pPr>
              <w:pStyle w:val="6"/>
              <w:autoSpaceDN w:val="0"/>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w:t>
            </w:r>
          </w:p>
        </w:tc>
        <w:tc>
          <w:tcPr>
            <w:tcW w:w="1725" w:type="dxa"/>
            <w:tcBorders>
              <w:tl2br w:val="nil"/>
              <w:tr2bl w:val="nil"/>
            </w:tcBorders>
            <w:noWrap w:val="0"/>
            <w:vAlign w:val="center"/>
          </w:tcPr>
          <w:p>
            <w:pPr>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分户证明</w:t>
            </w:r>
          </w:p>
        </w:tc>
        <w:tc>
          <w:tcPr>
            <w:tcW w:w="9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《湖南省常住户口登记管理办法实施细则》（湘公发</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2016</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18号）第二章 立户、分户第五条对无房产证的合法建造房屋，不能提供房产分割资料的，应提供村（居）委会证明。</w:t>
            </w:r>
          </w:p>
        </w:tc>
        <w:tc>
          <w:tcPr>
            <w:tcW w:w="120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2284" w:hRule="atLeast"/>
          <w:jc w:val="center"/>
        </w:trPr>
        <w:tc>
          <w:tcPr>
            <w:tcW w:w="903" w:type="dxa"/>
            <w:tcBorders>
              <w:tl2br w:val="nil"/>
              <w:tr2bl w:val="nil"/>
            </w:tcBorders>
            <w:noWrap w:val="0"/>
            <w:vAlign w:val="center"/>
          </w:tcPr>
          <w:p>
            <w:pPr>
              <w:pStyle w:val="6"/>
              <w:autoSpaceDN w:val="0"/>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w:t>
            </w:r>
          </w:p>
        </w:tc>
        <w:tc>
          <w:tcPr>
            <w:tcW w:w="1725" w:type="dxa"/>
            <w:tcBorders>
              <w:tl2br w:val="nil"/>
              <w:tr2bl w:val="nil"/>
            </w:tcBorders>
            <w:noWrap w:val="0"/>
            <w:vAlign w:val="center"/>
          </w:tcPr>
          <w:p>
            <w:pPr>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小额贷款证明</w:t>
            </w:r>
          </w:p>
        </w:tc>
        <w:tc>
          <w:tcPr>
            <w:tcW w:w="9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《湖南省促进就业小额担保贷款实施办法》（湘政办发</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2009</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34号）第三章 贷款推荐、审核及发放第七条贷款申请与推荐：凡申请小额担保贷款的个人，或由乡镇（街道）劳动保障服务站出具的返乡创业证明，向本人创业所在地的社区劳动保障服务中心或乡镇劳动保障服务站提出申请，并填写《促进就业小额担保贷款申请审批表》（一式两份），经街道（乡镇）劳动保障服务站初审后，向县级以上担保机构推荐。</w:t>
            </w:r>
          </w:p>
        </w:tc>
        <w:tc>
          <w:tcPr>
            <w:tcW w:w="120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2617" w:hRule="atLeast"/>
          <w:jc w:val="center"/>
        </w:trPr>
        <w:tc>
          <w:tcPr>
            <w:tcW w:w="903" w:type="dxa"/>
            <w:tcBorders>
              <w:tl2br w:val="nil"/>
              <w:tr2bl w:val="nil"/>
            </w:tcBorders>
            <w:noWrap w:val="0"/>
            <w:vAlign w:val="center"/>
          </w:tcPr>
          <w:p>
            <w:pPr>
              <w:pStyle w:val="6"/>
              <w:autoSpaceDN w:val="0"/>
              <w:jc w:val="center"/>
              <w:textAlignment w:val="center"/>
              <w:rPr>
                <w:rFonts w:hint="eastAsia" w:ascii="仿宋" w:hAnsi="仿宋" w:eastAsia="仿宋" w:cs="仿宋"/>
                <w:b w:val="0"/>
                <w:bCs/>
                <w:color w:val="auto"/>
                <w:sz w:val="24"/>
                <w:szCs w:val="24"/>
                <w:lang w:val="en-US" w:eastAsia="zh-CN"/>
              </w:rPr>
            </w:pPr>
          </w:p>
          <w:p>
            <w:pPr>
              <w:pStyle w:val="6"/>
              <w:autoSpaceDN w:val="0"/>
              <w:jc w:val="center"/>
              <w:textAlignment w:val="center"/>
              <w:rPr>
                <w:rFonts w:hint="eastAsia" w:ascii="仿宋" w:hAnsi="仿宋" w:eastAsia="仿宋" w:cs="仿宋"/>
                <w:b w:val="0"/>
                <w:bCs/>
                <w:color w:val="auto"/>
                <w:sz w:val="24"/>
                <w:szCs w:val="24"/>
                <w:lang w:val="en-US" w:eastAsia="zh-CN"/>
              </w:rPr>
            </w:pPr>
          </w:p>
          <w:p>
            <w:pPr>
              <w:pStyle w:val="6"/>
              <w:keepNext w:val="0"/>
              <w:keepLines w:val="0"/>
              <w:pageBreakBefore w:val="0"/>
              <w:widowControl w:val="0"/>
              <w:kinsoku/>
              <w:wordWrap/>
              <w:overflowPunct/>
              <w:topLinePunct w:val="0"/>
              <w:autoSpaceDE/>
              <w:autoSpaceDN w:val="0"/>
              <w:bidi w:val="0"/>
              <w:adjustRightInd/>
              <w:snapToGrid/>
              <w:spacing w:line="180" w:lineRule="exact"/>
              <w:ind w:left="0" w:leftChars="0" w:right="0" w:rightChars="0" w:firstLine="0" w:firstLineChars="0"/>
              <w:jc w:val="center"/>
              <w:textAlignment w:val="center"/>
              <w:outlineLvl w:val="9"/>
              <w:rPr>
                <w:rFonts w:hint="eastAsia" w:ascii="仿宋" w:hAnsi="仿宋" w:eastAsia="仿宋" w:cs="仿宋"/>
                <w:b w:val="0"/>
                <w:bCs/>
                <w:color w:val="auto"/>
                <w:sz w:val="24"/>
                <w:szCs w:val="24"/>
                <w:lang w:val="en-US" w:eastAsia="zh-CN"/>
              </w:rPr>
            </w:pPr>
          </w:p>
          <w:p>
            <w:pPr>
              <w:pStyle w:val="6"/>
              <w:autoSpaceDN w:val="0"/>
              <w:jc w:val="center"/>
              <w:textAlignment w:val="center"/>
              <w:rPr>
                <w:rFonts w:hint="eastAsia" w:ascii="仿宋" w:hAnsi="仿宋" w:eastAsia="仿宋" w:cs="仿宋"/>
                <w:b w:val="0"/>
                <w:bCs/>
                <w:color w:val="auto"/>
                <w:sz w:val="24"/>
                <w:szCs w:val="24"/>
                <w:lang w:val="en-US" w:eastAsia="zh-CN"/>
              </w:rPr>
            </w:pPr>
          </w:p>
          <w:p>
            <w:pPr>
              <w:pStyle w:val="6"/>
              <w:autoSpaceDN w:val="0"/>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r>
              <w:rPr>
                <w:sz w:val="24"/>
              </w:rPr>
              <mc:AlternateContent>
                <mc:Choice Requires="wps">
                  <w:drawing>
                    <wp:anchor distT="0" distB="0" distL="114300" distR="114300" simplePos="0" relativeHeight="251662336" behindDoc="0" locked="0" layoutInCell="1" allowOverlap="1">
                      <wp:simplePos x="0" y="0"/>
                      <wp:positionH relativeFrom="column">
                        <wp:posOffset>-426720</wp:posOffset>
                      </wp:positionH>
                      <wp:positionV relativeFrom="paragraph">
                        <wp:posOffset>487680</wp:posOffset>
                      </wp:positionV>
                      <wp:extent cx="535305" cy="6661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305" cy="666115"/>
                              </a:xfrm>
                              <a:prstGeom prst="rect">
                                <a:avLst/>
                              </a:prstGeom>
                              <a:noFill/>
                              <a:ln>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 xml:space="preserve"> -</w:t>
                                  </w:r>
                                </w:p>
                              </w:txbxContent>
                            </wps:txbx>
                            <wps:bodyPr vert="eaVert" lIns="91439" tIns="45719" rIns="91439" bIns="45719" upright="1"/>
                          </wps:wsp>
                        </a:graphicData>
                      </a:graphic>
                    </wp:anchor>
                  </w:drawing>
                </mc:Choice>
                <mc:Fallback>
                  <w:pict>
                    <v:shape id="_x0000_s1026" o:spid="_x0000_s1026" o:spt="202" type="#_x0000_t202" style="position:absolute;left:0pt;margin-left:-33.6pt;margin-top:38.4pt;height:52.45pt;width:42.15pt;z-index:251662336;mso-width-relative:page;mso-height-relative:page;" fillcolor="#FFFFFF" filled="f" stroked="f" coordsize="21600,21600" o:gfxdata="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3VRxNkAAAAJAQAADwAAAAAAAAABACAAAAAiAAAA&#10;ZHJzL2Rvd25yZXYueG1sUEsBAhQAFAAAAAgAh07iQNpAhXHNAQAAjwMAAA4AAAAAAAAAAQAgAAAA&#10;KAEAAGRycy9lMm9Eb2MueG1sUEsFBgAAAAAGAAYAWQEAAGcFAAAAAA==&#10;">
                      <v:path/>
                      <v:fill on="f" color2="#FFFFFF" o:opacity2="65536f" focussize="0,0"/>
                      <v:stroke on="f"/>
                      <v:imagedata o:title=""/>
                      <o:lock v:ext="edit" grouping="f" rotation="f" text="f" aspectratio="f"/>
                      <v:textbox inset="7.19992125984252pt,3.59992125984252pt,7.19992125984252pt,3.59992125984252pt"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 xml:space="preserve"> -</w:t>
                            </w:r>
                          </w:p>
                        </w:txbxContent>
                      </v:textbox>
                    </v:shape>
                  </w:pict>
                </mc:Fallback>
              </mc:AlternateContent>
            </w:r>
          </w:p>
        </w:tc>
        <w:tc>
          <w:tcPr>
            <w:tcW w:w="1725" w:type="dxa"/>
            <w:tcBorders>
              <w:tl2br w:val="nil"/>
              <w:tr2bl w:val="nil"/>
            </w:tcBorders>
            <w:noWrap w:val="0"/>
            <w:vAlign w:val="center"/>
          </w:tcPr>
          <w:p>
            <w:pPr>
              <w:jc w:val="center"/>
              <w:textAlignment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水电气</w:t>
            </w:r>
          </w:p>
          <w:p>
            <w:pPr>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开户证明</w:t>
            </w:r>
          </w:p>
        </w:tc>
        <w:tc>
          <w:tcPr>
            <w:tcW w:w="9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《中华人民共和国村民委员会组织法(2018修正)》第九条 村民委员会应当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 村民委员会应当支持服务性、公益性、互助性社会组织依法开展活动，推动农村社区建设。 多民族村民居住的村，村民委员会应当教育和引导各民族村民增进团结、互相尊重、互相帮助。</w:t>
            </w:r>
          </w:p>
        </w:tc>
        <w:tc>
          <w:tcPr>
            <w:tcW w:w="120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2310" w:hRule="atLeast"/>
          <w:jc w:val="center"/>
        </w:trPr>
        <w:tc>
          <w:tcPr>
            <w:tcW w:w="903" w:type="dxa"/>
            <w:tcBorders>
              <w:tl2br w:val="nil"/>
              <w:tr2bl w:val="nil"/>
            </w:tcBorders>
            <w:noWrap w:val="0"/>
            <w:vAlign w:val="center"/>
          </w:tcPr>
          <w:p>
            <w:pPr>
              <w:pStyle w:val="6"/>
              <w:autoSpaceDN w:val="0"/>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w:t>
            </w:r>
          </w:p>
        </w:tc>
        <w:tc>
          <w:tcPr>
            <w:tcW w:w="1725" w:type="dxa"/>
            <w:tcBorders>
              <w:tl2br w:val="nil"/>
              <w:tr2bl w:val="nil"/>
            </w:tcBorders>
            <w:noWrap w:val="0"/>
            <w:vAlign w:val="center"/>
          </w:tcPr>
          <w:p>
            <w:pPr>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bidi="ar"/>
              </w:rPr>
              <w:t>社会实践证明</w:t>
            </w:r>
          </w:p>
        </w:tc>
        <w:tc>
          <w:tcPr>
            <w:tcW w:w="9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《中共湖南省委湖南省人民政府关于基础教育改革与发展的决定》(2000年1月20日)湘发</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20</w:t>
            </w:r>
            <w:r>
              <w:rPr>
                <w:rFonts w:hint="eastAsia" w:ascii="仿宋" w:hAnsi="仿宋" w:eastAsia="仿宋" w:cs="仿宋"/>
                <w:color w:val="auto"/>
                <w:sz w:val="24"/>
                <w:szCs w:val="24"/>
                <w:lang w:val="en-US" w:eastAsia="zh-CN" w:bidi="ar"/>
              </w:rPr>
              <w:t>00</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2号  四、适应新时代对人才培养提出的要求，扎实推进素质教育第23条学校教育工作必须紧密联系学生思想实际和社会生活实际，切实加强社会实践活动。《中华人民共和国村民委员会组织法》第二章　村民委员会的组成和职责中第九条　村民委员会应当支持服务性、公益性、互助性社会组织依法开展活动，推动农村社区建设。</w:t>
            </w:r>
          </w:p>
        </w:tc>
        <w:tc>
          <w:tcPr>
            <w:tcW w:w="120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28" w:type="dxa"/>
            <w:bottom w:w="57" w:type="dxa"/>
            <w:right w:w="28" w:type="dxa"/>
          </w:tblCellMar>
        </w:tblPrEx>
        <w:trPr>
          <w:trHeight w:val="1883" w:hRule="atLeast"/>
          <w:jc w:val="center"/>
        </w:trPr>
        <w:tc>
          <w:tcPr>
            <w:tcW w:w="903" w:type="dxa"/>
            <w:tcBorders>
              <w:tl2br w:val="nil"/>
              <w:tr2bl w:val="nil"/>
            </w:tcBorders>
            <w:noWrap w:val="0"/>
            <w:vAlign w:val="center"/>
          </w:tcPr>
          <w:p>
            <w:pPr>
              <w:pStyle w:val="6"/>
              <w:autoSpaceDN w:val="0"/>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p>
        </w:tc>
        <w:tc>
          <w:tcPr>
            <w:tcW w:w="1725" w:type="dxa"/>
            <w:tcBorders>
              <w:tl2br w:val="nil"/>
              <w:tr2bl w:val="nil"/>
            </w:tcBorders>
            <w:noWrap w:val="0"/>
            <w:vAlign w:val="center"/>
          </w:tcPr>
          <w:p>
            <w:pPr>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bidi="ar"/>
              </w:rPr>
              <w:t>散装汽油证明</w:t>
            </w:r>
          </w:p>
        </w:tc>
        <w:tc>
          <w:tcPr>
            <w:tcW w:w="9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湖南省公安厅、湖南省工商行政管理局《关于建立严控严查散装购、销汽油制度 进一步加强加油站安全管理工作的通知 》（湘公发</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2014</w:t>
            </w:r>
            <w:r>
              <w:rPr>
                <w:rFonts w:hint="eastAsia" w:ascii="楷体_GB2312" w:hAnsi="楷体_GB2312" w:eastAsia="楷体_GB2312" w:cs="楷体_GB2312"/>
                <w:color w:val="auto"/>
                <w:sz w:val="24"/>
                <w:szCs w:val="24"/>
                <w:lang w:bidi="ar"/>
              </w:rPr>
              <w:t>〕</w:t>
            </w:r>
            <w:r>
              <w:rPr>
                <w:rFonts w:hint="eastAsia" w:ascii="仿宋" w:hAnsi="仿宋" w:eastAsia="仿宋" w:cs="仿宋"/>
                <w:color w:val="auto"/>
                <w:sz w:val="24"/>
                <w:szCs w:val="24"/>
                <w:lang w:bidi="ar"/>
              </w:rPr>
              <w:t>42号）一、强化管理，建立严控散装购、销汽油制度中指出：个人因生产、生活等需购买散装汽油的，购买人应当提供所在社区（村委）会同意的申请（注明用途、数量）</w:t>
            </w:r>
          </w:p>
        </w:tc>
        <w:tc>
          <w:tcPr>
            <w:tcW w:w="1200" w:type="dxa"/>
            <w:tcBorders>
              <w:tl2br w:val="nil"/>
              <w:tr2bl w:val="nil"/>
            </w:tcBorders>
            <w:noWrap w:val="0"/>
            <w:vAlign w:val="center"/>
          </w:tcPr>
          <w:p>
            <w:pPr>
              <w:pStyle w:val="6"/>
              <w:autoSpaceDN w:val="0"/>
              <w:jc w:val="center"/>
              <w:textAlignment w:val="center"/>
              <w:rPr>
                <w:rFonts w:hint="eastAsia" w:ascii="仿宋" w:hAnsi="仿宋" w:eastAsia="仿宋" w:cs="仿宋"/>
                <w:b/>
                <w:bCs w:val="0"/>
                <w:color w:val="auto"/>
                <w:sz w:val="24"/>
                <w:szCs w:val="24"/>
                <w:lang w:val="en-US" w:eastAsia="zh-CN"/>
              </w:rPr>
            </w:pPr>
          </w:p>
        </w:tc>
      </w:tr>
    </w:tbl>
    <w:p>
      <w:pPr>
        <w:widowControl w:val="0"/>
        <w:shd w:val="clear" w:color="auto" w:fill="FFFFFF"/>
        <w:wordWrap/>
        <w:adjustRightInd/>
        <w:snapToGrid/>
        <w:spacing w:line="600" w:lineRule="exact"/>
        <w:ind w:right="0"/>
        <w:jc w:val="both"/>
        <w:textAlignment w:val="baseline"/>
        <w:outlineLvl w:val="9"/>
        <w:rPr>
          <w:rFonts w:hint="eastAsia" w:ascii="仿宋" w:hAnsi="仿宋" w:eastAsia="仿宋" w:cs="仿宋"/>
          <w:color w:val="auto"/>
          <w:kern w:val="0"/>
          <w:sz w:val="32"/>
          <w:szCs w:val="32"/>
          <w:lang w:val="en-US" w:eastAsia="zh-CN"/>
        </w:rPr>
        <w:sectPr>
          <w:footerReference r:id="rId3" w:type="default"/>
          <w:pgSz w:w="16838" w:h="11906" w:orient="landscape"/>
          <w:pgMar w:top="1587" w:right="1587" w:bottom="1474" w:left="1587" w:header="851" w:footer="992" w:gutter="0"/>
          <w:pgNumType w:fmt="numberInDash"/>
          <w:cols w:space="720" w:num="1"/>
          <w:rtlGutter w:val="0"/>
          <w:docGrid w:type="lines" w:linePitch="315" w:charSpace="0"/>
        </w:sectPr>
      </w:pPr>
      <w:bookmarkStart w:id="0" w:name="_GoBack"/>
      <w:bookmarkEnd w:id="0"/>
      <w:r>
        <w:rPr>
          <w:sz w:val="24"/>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-3381375</wp:posOffset>
                </wp:positionV>
                <wp:extent cx="535305" cy="6661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5305" cy="666115"/>
                        </a:xfrm>
                        <a:prstGeom prst="rect">
                          <a:avLst/>
                        </a:prstGeom>
                        <a:noFill/>
                        <a:ln>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 xml:space="preserve"> -</w:t>
                            </w:r>
                          </w:p>
                        </w:txbxContent>
                      </wps:txbx>
                      <wps:bodyPr vert="eaVert" lIns="91439" tIns="45719" rIns="91439" bIns="45719" upright="1"/>
                    </wps:wsp>
                  </a:graphicData>
                </a:graphic>
              </wp:anchor>
            </w:drawing>
          </mc:Choice>
          <mc:Fallback>
            <w:pict>
              <v:shape id="_x0000_s1026" o:spid="_x0000_s1026" o:spt="202" type="#_x0000_t202" style="position:absolute;left:0pt;margin-left:-36pt;margin-top:-266.25pt;height:52.45pt;width:42.15pt;z-index:251663360;mso-width-relative:page;mso-height-relative:page;" fillcolor="#FFFFFF" filled="f" stroked="f" coordsize="21600,21600" o:gfxdata="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mHMO9wAAAAMAQAADwAAAAAAAAABACAAAAAi&#10;AAAAZHJzL2Rvd25yZXYueG1sUEsBAhQAFAAAAAgAh07iQD2X5Z3NAQAAjwMAAA4AAAAAAAAAAQAg&#10;AAAAKwEAAGRycy9lMm9Eb2MueG1sUEsFBgAAAAAGAAYAWQEAAGoFAAAAAA==&#10;">
                <v:path/>
                <v:fill on="f" color2="#FFFFFF" o:opacity2="65536f" focussize="0,0"/>
                <v:stroke on="f"/>
                <v:imagedata o:title=""/>
                <o:lock v:ext="edit" grouping="f" rotation="f" text="f" aspectratio="f"/>
                <v:textbox inset="7.19992125984252pt,3.59992125984252pt,7.19992125984252pt,3.59992125984252pt"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eastAsia="宋体" w:cs="Times New Roman"/>
          <w:color w:val="auto"/>
          <w:kern w:val="2"/>
          <w:sz w:val="32"/>
          <w:szCs w:val="24"/>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8115300</wp:posOffset>
                </wp:positionH>
                <wp:positionV relativeFrom="paragraph">
                  <wp:posOffset>1450975</wp:posOffset>
                </wp:positionV>
                <wp:extent cx="800100" cy="401320"/>
                <wp:effectExtent l="7620" t="7620" r="11430" b="10160"/>
                <wp:wrapNone/>
                <wp:docPr id="3" name="矩形 3"/>
                <wp:cNvGraphicFramePr/>
                <a:graphic xmlns:a="http://schemas.openxmlformats.org/drawingml/2006/main">
                  <a:graphicData uri="http://schemas.microsoft.com/office/word/2010/wordprocessingShape">
                    <wps:wsp>
                      <wps:cNvSpPr/>
                      <wps:spPr>
                        <a:xfrm>
                          <a:off x="0" y="0"/>
                          <a:ext cx="800100" cy="401320"/>
                        </a:xfrm>
                        <a:prstGeom prst="rect">
                          <a:avLst/>
                        </a:prstGeom>
                        <a:solidFill>
                          <a:srgbClr val="FFFFFF"/>
                        </a:soli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639pt;margin-top:114.25pt;height:31.6pt;width:63pt;z-index:251658240;mso-width-relative:page;mso-height-relative:page;" fillcolor="#FFFFFF" filled="t" stroked="t" coordsize="21600,21600" o:gfxdata="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OizU9kAAAANAQAADwAAAAAAAAABACAAAAAiAAAAZHJzL2Rvd25y&#10;ZXYueG1sUEsBAhQAFAAAAAgAh07iQOTzQYr9AQAAKQQAAA4AAAAAAAAAAQAgAAAAKAEAAGRycy9l&#10;Mm9Eb2MueG1sUEsFBgAAAAAGAAYAWQEAAJcFAAAAAA==&#10;">
                <v:path/>
                <v:fill on="t" focussize="0,0"/>
                <v:stroke weight="1.25pt" color="#FFFFFF"/>
                <v:imagedata o:title=""/>
                <o:lock v:ext="edit" grouping="f" rotation="f" text="f" aspectratio="f"/>
                <v:textbox>
                  <w:txbxContent>
                    <w:p/>
                  </w:txbxContent>
                </v:textbox>
              </v:rect>
            </w:pict>
          </mc:Fallback>
        </mc:AlternateConten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8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2021-02-03T03:35:26Z</dcterms:created>
  <dc:creator>Administrator</dc:creator>
  <cp:lastModifiedBy>Administrator</cp:lastModifiedBy>
  <dcterms:modified xsi:type="dcterms:W3CDTF">2021-02-03T03:35:55Z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