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益阳市赫山区泉交河人民政府2020年部门</w:t>
      </w: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预算公开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color w:val="auto"/>
          <w:position w:val="0"/>
          <w:sz w:val="32"/>
          <w:szCs w:val="32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方正小标宋简体" w:eastAsia="方正小标宋简体" w:hAnsi="方正小标宋简体" w:hint="default"/>
        </w:rPr>
        <w:t>目录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left="1606" w:right="0" w:hanging="1405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第一部分：益阳市赫山区泉交河人民政府2020年部门预算说明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一、部门基本情况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二、部门预算单位构成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三、部门收支总体情况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四、一般公共预算拨款支出预算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五、其他重要事项的情况说明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六、名词解释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left="1405" w:hanging="1405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第二部分：益阳市赫山区泉交河人民政府2020年部门预算公开的表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格情况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1、部门收支总体情况表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2、部门收入总体情况表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3、部门支出总体情况表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4、财政拨款收支总体情况表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5、一般公共预算支出情况表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6、一般公共预算基本支出情况纵向表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7、一般公共预算基本支出情况横向表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8、政府性基金预算支出情况表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9、三公经费统计表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10、政府采购表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11、部门整体支出绩效目标申报表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12、单位项目支出绩效目标申报表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黑体" w:eastAsia="黑体" w:hAnsi="黑体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黑体" w:eastAsia="黑体" w:hAnsi="黑体" w:hint="default"/>
        </w:rPr>
        <w:t>第一部分：益阳市赫山区泉交河人民政府2020年部门预算说明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一、部门基本情况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1、职能职责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泉交河镇系益阳市赫山区的基层政府行政机关，其主要职责为：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 （1）制定和组织实施经济、科技和社会发展计划，制定产业结构调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整方案，组织指导好各业生产，抓好招商引资，不断培育市场体系，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组织经济运行，促进经济发展。 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（2）制定并组织实施村镇建设规划，部署重点工程建设，地方道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路建设及公共设施，水利设施的管理，负责土地、林木、水等自然资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源和生态环境的保护，做好护林防火工作。 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（3）负责本行政区域内的民政、计划生育、文化教育、卫生、体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育等社会公益事业的综合性工作，维护一切经济单位和个人的正当经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济权益，取缔非法经济活动，调解和处理民事纠纷，打击刑事犯罪维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护社会稳定。 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（4）加强镇级财政的监管和管理，按计划组织、管理镇财政收入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和支出，执行国家有关财经纪律和政策，保证国家财政收入的完成;做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好统计工作。 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（5）抓好精神文明建设，丰富群众文化生活，提倡移风易俗，反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对封建迷信，破除陈规陋习，树立社会主义新风尚。 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（6）完成上级政府交办的其它事项。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2、机构设置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2020年泉交河镇政府预算编制单位9个，分别是泉交河镇党政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综合办、泉交河镇经济发展办、泉交河镇农业综合服务站、泉交河镇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计划生育办、泉交河镇村镇建设管理站、泉交河镇文体卫镇、泉交河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镇水利管理站，泉交河镇财政所，泉交河镇司法所。目前，在职编制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人数85人，其中：行政编制26人，事业编制59人。退休人数77人，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其中：行政编制退休：12人，事业编制退休：65人。分流人员64。遗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属24人。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二、部门预算单位构成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益阳市泉交河镇人民政府只有本级，没有其他二级预算单位，因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此，纳入2020年部门预算编制范围的只有益阳市泉交河镇人民政府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部门本级。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三、部门收支总体情况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2020年部门预算包括收入预算和支出预算。收入包括一般公共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预算收入、纳入专户管理的非税收入、上级补助收入和其他收入；支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出既包括机关事业单位基本运行的经费，也包括村级运行经费、社区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经费、人大代表活动及平台建设经费、农村清洁工程及村级组织服务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群众经费等专项经费。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（一）收入预算，2020年年初预算数1984.56万元，其中，一般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公共预算拨款1619.58万元，其他收入364.98万元。收入较去年增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加406万元，其中主要是新增人员经费的增加，及村级运转经费的增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加，收入预算整体较去年有所增加。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（二）支出预算，2020年年初预算数1984.56万元，其中，一般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公共服务1118万元，社会保障和就业支出196万，农林水支出420万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元，卫生健康支出148万、保障性住房支出102万。支出较去年增加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406 万元，主要是三农资金支出的增加和人员经费支出增加，村级运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转经费有所增加。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四、一般公共预算拨款支出预算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2020年一般公共预算拨款收入1619.59万元，具体安排情况如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下：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（一）基本支出：2020年年初预算数为1118万元，是指为保障单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位机构正常运转、完成日常工作任务而发生的各项支出，包括用于基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本工资、津贴补贴等人员经费以及办公费、印刷费、水电费、办公设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备购置等日常公用经费。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（二）项目支出：2020年年初预算数为501万元，是指单位为完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成特定行政工作任务或事业发展目标而发生的支出。其中村级运转经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费支出278万元，主要用于保障下辖12个村的正常运转。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五、其他重要事项的情况说明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1、机关运行经费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2020年本单位的机关运行经费当年一般公共预算拨款 79.4万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元，与2019年预算增加5.3万，增加7.15%。主要原因人员增加，所以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公务费增加，导致机关运行费增加。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2、“三公”经费预算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根据中央八项规定精神和厉行节约的要求，我单位2020年“三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公”经费预算数为 103  万元，其中，公务接待费 85 万元，公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务用车购置及运行费   18万元（其中，公务用车购置费 0万元，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公务用车运行费18万元），因公出国（境）费  0  万元。2020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年“三公”经费预算与2019年基本持平。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3、政府采购情况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因我单位政府采购基本为零星采购，次数较少，金额一般不超过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5万元/次，故2020年本部门政府采购预算额  0 万元。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4、国有资产占用情况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截至2019年12月31日，本单位共有车辆2辆，其中：一般公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共服务用车1辆，一般执法执勤用车1辆。单位价值50万元以上通用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设备0台、100万元以上专用设备0台。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2020年部门预算未安排采购车辆及价值50万元以上通用设备、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100万元以上专用设备。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六、预算绩效目标情况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2020年本单位整体支出绩效目标1984.56万元，其中：基本支出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1482.68万元，项目支出501.88万元。全部实行整体支出绩效目标管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理，涉及一般公共预算当年拨款1619.59万元。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2020年本单位项目支出绩效目标404万元，其中专项补助43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万元；村级运转经费278万；两税附加42万；农村税费改革转移支付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41万.全部实行项目支出绩效目标管理，涉及一般公共预算当年拨款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404万元。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2"/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七、名词解释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1、机关运行经费是指各部门的公用经费，包括办公及印刷费、邮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电费、差旅费、会议费、福利费、日常维修费、专用资料及一般设备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购置费、办公用房水电费、办公用房取暖费、办公用房物业管理费、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公务用车运行维护费以及其他费用。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2、“三公”经费纳入省财政预算管理的“三公“经费，是指用一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般公共预算拨款安排的公务接待费、公务用车购置及运行维护费和因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公出国（境）费。其中，公务接待费反映单位按规定开支的各类公务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接待支出；公务用车购置及运行费反映单位公务用车车辆购置支出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（含车辆购置税），以及燃料费、维修费、保险费等支出；因公出国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（境）费反映单位公务出国（境）的国际旅费、国外城市间交通费、</w:t>
      </w: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食宿费等支出。</w:t>
      </w:r>
    </w:p>
    <w:p>
      <w:pPr>
        <w:bidi w:val="0"/>
        <w:numPr>
          <w:ilvl w:val="0"/>
          <w:numId w:val="0"/>
        </w:numPr>
        <w:jc w:val="right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right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right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益阳市赫山区泉交河人民政府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                           2020年1月13日</w:t>
      </w:r>
    </w:p>
    <w:p>
      <w:pPr>
        <w:bidi w:val="0"/>
        <w:numPr>
          <w:ilvl w:val="0"/>
          <w:numId w:val="0"/>
        </w:numPr>
        <w:jc w:val="right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第二部分：益阳市赫山区泉交河人民政府2020年部门预算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1、部门收支总体情况表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2、部门收入总体情况表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3、部门支出总体情况表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4、财政拨款收支总体情况表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5、一般公共预算支出情况表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6、一般公共预算基本支出情况纵向表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7、一般公共预算基本支出情况横向表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8、政府性基金预算支出情况表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9、三公经费统计表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10、政府采购表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11、部门整体支出绩效目标申报表</w:t>
      </w:r>
    </w:p>
    <w:p>
      <w:pPr>
        <w:bidi w:val="0"/>
        <w:numPr>
          <w:ilvl w:val="0"/>
          <w:numId w:val="0"/>
        </w:numPr>
        <w:jc w:val="both"/>
        <w:spacing w:lineRule="exact" w:line="560" w:before="0" w:after="160"/>
        <w:pageBreakBefore w:val="0"/>
        <w:ind w:right="0" w:firstLine="560"/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n"/>
        <w:autoSpaceDE w:val="1"/>
        <w:autoSpaceDN w:val="1"/>
      </w:pPr>
      <w:r>
        <w:rPr>
          <w:b w:val="0"/>
          <w:color w:val="auto"/>
          <w:position w:val="0"/>
          <w:sz w:val="28"/>
          <w:szCs w:val="28"/>
          <w:rFonts w:ascii="仿宋_GB2312" w:eastAsia="仿宋_GB2312" w:hAnsi="仿宋_GB2312" w:hint="default"/>
        </w:rPr>
        <w:t>12、单位项目支出绩效目标申报表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0"/>
          <w:spacing w:val="0"/>
          <w:b w:val="0"/>
          <w:color w:val="auto"/>
          <w:position w:val="0"/>
          <w:sz w:val="20"/>
          <w:szCs w:val="20"/>
          <w:smallCaps w:val="0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8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accompany</dc:creator>
  <cp:lastModifiedBy/>
  <dcterms:modified xsi:type="dcterms:W3CDTF">2021-01-21T07:28:47Z</dcterms:modified>
</cp:coreProperties>
</file>