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lang w:val="en-US" w:eastAsia="zh-CN"/>
        </w:rPr>
        <w:t>赫山区</w:t>
      </w:r>
      <w:r>
        <w:rPr>
          <w:rFonts w:hint="eastAsia" w:ascii="方正小标宋简体" w:eastAsia="方正小标宋简体"/>
          <w:color w:val="000000"/>
          <w:sz w:val="44"/>
          <w:szCs w:val="44"/>
          <w:shd w:val="clear" w:color="auto" w:fill="FFFFFF"/>
        </w:rPr>
        <w:t>告知承诺制证明事项目录</w:t>
      </w:r>
    </w:p>
    <w:p>
      <w:pPr>
        <w:spacing w:line="600" w:lineRule="exact"/>
        <w:ind w:firstLine="880" w:firstLineChars="200"/>
        <w:jc w:val="center"/>
        <w:rPr>
          <w:rFonts w:hint="eastAsia" w:ascii="方正小标宋简体" w:eastAsia="方正小标宋简体"/>
          <w:color w:val="000000"/>
          <w:sz w:val="44"/>
          <w:szCs w:val="44"/>
          <w:shd w:val="clear" w:color="auto" w:fill="FFFFFF"/>
        </w:rPr>
      </w:pPr>
    </w:p>
    <w:tbl>
      <w:tblPr>
        <w:tblStyle w:val="4"/>
        <w:tblW w:w="14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38"/>
        <w:gridCol w:w="1480"/>
        <w:gridCol w:w="4350"/>
        <w:gridCol w:w="795"/>
        <w:gridCol w:w="825"/>
        <w:gridCol w:w="1360"/>
        <w:gridCol w:w="659"/>
        <w:gridCol w:w="705"/>
        <w:gridCol w:w="705"/>
        <w:gridCol w:w="722"/>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vMerge w:val="restart"/>
            <w:noWrap w:val="0"/>
            <w:vAlign w:val="center"/>
          </w:tcPr>
          <w:p>
            <w:pPr>
              <w:spacing w:line="300" w:lineRule="exact"/>
              <w:jc w:val="center"/>
              <w:rPr>
                <w:rFonts w:ascii="黑体" w:hAnsi="黑体" w:eastAsia="黑体"/>
                <w:szCs w:val="21"/>
              </w:rPr>
            </w:pPr>
          </w:p>
          <w:p>
            <w:pPr>
              <w:spacing w:line="300" w:lineRule="exact"/>
              <w:jc w:val="center"/>
              <w:rPr>
                <w:rFonts w:ascii="黑体" w:hAnsi="黑体" w:eastAsia="黑体"/>
                <w:szCs w:val="21"/>
              </w:rPr>
            </w:pPr>
            <w:r>
              <w:rPr>
                <w:rFonts w:ascii="黑体" w:hAnsi="黑体" w:eastAsia="黑体"/>
                <w:szCs w:val="21"/>
              </w:rPr>
              <w:t>序号</w:t>
            </w:r>
          </w:p>
        </w:tc>
        <w:tc>
          <w:tcPr>
            <w:tcW w:w="1238" w:type="dxa"/>
            <w:vMerge w:val="restart"/>
            <w:noWrap w:val="0"/>
            <w:vAlign w:val="center"/>
          </w:tcPr>
          <w:p>
            <w:pPr>
              <w:spacing w:line="300" w:lineRule="exact"/>
              <w:jc w:val="center"/>
              <w:rPr>
                <w:rFonts w:ascii="黑体" w:hAnsi="黑体" w:eastAsia="黑体"/>
                <w:szCs w:val="21"/>
              </w:rPr>
            </w:pPr>
            <w:r>
              <w:rPr>
                <w:rFonts w:ascii="黑体" w:hAnsi="黑体" w:eastAsia="黑体"/>
                <w:szCs w:val="21"/>
              </w:rPr>
              <w:t>证明</w:t>
            </w:r>
          </w:p>
          <w:p>
            <w:pPr>
              <w:spacing w:line="300" w:lineRule="exact"/>
              <w:jc w:val="center"/>
              <w:rPr>
                <w:rFonts w:ascii="黑体" w:hAnsi="黑体" w:eastAsia="黑体"/>
                <w:szCs w:val="21"/>
              </w:rPr>
            </w:pPr>
            <w:r>
              <w:rPr>
                <w:rFonts w:ascii="黑体" w:hAnsi="黑体" w:eastAsia="黑体"/>
                <w:szCs w:val="21"/>
              </w:rPr>
              <w:t>名称</w:t>
            </w:r>
          </w:p>
        </w:tc>
        <w:tc>
          <w:tcPr>
            <w:tcW w:w="1480" w:type="dxa"/>
            <w:vMerge w:val="restart"/>
            <w:noWrap w:val="0"/>
            <w:vAlign w:val="center"/>
          </w:tcPr>
          <w:p>
            <w:pPr>
              <w:spacing w:line="300" w:lineRule="exact"/>
              <w:jc w:val="center"/>
              <w:rPr>
                <w:rFonts w:ascii="黑体" w:hAnsi="黑体" w:eastAsia="黑体"/>
                <w:szCs w:val="21"/>
              </w:rPr>
            </w:pPr>
            <w:r>
              <w:rPr>
                <w:rFonts w:ascii="黑体" w:hAnsi="黑体" w:eastAsia="黑体"/>
                <w:szCs w:val="21"/>
              </w:rPr>
              <w:t>证明</w:t>
            </w:r>
          </w:p>
          <w:p>
            <w:pPr>
              <w:spacing w:line="300" w:lineRule="exact"/>
              <w:jc w:val="center"/>
              <w:rPr>
                <w:rFonts w:ascii="黑体" w:hAnsi="黑体" w:eastAsia="黑体"/>
                <w:szCs w:val="21"/>
              </w:rPr>
            </w:pPr>
            <w:r>
              <w:rPr>
                <w:rFonts w:ascii="黑体" w:hAnsi="黑体" w:eastAsia="黑体"/>
                <w:szCs w:val="21"/>
              </w:rPr>
              <w:t>用途</w:t>
            </w:r>
          </w:p>
        </w:tc>
        <w:tc>
          <w:tcPr>
            <w:tcW w:w="5145" w:type="dxa"/>
            <w:gridSpan w:val="2"/>
            <w:noWrap w:val="0"/>
            <w:vAlign w:val="center"/>
          </w:tcPr>
          <w:p>
            <w:pPr>
              <w:spacing w:line="300" w:lineRule="exact"/>
              <w:jc w:val="center"/>
              <w:rPr>
                <w:rFonts w:ascii="黑体" w:hAnsi="黑体" w:eastAsia="黑体"/>
                <w:szCs w:val="21"/>
              </w:rPr>
            </w:pPr>
            <w:r>
              <w:rPr>
                <w:rFonts w:ascii="黑体" w:hAnsi="黑体" w:eastAsia="黑体"/>
                <w:szCs w:val="21"/>
              </w:rPr>
              <w:t>设定依据</w:t>
            </w:r>
          </w:p>
        </w:tc>
        <w:tc>
          <w:tcPr>
            <w:tcW w:w="2185" w:type="dxa"/>
            <w:gridSpan w:val="2"/>
            <w:noWrap w:val="0"/>
            <w:vAlign w:val="center"/>
          </w:tcPr>
          <w:p>
            <w:pPr>
              <w:spacing w:line="300" w:lineRule="exact"/>
              <w:jc w:val="center"/>
              <w:rPr>
                <w:rFonts w:ascii="黑体" w:hAnsi="黑体" w:eastAsia="黑体"/>
                <w:szCs w:val="21"/>
              </w:rPr>
            </w:pPr>
            <w:r>
              <w:rPr>
                <w:rFonts w:ascii="黑体" w:hAnsi="黑体" w:eastAsia="黑体"/>
                <w:szCs w:val="21"/>
              </w:rPr>
              <w:t>实施基本情况</w:t>
            </w:r>
          </w:p>
        </w:tc>
        <w:tc>
          <w:tcPr>
            <w:tcW w:w="2791" w:type="dxa"/>
            <w:gridSpan w:val="4"/>
            <w:noWrap w:val="0"/>
            <w:vAlign w:val="center"/>
          </w:tcPr>
          <w:p>
            <w:pPr>
              <w:spacing w:line="300" w:lineRule="exact"/>
              <w:jc w:val="center"/>
              <w:rPr>
                <w:rFonts w:ascii="黑体" w:hAnsi="黑体" w:eastAsia="黑体"/>
                <w:szCs w:val="21"/>
              </w:rPr>
            </w:pPr>
            <w:r>
              <w:rPr>
                <w:rFonts w:ascii="黑体" w:hAnsi="黑体" w:eastAsia="黑体"/>
                <w:szCs w:val="21"/>
              </w:rPr>
              <w:t>行使层级</w:t>
            </w:r>
          </w:p>
        </w:tc>
        <w:tc>
          <w:tcPr>
            <w:tcW w:w="1147" w:type="dxa"/>
            <w:vMerge w:val="restart"/>
            <w:noWrap w:val="0"/>
            <w:vAlign w:val="center"/>
          </w:tcPr>
          <w:p>
            <w:pPr>
              <w:spacing w:line="300" w:lineRule="exact"/>
              <w:jc w:val="center"/>
              <w:rPr>
                <w:rFonts w:ascii="黑体" w:hAnsi="黑体" w:eastAsia="黑体"/>
                <w:szCs w:val="21"/>
              </w:rPr>
            </w:pPr>
            <w:r>
              <w:rPr>
                <w:rFonts w:ascii="黑体" w:hAnsi="黑体" w:eastAsia="黑体"/>
                <w:szCs w:val="21"/>
              </w:rPr>
              <w:t>事项类型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683" w:type="dxa"/>
            <w:vMerge w:val="continue"/>
            <w:noWrap w:val="0"/>
            <w:vAlign w:val="center"/>
          </w:tcPr>
          <w:p>
            <w:pPr>
              <w:spacing w:line="300" w:lineRule="exact"/>
              <w:jc w:val="center"/>
              <w:rPr>
                <w:rFonts w:ascii="黑体" w:hAnsi="黑体" w:eastAsia="黑体"/>
                <w:szCs w:val="21"/>
              </w:rPr>
            </w:pPr>
          </w:p>
        </w:tc>
        <w:tc>
          <w:tcPr>
            <w:tcW w:w="1238" w:type="dxa"/>
            <w:vMerge w:val="continue"/>
            <w:noWrap w:val="0"/>
            <w:vAlign w:val="center"/>
          </w:tcPr>
          <w:p>
            <w:pPr>
              <w:spacing w:line="300" w:lineRule="exact"/>
              <w:jc w:val="center"/>
              <w:rPr>
                <w:rFonts w:ascii="黑体" w:hAnsi="黑体" w:eastAsia="黑体"/>
                <w:szCs w:val="21"/>
              </w:rPr>
            </w:pPr>
          </w:p>
        </w:tc>
        <w:tc>
          <w:tcPr>
            <w:tcW w:w="1480" w:type="dxa"/>
            <w:vMerge w:val="continue"/>
            <w:noWrap w:val="0"/>
            <w:vAlign w:val="center"/>
          </w:tcPr>
          <w:p>
            <w:pPr>
              <w:spacing w:line="300" w:lineRule="exact"/>
              <w:jc w:val="center"/>
              <w:rPr>
                <w:rFonts w:ascii="黑体" w:hAnsi="黑体" w:eastAsia="黑体"/>
                <w:szCs w:val="21"/>
              </w:rPr>
            </w:pPr>
          </w:p>
        </w:tc>
        <w:tc>
          <w:tcPr>
            <w:tcW w:w="4350" w:type="dxa"/>
            <w:noWrap w:val="0"/>
            <w:vAlign w:val="center"/>
          </w:tcPr>
          <w:p>
            <w:pPr>
              <w:spacing w:line="300" w:lineRule="exact"/>
              <w:jc w:val="center"/>
              <w:rPr>
                <w:rFonts w:ascii="黑体" w:hAnsi="黑体" w:eastAsia="黑体"/>
                <w:szCs w:val="21"/>
              </w:rPr>
            </w:pPr>
            <w:r>
              <w:rPr>
                <w:rFonts w:ascii="黑体" w:hAnsi="黑体" w:eastAsia="黑体"/>
                <w:szCs w:val="21"/>
              </w:rPr>
              <w:t>依据名称、文号及条文内容</w:t>
            </w:r>
          </w:p>
        </w:tc>
        <w:tc>
          <w:tcPr>
            <w:tcW w:w="795" w:type="dxa"/>
            <w:noWrap w:val="0"/>
            <w:vAlign w:val="center"/>
          </w:tcPr>
          <w:p>
            <w:pPr>
              <w:spacing w:line="300" w:lineRule="exact"/>
              <w:jc w:val="center"/>
              <w:rPr>
                <w:rFonts w:ascii="黑体" w:hAnsi="黑体" w:eastAsia="黑体"/>
                <w:szCs w:val="21"/>
              </w:rPr>
            </w:pPr>
            <w:r>
              <w:rPr>
                <w:rFonts w:ascii="黑体" w:hAnsi="黑体" w:eastAsia="黑体"/>
                <w:szCs w:val="21"/>
              </w:rPr>
              <w:t>效力</w:t>
            </w:r>
          </w:p>
          <w:p>
            <w:pPr>
              <w:spacing w:line="300" w:lineRule="exact"/>
              <w:jc w:val="center"/>
              <w:rPr>
                <w:rFonts w:ascii="黑体" w:hAnsi="黑体" w:eastAsia="黑体"/>
                <w:szCs w:val="21"/>
              </w:rPr>
            </w:pPr>
            <w:r>
              <w:rPr>
                <w:rFonts w:ascii="黑体" w:hAnsi="黑体" w:eastAsia="黑体"/>
                <w:szCs w:val="21"/>
              </w:rPr>
              <w:t>层级</w:t>
            </w:r>
          </w:p>
        </w:tc>
        <w:tc>
          <w:tcPr>
            <w:tcW w:w="825" w:type="dxa"/>
            <w:noWrap w:val="0"/>
            <w:vAlign w:val="center"/>
          </w:tcPr>
          <w:p>
            <w:pPr>
              <w:spacing w:line="300" w:lineRule="exact"/>
              <w:jc w:val="center"/>
              <w:rPr>
                <w:rFonts w:ascii="黑体" w:hAnsi="黑体" w:eastAsia="黑体"/>
                <w:szCs w:val="21"/>
              </w:rPr>
            </w:pPr>
            <w:r>
              <w:rPr>
                <w:rFonts w:ascii="黑体" w:hAnsi="黑体" w:eastAsia="黑体"/>
                <w:szCs w:val="21"/>
              </w:rPr>
              <w:t>索要单位</w:t>
            </w:r>
          </w:p>
        </w:tc>
        <w:tc>
          <w:tcPr>
            <w:tcW w:w="1360" w:type="dxa"/>
            <w:noWrap w:val="0"/>
            <w:vAlign w:val="center"/>
          </w:tcPr>
          <w:p>
            <w:pPr>
              <w:spacing w:line="300" w:lineRule="exact"/>
              <w:jc w:val="center"/>
              <w:rPr>
                <w:rFonts w:ascii="黑体" w:hAnsi="黑体" w:eastAsia="黑体"/>
                <w:szCs w:val="21"/>
              </w:rPr>
            </w:pPr>
            <w:r>
              <w:rPr>
                <w:rFonts w:ascii="黑体" w:hAnsi="黑体" w:eastAsia="黑体"/>
                <w:szCs w:val="21"/>
              </w:rPr>
              <w:t>开具</w:t>
            </w:r>
          </w:p>
          <w:p>
            <w:pPr>
              <w:spacing w:line="300" w:lineRule="exact"/>
              <w:jc w:val="center"/>
              <w:rPr>
                <w:rFonts w:ascii="黑体" w:hAnsi="黑体" w:eastAsia="黑体"/>
                <w:szCs w:val="21"/>
              </w:rPr>
            </w:pPr>
            <w:r>
              <w:rPr>
                <w:rFonts w:ascii="黑体" w:hAnsi="黑体" w:eastAsia="黑体"/>
                <w:szCs w:val="21"/>
              </w:rPr>
              <w:t>单位</w:t>
            </w:r>
          </w:p>
        </w:tc>
        <w:tc>
          <w:tcPr>
            <w:tcW w:w="659" w:type="dxa"/>
            <w:noWrap w:val="0"/>
            <w:vAlign w:val="center"/>
          </w:tcPr>
          <w:p>
            <w:pPr>
              <w:spacing w:line="300" w:lineRule="exact"/>
              <w:jc w:val="center"/>
              <w:rPr>
                <w:rFonts w:ascii="黑体" w:hAnsi="黑体" w:eastAsia="黑体"/>
                <w:szCs w:val="21"/>
              </w:rPr>
            </w:pPr>
            <w:r>
              <w:rPr>
                <w:rFonts w:ascii="黑体" w:hAnsi="黑体" w:eastAsia="黑体"/>
                <w:szCs w:val="21"/>
              </w:rPr>
              <w:t>省部级</w:t>
            </w:r>
          </w:p>
        </w:tc>
        <w:tc>
          <w:tcPr>
            <w:tcW w:w="705" w:type="dxa"/>
            <w:noWrap w:val="0"/>
            <w:vAlign w:val="center"/>
          </w:tcPr>
          <w:p>
            <w:pPr>
              <w:spacing w:line="300" w:lineRule="exact"/>
              <w:jc w:val="center"/>
              <w:rPr>
                <w:rFonts w:ascii="黑体" w:hAnsi="黑体" w:eastAsia="黑体"/>
                <w:szCs w:val="21"/>
              </w:rPr>
            </w:pPr>
            <w:r>
              <w:rPr>
                <w:rFonts w:ascii="黑体" w:hAnsi="黑体" w:eastAsia="黑体"/>
                <w:szCs w:val="21"/>
              </w:rPr>
              <w:t>市级</w:t>
            </w:r>
          </w:p>
        </w:tc>
        <w:tc>
          <w:tcPr>
            <w:tcW w:w="705" w:type="dxa"/>
            <w:noWrap w:val="0"/>
            <w:vAlign w:val="center"/>
          </w:tcPr>
          <w:p>
            <w:pPr>
              <w:spacing w:line="300" w:lineRule="exact"/>
              <w:jc w:val="center"/>
              <w:rPr>
                <w:rFonts w:ascii="黑体" w:hAnsi="黑体" w:eastAsia="黑体"/>
                <w:szCs w:val="21"/>
              </w:rPr>
            </w:pPr>
            <w:r>
              <w:rPr>
                <w:rFonts w:ascii="黑体" w:hAnsi="黑体" w:eastAsia="黑体"/>
                <w:szCs w:val="21"/>
              </w:rPr>
              <w:t>县级</w:t>
            </w:r>
          </w:p>
        </w:tc>
        <w:tc>
          <w:tcPr>
            <w:tcW w:w="722" w:type="dxa"/>
            <w:noWrap w:val="0"/>
            <w:vAlign w:val="center"/>
          </w:tcPr>
          <w:p>
            <w:pPr>
              <w:spacing w:line="300" w:lineRule="exact"/>
              <w:jc w:val="center"/>
              <w:rPr>
                <w:rFonts w:ascii="黑体" w:hAnsi="黑体" w:eastAsia="黑体"/>
                <w:szCs w:val="21"/>
              </w:rPr>
            </w:pPr>
            <w:r>
              <w:rPr>
                <w:rFonts w:ascii="黑体" w:hAnsi="黑体" w:eastAsia="黑体"/>
                <w:szCs w:val="21"/>
              </w:rPr>
              <w:t>乡级及其他</w:t>
            </w:r>
          </w:p>
        </w:tc>
        <w:tc>
          <w:tcPr>
            <w:tcW w:w="1147" w:type="dxa"/>
            <w:vMerge w:val="continue"/>
            <w:noWrap w:val="0"/>
            <w:vAlign w:val="center"/>
          </w:tcPr>
          <w:p>
            <w:pPr>
              <w:spacing w:line="30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rPr>
            </w:pPr>
            <w:r>
              <w:rPr>
                <w:rFonts w:hint="default" w:ascii="Times New Roman" w:hAnsi="Times New Roman" w:eastAsia="方正书宋_GBK" w:cs="Times New Roman"/>
                <w:szCs w:val="21"/>
              </w:rPr>
              <w:t>1</w:t>
            </w:r>
          </w:p>
        </w:tc>
        <w:tc>
          <w:tcPr>
            <w:tcW w:w="1238" w:type="dxa"/>
            <w:noWrap w:val="0"/>
            <w:vAlign w:val="center"/>
          </w:tcPr>
          <w:p>
            <w:pPr>
              <w:widowControl/>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住所使用证明、营业场所使用证明</w:t>
            </w:r>
          </w:p>
        </w:tc>
        <w:tc>
          <w:tcPr>
            <w:tcW w:w="1480" w:type="dxa"/>
            <w:noWrap w:val="0"/>
            <w:vAlign w:val="center"/>
          </w:tcPr>
          <w:p>
            <w:pPr>
              <w:widowControl/>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申请人办理公司或分公司设立登记或住所变更业务时需提交住所使用证明。</w:t>
            </w:r>
          </w:p>
        </w:tc>
        <w:tc>
          <w:tcPr>
            <w:tcW w:w="4350" w:type="dxa"/>
            <w:noWrap w:val="0"/>
            <w:vAlign w:val="center"/>
          </w:tcPr>
          <w:p>
            <w:pPr>
              <w:widowControl/>
              <w:shd w:val="clear" w:color="auto" w:fill="FFFFFF"/>
              <w:spacing w:line="300" w:lineRule="atLeast"/>
              <w:ind w:firstLine="422"/>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华人民共和国公司登记管理条例》(2016年2月6日国务院令第666号修订）第二十条“申请设立有限责任公司，应当向公司登记机关提交下列文件：（八）公司住所证明”；第二十一条“申请设立股份有限公司，应当向公司登记机关提交下列文件：（八）公司住所证明”；第四十七条“设立分公司，应当向公司登记机关提交下列文件：（三）营业场所使用证明”。</w:t>
            </w:r>
          </w:p>
          <w:p>
            <w:pPr>
              <w:spacing w:line="300" w:lineRule="exact"/>
              <w:jc w:val="center"/>
              <w:rPr>
                <w:rFonts w:hint="eastAsia" w:asciiTheme="minorEastAsia" w:hAnsiTheme="minorEastAsia" w:eastAsiaTheme="minorEastAsia" w:cstheme="minorEastAsia"/>
                <w:sz w:val="18"/>
                <w:szCs w:val="18"/>
              </w:rPr>
            </w:pP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市场监管部门</w:t>
            </w:r>
          </w:p>
        </w:tc>
        <w:tc>
          <w:tcPr>
            <w:tcW w:w="136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政府房产管理部门、乡镇人民政府（街道办事处）、各类经济功能区管委会（如经济技术开发区、工业园区、科技园区管委会）或者居（村）委会等机构。</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rPr>
            </w:pPr>
            <w:r>
              <w:rPr>
                <w:rFonts w:hint="default" w:ascii="Times New Roman" w:hAnsi="Times New Roman" w:eastAsia="方正书宋_GBK" w:cs="Times New Roman"/>
                <w:szCs w:val="21"/>
              </w:rPr>
              <w:t>2</w:t>
            </w:r>
          </w:p>
        </w:tc>
        <w:tc>
          <w:tcPr>
            <w:tcW w:w="1238" w:type="dxa"/>
            <w:noWrap w:val="0"/>
            <w:vAlign w:val="center"/>
          </w:tcPr>
          <w:p>
            <w:pPr>
              <w:widowControl/>
              <w:spacing w:line="30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学历证明</w:t>
            </w:r>
          </w:p>
        </w:tc>
        <w:tc>
          <w:tcPr>
            <w:tcW w:w="1480" w:type="dxa"/>
            <w:noWrap w:val="0"/>
            <w:vAlign w:val="center"/>
          </w:tcPr>
          <w:p>
            <w:pPr>
              <w:widowControl/>
              <w:spacing w:line="300" w:lineRule="atLeas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特种设备作业人员资格许可</w:t>
            </w:r>
          </w:p>
        </w:tc>
        <w:tc>
          <w:tcPr>
            <w:tcW w:w="4350" w:type="dxa"/>
            <w:noWrap w:val="0"/>
            <w:vAlign w:val="center"/>
          </w:tcPr>
          <w:p>
            <w:pPr>
              <w:widowControl/>
              <w:shd w:val="clear" w:color="auto" w:fill="FFFFFF"/>
              <w:spacing w:line="320" w:lineRule="atLeast"/>
              <w:ind w:firstLine="422" w:firstLineChars="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《特种设备作业人员考核规则》TSG Z6001－2019 第十五条 申请人应当向当向工作所在地或者户籍（户口或者居住证）所在地的发证机关提交下列申请资料：（四）学历证明（复印件1份）</w:t>
            </w:r>
          </w:p>
        </w:tc>
        <w:tc>
          <w:tcPr>
            <w:tcW w:w="795" w:type="dxa"/>
            <w:noWrap w:val="0"/>
            <w:vAlign w:val="center"/>
          </w:tcPr>
          <w:p>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特种设备安全技术规范</w:t>
            </w:r>
          </w:p>
        </w:tc>
        <w:tc>
          <w:tcPr>
            <w:tcW w:w="825" w:type="dxa"/>
            <w:noWrap w:val="0"/>
            <w:vAlign w:val="center"/>
          </w:tcPr>
          <w:p>
            <w:pPr>
              <w:widowControl/>
              <w:spacing w:line="30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市场监管部门</w:t>
            </w:r>
          </w:p>
        </w:tc>
        <w:tc>
          <w:tcPr>
            <w:tcW w:w="1360" w:type="dxa"/>
            <w:noWrap w:val="0"/>
            <w:vAlign w:val="center"/>
          </w:tcPr>
          <w:p>
            <w:pPr>
              <w:widowControl/>
              <w:spacing w:line="300" w:lineRule="atLeas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教育机构</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3</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与第三者有利害关系的相关说明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取水许可</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《取水许可和水资源费征收管理条例》（国务院令第460号）第十一条：申请取水应当提交下列材料：……（二）与第三者利害关系的相关说明……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水行政主管部门</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有利害关系的第三人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4</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农药经营许可</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农药经营许可</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《农药管理条例》第二十四条《农药经营许可管理办法》第八条</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农业农村行政主管部门</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有利害关系的第三人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5</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农业植物及其产品调运检疫及植物检疫证书签发</w:t>
            </w:r>
          </w:p>
        </w:tc>
        <w:tc>
          <w:tcPr>
            <w:tcW w:w="1480" w:type="dxa"/>
            <w:noWrap w:val="0"/>
            <w:vAlign w:val="center"/>
          </w:tcPr>
          <w:p>
            <w:pPr>
              <w:spacing w:line="300" w:lineRule="exact"/>
              <w:jc w:val="both"/>
              <w:rPr>
                <w:rFonts w:hint="eastAsia" w:asciiTheme="minorEastAsia" w:hAnsiTheme="minorEastAsia" w:eastAsiaTheme="minorEastAsia" w:cstheme="minorEastAsia"/>
                <w:sz w:val="18"/>
                <w:szCs w:val="18"/>
              </w:rPr>
            </w:pPr>
          </w:p>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农业植物及其产品调运检疫及植物检疫证书签发</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p>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《植物检疫条例》第七条《植物检疫条例实施细则（农业部分）》；《湖南省植物检疫实施办法》</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农业农村行政主管部门</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p>
          <w:p>
            <w:pPr>
              <w:spacing w:line="300" w:lineRule="exact"/>
              <w:jc w:val="center"/>
              <w:rPr>
                <w:rFonts w:hint="eastAsia" w:asciiTheme="minorEastAsia" w:hAnsiTheme="minorEastAsia" w:eastAsiaTheme="minorEastAsia" w:cstheme="minorEastAsia"/>
                <w:sz w:val="18"/>
                <w:szCs w:val="18"/>
              </w:rPr>
            </w:pP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有利害关系的第三人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p>
            <w:pPr>
              <w:spacing w:line="300" w:lineRule="exact"/>
              <w:jc w:val="center"/>
              <w:rPr>
                <w:rFonts w:hint="eastAsia" w:ascii="方正书宋_GBK" w:eastAsia="方正书宋_GBK"/>
                <w:szCs w:val="21"/>
              </w:rPr>
            </w:pPr>
          </w:p>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6</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植保事故鉴定</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植保事故鉴定</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bookmarkStart w:id="0" w:name="_GoBack"/>
            <w:r>
              <w:rPr>
                <w:rFonts w:hint="eastAsia" w:asciiTheme="minorEastAsia" w:hAnsiTheme="minorEastAsia" w:eastAsiaTheme="minorEastAsia" w:cstheme="minorEastAsia"/>
                <w:sz w:val="18"/>
                <w:szCs w:val="18"/>
              </w:rPr>
              <w:t>中华人民共和国农业技术推广法</w:t>
            </w:r>
            <w:bookmarkEnd w:id="0"/>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HYPERLINK "http://www.agrichem.cn" \t "http://www.agrichem.cn/news/2015/6/17/_blank"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农药</w: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t>管理条例》、《植物检疫条例》</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法律、</w:t>
            </w: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农业农村行政主管部门</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有利害关系的第三人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7</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种子生产</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经营许可</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种子生产经营</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许可</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《中华人民共和国种子法》《农作物种子生产经营许可管理办法》《植物检疫条例》</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cstheme="minorEastAsia"/>
                <w:sz w:val="18"/>
                <w:szCs w:val="18"/>
                <w:lang w:val="en-US" w:eastAsia="zh-CN"/>
              </w:rPr>
              <w:t>法律、</w:t>
            </w: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农业农村行政主管部门</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有利害关系的第三人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8</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无犯罪记录证明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社会组织成立</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社会团体登记管理条例</w:t>
            </w:r>
            <w:r>
              <w:rPr>
                <w:rFonts w:hint="eastAsia" w:asciiTheme="minorEastAsia" w:hAnsiTheme="minorEastAsia" w:eastAsiaTheme="minorEastAsia" w:cstheme="minorEastAsia"/>
                <w:sz w:val="18"/>
                <w:szCs w:val="18"/>
              </w:rPr>
              <w:t>》（国务院令第</w:t>
            </w:r>
            <w:r>
              <w:rPr>
                <w:rFonts w:hint="eastAsia" w:asciiTheme="minorEastAsia" w:hAnsiTheme="minorEastAsia" w:eastAsiaTheme="minorEastAsia" w:cstheme="minorEastAsia"/>
                <w:sz w:val="18"/>
                <w:szCs w:val="18"/>
                <w:lang w:val="en-US" w:eastAsia="zh-CN"/>
              </w:rPr>
              <w:t>250</w:t>
            </w:r>
            <w:r>
              <w:rPr>
                <w:rFonts w:hint="eastAsia" w:asciiTheme="minorEastAsia" w:hAnsiTheme="minorEastAsia" w:eastAsiaTheme="minorEastAsia" w:cstheme="minorEastAsia"/>
                <w:sz w:val="18"/>
                <w:szCs w:val="18"/>
              </w:rPr>
              <w:t>号）第十</w:t>
            </w:r>
            <w:r>
              <w:rPr>
                <w:rFonts w:hint="eastAsia" w:asciiTheme="minorEastAsia" w:hAnsiTheme="minorEastAsia" w:eastAsiaTheme="minorEastAsia" w:cstheme="minorEastAsia"/>
                <w:sz w:val="18"/>
                <w:szCs w:val="18"/>
                <w:lang w:eastAsia="zh-CN"/>
              </w:rPr>
              <w:t>一</w:t>
            </w:r>
            <w:r>
              <w:rPr>
                <w:rFonts w:hint="eastAsia" w:asciiTheme="minorEastAsia" w:hAnsiTheme="minorEastAsia" w:eastAsiaTheme="minorEastAsia" w:cstheme="minorEastAsia"/>
                <w:sz w:val="18"/>
                <w:szCs w:val="18"/>
              </w:rPr>
              <w:t>条</w:t>
            </w:r>
            <w:r>
              <w:rPr>
                <w:rFonts w:hint="eastAsia" w:asciiTheme="minorEastAsia" w:hAnsiTheme="minorEastAsia" w:eastAsiaTheme="minorEastAsia" w:cstheme="minorEastAsia"/>
                <w:sz w:val="18"/>
                <w:szCs w:val="18"/>
                <w:lang w:eastAsia="zh-CN"/>
              </w:rPr>
              <w:t>第四款</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发起人和拟任负责人的基本情况，身份证明；《民办非企业单位登记管理暂行条例》</w:t>
            </w:r>
            <w:r>
              <w:rPr>
                <w:rFonts w:hint="eastAsia" w:asciiTheme="minorEastAsia" w:hAnsiTheme="minorEastAsia" w:eastAsiaTheme="minorEastAsia" w:cstheme="minorEastAsia"/>
                <w:sz w:val="18"/>
                <w:szCs w:val="18"/>
              </w:rPr>
              <w:t>（国务院令第</w:t>
            </w:r>
            <w:r>
              <w:rPr>
                <w:rFonts w:hint="eastAsia" w:asciiTheme="minorEastAsia" w:hAnsiTheme="minorEastAsia" w:eastAsiaTheme="minorEastAsia" w:cstheme="minorEastAsia"/>
                <w:sz w:val="18"/>
                <w:szCs w:val="18"/>
                <w:lang w:val="en-US" w:eastAsia="zh-CN"/>
              </w:rPr>
              <w:t>251</w:t>
            </w:r>
            <w:r>
              <w:rPr>
                <w:rFonts w:hint="eastAsia" w:asciiTheme="minorEastAsia" w:hAnsiTheme="minorEastAsia" w:eastAsiaTheme="minorEastAsia" w:cstheme="minorEastAsia"/>
                <w:sz w:val="18"/>
                <w:szCs w:val="18"/>
              </w:rPr>
              <w:t>号）</w:t>
            </w:r>
            <w:r>
              <w:rPr>
                <w:rFonts w:hint="eastAsia" w:asciiTheme="minorEastAsia" w:hAnsiTheme="minorEastAsia" w:eastAsiaTheme="minorEastAsia" w:cstheme="minorEastAsia"/>
                <w:sz w:val="18"/>
                <w:szCs w:val="18"/>
                <w:lang w:eastAsia="zh-CN"/>
              </w:rPr>
              <w:t>第九条第五款拟任负责人基本情况，身份证明。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w:t>
            </w:r>
            <w:r>
              <w:rPr>
                <w:rFonts w:hint="eastAsia" w:asciiTheme="minorEastAsia" w:hAnsiTheme="minorEastAsia" w:eastAsiaTheme="minorEastAsia" w:cstheme="minorEastAsia"/>
                <w:sz w:val="18"/>
                <w:szCs w:val="18"/>
                <w:lang w:eastAsia="zh-CN"/>
              </w:rPr>
              <w:t>社会组织股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公安部门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9</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房产证明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社会组织成立</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社会团体登记管理条例</w:t>
            </w:r>
            <w:r>
              <w:rPr>
                <w:rFonts w:hint="eastAsia" w:asciiTheme="minorEastAsia" w:hAnsiTheme="minorEastAsia" w:eastAsiaTheme="minorEastAsia" w:cstheme="minorEastAsia"/>
                <w:sz w:val="18"/>
                <w:szCs w:val="18"/>
              </w:rPr>
              <w:t>》（国务院令第</w:t>
            </w:r>
            <w:r>
              <w:rPr>
                <w:rFonts w:hint="eastAsia" w:asciiTheme="minorEastAsia" w:hAnsiTheme="minorEastAsia" w:eastAsiaTheme="minorEastAsia" w:cstheme="minorEastAsia"/>
                <w:sz w:val="18"/>
                <w:szCs w:val="18"/>
                <w:lang w:val="en-US" w:eastAsia="zh-CN"/>
              </w:rPr>
              <w:t>250</w:t>
            </w:r>
            <w:r>
              <w:rPr>
                <w:rFonts w:hint="eastAsia" w:asciiTheme="minorEastAsia" w:hAnsiTheme="minorEastAsia" w:eastAsiaTheme="minorEastAsia" w:cstheme="minorEastAsia"/>
                <w:sz w:val="18"/>
                <w:szCs w:val="18"/>
              </w:rPr>
              <w:t>号）第十</w:t>
            </w:r>
            <w:r>
              <w:rPr>
                <w:rFonts w:hint="eastAsia" w:asciiTheme="minorEastAsia" w:hAnsiTheme="minorEastAsia" w:eastAsiaTheme="minorEastAsia" w:cstheme="minorEastAsia"/>
                <w:sz w:val="18"/>
                <w:szCs w:val="18"/>
                <w:lang w:eastAsia="zh-CN"/>
              </w:rPr>
              <w:t>一</w:t>
            </w:r>
            <w:r>
              <w:rPr>
                <w:rFonts w:hint="eastAsia" w:asciiTheme="minorEastAsia" w:hAnsiTheme="minorEastAsia" w:eastAsiaTheme="minorEastAsia" w:cstheme="minorEastAsia"/>
                <w:sz w:val="18"/>
                <w:szCs w:val="18"/>
              </w:rPr>
              <w:t>条</w:t>
            </w:r>
            <w:r>
              <w:rPr>
                <w:rFonts w:hint="eastAsia" w:asciiTheme="minorEastAsia" w:hAnsiTheme="minorEastAsia" w:eastAsiaTheme="minorEastAsia" w:cstheme="minorEastAsia"/>
                <w:sz w:val="18"/>
                <w:szCs w:val="18"/>
                <w:lang w:eastAsia="zh-CN"/>
              </w:rPr>
              <w:t>第三款</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eastAsia="zh-CN"/>
              </w:rPr>
              <w:t>场所使用权证明；《民办非企业单位登记管理暂行条例》</w:t>
            </w:r>
            <w:r>
              <w:rPr>
                <w:rFonts w:hint="eastAsia" w:asciiTheme="minorEastAsia" w:hAnsiTheme="minorEastAsia" w:eastAsiaTheme="minorEastAsia" w:cstheme="minorEastAsia"/>
                <w:sz w:val="18"/>
                <w:szCs w:val="18"/>
              </w:rPr>
              <w:t>（国务院令第</w:t>
            </w:r>
            <w:r>
              <w:rPr>
                <w:rFonts w:hint="eastAsia" w:asciiTheme="minorEastAsia" w:hAnsiTheme="minorEastAsia" w:eastAsiaTheme="minorEastAsia" w:cstheme="minorEastAsia"/>
                <w:sz w:val="18"/>
                <w:szCs w:val="18"/>
                <w:lang w:val="en-US" w:eastAsia="zh-CN"/>
              </w:rPr>
              <w:t>251</w:t>
            </w:r>
            <w:r>
              <w:rPr>
                <w:rFonts w:hint="eastAsia" w:asciiTheme="minorEastAsia" w:hAnsiTheme="minorEastAsia" w:eastAsiaTheme="minorEastAsia" w:cstheme="minorEastAsia"/>
                <w:sz w:val="18"/>
                <w:szCs w:val="18"/>
              </w:rPr>
              <w:t>号）</w:t>
            </w:r>
            <w:r>
              <w:rPr>
                <w:rFonts w:hint="eastAsia" w:asciiTheme="minorEastAsia" w:hAnsiTheme="minorEastAsia" w:eastAsiaTheme="minorEastAsia" w:cstheme="minorEastAsia"/>
                <w:sz w:val="18"/>
                <w:szCs w:val="18"/>
                <w:lang w:eastAsia="zh-CN"/>
              </w:rPr>
              <w:t>第九条第三款：场所使用权证明；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w:t>
            </w:r>
            <w:r>
              <w:rPr>
                <w:rFonts w:hint="eastAsia" w:asciiTheme="minorEastAsia" w:hAnsiTheme="minorEastAsia" w:eastAsiaTheme="minorEastAsia" w:cstheme="minorEastAsia"/>
                <w:sz w:val="18"/>
                <w:szCs w:val="18"/>
                <w:lang w:eastAsia="zh-CN"/>
              </w:rPr>
              <w:t>社会组织股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公安部门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10</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补贴对象的身体状况证</w:t>
            </w:r>
            <w:r>
              <w:rPr>
                <w:rFonts w:hint="eastAsia" w:asciiTheme="minorEastAsia" w:hAnsiTheme="minorEastAsia" w:eastAsiaTheme="minorEastAsia" w:cstheme="minorEastAsia"/>
                <w:sz w:val="18"/>
                <w:szCs w:val="18"/>
              </w:rPr>
              <w:t>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基本养老服务补贴</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湖南省财政厅 湖南省民政厅 湖南省老龄工作委员会办公室关于建立健全基本养老服务补贴制度的通知（湘财社﹝2015﹞28号）第三条第一款补贴对象的经济状况由县级以上民政部门核定，补贴对象身体状况由县级以上医疗机构鉴定。</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区民政局养老服务股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县级以上医疗机构</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val="en-US" w:eastAsia="zh-CN"/>
              </w:rPr>
              <w:t>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11</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捡拾证明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收养登记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中华人民共和国收养子女登记办法第五条公安机关出具的捡拾弃婴、儿童报案证明。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区民政局儿童福利股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公安部门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12</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收入证明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收养登记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中华人民共和国收养子女登记办法第五条由收养人所在单位或者村民委员会、居民委员会出具的有无抚养教育被收养人的能力等情况的证明。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区民政局儿童福利股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村（居）</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13</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健康证明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收养登记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中华人民共和国收养子女登记办法第五条县级以上医疗机构出具的未患有在医学上认为不应当收养子女的疾病的身体健康检查证明。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区民政局儿童福利股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县级医院</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14</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计划生育证明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收养登记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中华人民共和国收养子女登记办法第五条收养人常居地计划生育部门出具的收养人无子女的证明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区民政局儿童福利股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卫生健康部门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15</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亲属关系证明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收养登记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中华人民共和国收养子女登记办法第六条收养三代以内同辈旁系血亲的，应当提交公安机关出具的或者经过公证的与收养人有亲属关系的证明。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区民政局儿童福利股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公安部门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16</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无力抚养子女证明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收养登记</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中华人民共和国收养子女登记办法第六条生父母为送养人应当提交有特殊困难无力抚养子女的证明，由村、乡镇街道出具送养人有特殊困难的证明。</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区民政局儿童福利股</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乡镇、街道人民政府</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17</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结婚证遗失证明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行政确认</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《婚姻登记工作规范》（民发［</w:t>
            </w:r>
            <w:r>
              <w:rPr>
                <w:rFonts w:hint="eastAsia" w:asciiTheme="minorEastAsia" w:hAnsiTheme="minorEastAsia" w:eastAsiaTheme="minorEastAsia" w:cstheme="minorEastAsia"/>
                <w:sz w:val="18"/>
                <w:szCs w:val="18"/>
                <w:lang w:val="en-US" w:eastAsia="zh-CN"/>
              </w:rPr>
              <w:t>2015</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230号</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第64条当事人结婚登记档案查找不到的，当事人应当提供充分证据证明婚姻关系，婚姻登记机关经过严格审查，确认当事人存在婚姻关系的，可以为其补领结婚证。</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区民政局婚姻登记中心</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各乡镇、街道、民政社会事务办</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18</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身份证变更证明</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行政确认</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《婚姻登记工作规范》（民发［</w:t>
            </w:r>
            <w:r>
              <w:rPr>
                <w:rFonts w:hint="eastAsia" w:asciiTheme="minorEastAsia" w:hAnsiTheme="minorEastAsia" w:eastAsiaTheme="minorEastAsia" w:cstheme="minorEastAsia"/>
                <w:sz w:val="18"/>
                <w:szCs w:val="18"/>
                <w:lang w:val="en-US" w:eastAsia="zh-CN"/>
              </w:rPr>
              <w:t>2015</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230号</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第29条居民身份证与户口簿上的姓名、性别、出生日期、公民身份号码应当一致；不一致的，当事人应当先到有关部门更正。</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区民政局婚姻登记中心</w:t>
            </w:r>
          </w:p>
        </w:tc>
        <w:tc>
          <w:tcPr>
            <w:tcW w:w="136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公安部门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r>
              <w:rPr>
                <w:rFonts w:hint="eastAsia" w:asciiTheme="minorEastAsia" w:hAnsiTheme="minorEastAsia" w:eastAsiaTheme="minorEastAsia" w:cstheme="minorEastAsia"/>
                <w:sz w:val="18"/>
                <w:szCs w:val="18"/>
                <w:lang w:eastAsia="zh-CN"/>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19</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经济困难证明</w:t>
            </w:r>
          </w:p>
        </w:tc>
        <w:tc>
          <w:tcPr>
            <w:tcW w:w="1480" w:type="dxa"/>
            <w:noWrap w:val="0"/>
            <w:vAlign w:val="center"/>
          </w:tcPr>
          <w:p>
            <w:pPr>
              <w:spacing w:line="300" w:lineRule="exact"/>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申请法律援助应当提交证明，证明申请人确有经济困难</w:t>
            </w:r>
          </w:p>
        </w:tc>
        <w:tc>
          <w:tcPr>
            <w:tcW w:w="4350" w:type="dxa"/>
            <w:noWrap w:val="0"/>
            <w:vAlign w:val="center"/>
          </w:tcPr>
          <w:p>
            <w:pPr>
              <w:spacing w:line="300" w:lineRule="exact"/>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《法律援助条例》（国务院令第385号）第十七条，《湖南省法律援助条例》第十三条，第十四条</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20"/>
                <w:sz w:val="18"/>
                <w:szCs w:val="18"/>
                <w:lang w:val="en-US" w:eastAsia="zh-CN"/>
              </w:rPr>
              <w:t>区司法局</w:t>
            </w:r>
          </w:p>
        </w:tc>
        <w:tc>
          <w:tcPr>
            <w:tcW w:w="1360" w:type="dxa"/>
            <w:noWrap w:val="0"/>
            <w:vAlign w:val="center"/>
          </w:tcPr>
          <w:p>
            <w:pPr>
              <w:spacing w:line="3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户籍所在地或长期居住地乡镇人民政府、街道办事处</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20</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兽药技术人员相关资质</w:t>
            </w:r>
          </w:p>
        </w:tc>
        <w:tc>
          <w:tcPr>
            <w:tcW w:w="148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兽药经营许可证的条件</w:t>
            </w:r>
          </w:p>
        </w:tc>
        <w:tc>
          <w:tcPr>
            <w:tcW w:w="4350" w:type="dxa"/>
            <w:noWrap w:val="0"/>
            <w:vAlign w:val="center"/>
          </w:tcPr>
          <w:p>
            <w:pPr>
              <w:spacing w:line="30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《兽药管理条例》第二十二条　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申请人凭兽药经营许可证办理工商登记手续。第二十三条　兽药经营许可证应当载明经营范围、经营地点、有效期和法定代表人姓名、住址等事项</w:t>
            </w:r>
            <w:r>
              <w:rPr>
                <w:rFonts w:hint="eastAsia" w:asciiTheme="minorEastAsia" w:hAnsiTheme="minorEastAsia" w:eastAsiaTheme="minorEastAsia" w:cstheme="minorEastAsia"/>
                <w:i w:val="0"/>
                <w:caps w:val="0"/>
                <w:color w:val="666666"/>
                <w:spacing w:val="0"/>
                <w:sz w:val="18"/>
                <w:szCs w:val="18"/>
                <w:shd w:val="clear" w:fill="FFFFFF"/>
              </w:rPr>
              <w:t>。</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畜牧水产主管部门</w:t>
            </w:r>
          </w:p>
        </w:tc>
        <w:tc>
          <w:tcPr>
            <w:tcW w:w="1360" w:type="dxa"/>
            <w:noWrap w:val="0"/>
            <w:vAlign w:val="center"/>
          </w:tcPr>
          <w:p>
            <w:pPr>
              <w:spacing w:line="30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p>
            <w:pPr>
              <w:spacing w:line="30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p>
            <w:pPr>
              <w:spacing w:line="30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p>
            <w:pPr>
              <w:spacing w:line="300" w:lineRule="exact"/>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省市区人社部门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21</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兽药技术人员相关资质</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动物</w:t>
            </w:r>
            <w:r>
              <w:rPr>
                <w:rFonts w:hint="eastAsia" w:asciiTheme="minorEastAsia" w:hAnsiTheme="minorEastAsia" w:eastAsiaTheme="minorEastAsia" w:cstheme="minorEastAsia"/>
                <w:sz w:val="18"/>
                <w:szCs w:val="18"/>
                <w:lang w:val="en-US" w:eastAsia="zh-CN"/>
              </w:rPr>
              <w:t>诊疗许可证的条件</w:t>
            </w:r>
          </w:p>
        </w:tc>
        <w:tc>
          <w:tcPr>
            <w:tcW w:w="4350" w:type="dxa"/>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7" w:lineRule="atLeast"/>
              <w:ind w:left="0" w:right="0" w:firstLine="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《中华人民共和国动物防疫法》　第六十一条　从事动物诊疗活动的机构，应当具备下列条件：（一）有与动物诊疗活动相适应并符合动物防疫条件的场所；（二）有与动物诊疗活动相适应的执业兽医；（三）有与动物诊疗活动相适应的兽医器械和设备；（四）有完善的管理制度。　动物诊疗机构包括动物医院、动物诊所以及其他提供动物诊疗服务的机构。</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法律</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畜牧水产主管部门</w:t>
            </w:r>
          </w:p>
        </w:tc>
        <w:tc>
          <w:tcPr>
            <w:tcW w:w="1360" w:type="dxa"/>
            <w:noWrap w:val="0"/>
            <w:vAlign w:val="center"/>
          </w:tcPr>
          <w:p>
            <w:pPr>
              <w:spacing w:line="300" w:lineRule="exact"/>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p>
          <w:p>
            <w:pPr>
              <w:spacing w:line="300" w:lineRule="exact"/>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省市区人社部门</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22</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系谱</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来源</w:t>
            </w:r>
          </w:p>
        </w:tc>
        <w:tc>
          <w:tcPr>
            <w:tcW w:w="148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水产苗种许可证的条件</w:t>
            </w:r>
          </w:p>
        </w:tc>
        <w:tc>
          <w:tcPr>
            <w:tcW w:w="4350"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《中华人民共和国渔业法》第十六条第三款：水产苗种的生产由县级以上地方人民政府渔业行政主管部门审批。但是，渔业生产者自育、自用水产苗种的除外。</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法律</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畜牧水产主管部门</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原良种场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23</w:t>
            </w:r>
          </w:p>
        </w:tc>
        <w:tc>
          <w:tcPr>
            <w:tcW w:w="1238" w:type="dxa"/>
            <w:noWrap w:val="0"/>
            <w:vAlign w:val="center"/>
          </w:tcPr>
          <w:p>
            <w:pPr>
              <w:spacing w:line="300" w:lineRule="exact"/>
              <w:ind w:firstLine="180" w:firstLineChars="10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系谱</w:t>
            </w:r>
          </w:p>
          <w:p>
            <w:pPr>
              <w:spacing w:line="300" w:lineRule="exact"/>
              <w:ind w:firstLine="180" w:firstLineChars="1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来源</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种畜禽生产许可证的条件</w:t>
            </w:r>
          </w:p>
        </w:tc>
        <w:tc>
          <w:tcPr>
            <w:tcW w:w="4350" w:type="dxa"/>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《中华人民共和国畜牧法》（2005年12月29日主席令第45号，2015年4月24日予以修改主席令第26号）第二十二条规定：从事种畜禽生产经营或者生产商品代仔畜、雏禽的单位、个人，应当取得种畜禽经营许可证。</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法律</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畜牧水产主管部门</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原良种场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24</w:t>
            </w:r>
          </w:p>
        </w:tc>
        <w:tc>
          <w:tcPr>
            <w:tcW w:w="1238" w:type="dxa"/>
            <w:noWrap w:val="0"/>
            <w:vAlign w:val="center"/>
          </w:tcPr>
          <w:p>
            <w:pPr>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系谱</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来源</w:t>
            </w:r>
          </w:p>
        </w:tc>
        <w:tc>
          <w:tcPr>
            <w:tcW w:w="1480"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水生野生动物经营利用证的条件</w:t>
            </w:r>
          </w:p>
        </w:tc>
        <w:tc>
          <w:tcPr>
            <w:tcW w:w="4350" w:type="dxa"/>
            <w:noWrap w:val="0"/>
            <w:vAlign w:val="center"/>
          </w:tcPr>
          <w:p>
            <w:pPr>
              <w:keepNext w:val="0"/>
              <w:keepLines w:val="0"/>
              <w:widowControl/>
              <w:suppressLineNumbers w:val="0"/>
              <w:shd w:val="clear" w:fill="FFFFFF"/>
              <w:wordWrap w:val="0"/>
              <w:ind w:left="0" w:firstLine="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《中华人民共和国水产野生动物利用特许办法》二十六条 经批准出售、购买、利用水生野生动物或其制品的单位和个人，应当持《经营利用证》到出售、收购所在地的县级以上渔业行政主管部门备案后方可进行出售、购买、利用活动。第二十七条 出售、购买、利用水生野生动物或其制品的单位和个人，应当遵守以下规定：（一）遵守国家和地方有关野生动物保护法律法规和政策；二）利用的水生野生动物或其制品来源符合国家规定；（三）建立出售、购买、利用水生野生动物或其制品档案；（四）接受当地渔业行政主管部门的监督检查和指导。</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行政</w:t>
            </w:r>
          </w:p>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法规</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畜牧水产主管部门</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原良种场</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83" w:type="dxa"/>
            <w:noWrap w:val="0"/>
            <w:vAlign w:val="center"/>
          </w:tcPr>
          <w:p>
            <w:pPr>
              <w:spacing w:line="300" w:lineRule="exact"/>
              <w:jc w:val="center"/>
              <w:rPr>
                <w:rFonts w:hint="default" w:ascii="Times New Roman" w:hAnsi="Times New Roman" w:eastAsia="方正书宋_GBK" w:cs="Times New Roman"/>
                <w:szCs w:val="21"/>
                <w:lang w:val="en-US" w:eastAsia="zh-CN"/>
              </w:rPr>
            </w:pPr>
            <w:r>
              <w:rPr>
                <w:rFonts w:hint="default" w:ascii="Times New Roman" w:hAnsi="Times New Roman" w:eastAsia="方正书宋_GBK" w:cs="Times New Roman"/>
                <w:szCs w:val="21"/>
                <w:lang w:val="en-US" w:eastAsia="zh-CN"/>
              </w:rPr>
              <w:t>25</w:t>
            </w:r>
          </w:p>
        </w:tc>
        <w:tc>
          <w:tcPr>
            <w:tcW w:w="1238"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有无免疫标识</w:t>
            </w:r>
          </w:p>
        </w:tc>
        <w:tc>
          <w:tcPr>
            <w:tcW w:w="1480" w:type="dxa"/>
            <w:noWrap w:val="0"/>
            <w:vAlign w:val="center"/>
          </w:tcPr>
          <w:p>
            <w:pPr>
              <w:spacing w:line="3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动物、动物产品检疫审批的条件</w:t>
            </w:r>
          </w:p>
        </w:tc>
        <w:tc>
          <w:tcPr>
            <w:tcW w:w="4350"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《中华人民共和国动物防疫法》第五章　动物和动物产品的检疫第四十八条　动物卫生监督机构依照本法和国务院农业农村主管部门的规定对动物、动物产品实施检疫。动物卫生监督机构的官方兽医具体实施动物、动物产品检疫。</w:t>
            </w:r>
          </w:p>
        </w:tc>
        <w:tc>
          <w:tcPr>
            <w:tcW w:w="79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法律</w:t>
            </w:r>
          </w:p>
        </w:tc>
        <w:tc>
          <w:tcPr>
            <w:tcW w:w="825"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畜牧水产主管部门</w:t>
            </w:r>
          </w:p>
        </w:tc>
        <w:tc>
          <w:tcPr>
            <w:tcW w:w="1360" w:type="dxa"/>
            <w:noWrap w:val="0"/>
            <w:vAlign w:val="center"/>
          </w:tcPr>
          <w:p>
            <w:pPr>
              <w:spacing w:line="300" w:lineRule="exact"/>
              <w:jc w:val="center"/>
              <w:rPr>
                <w:rFonts w:hint="eastAsia" w:asciiTheme="minorEastAsia" w:hAnsiTheme="minorEastAsia" w:eastAsiaTheme="minorEastAsia" w:cstheme="minorEastAsia"/>
                <w:color w:val="FF0000"/>
                <w:sz w:val="18"/>
                <w:szCs w:val="18"/>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乡镇农业综合服务站、预控股</w:t>
            </w:r>
          </w:p>
        </w:tc>
        <w:tc>
          <w:tcPr>
            <w:tcW w:w="659"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p>
        </w:tc>
        <w:tc>
          <w:tcPr>
            <w:tcW w:w="705" w:type="dxa"/>
            <w:noWrap w:val="0"/>
            <w:vAlign w:val="center"/>
          </w:tcPr>
          <w:p>
            <w:pPr>
              <w:spacing w:line="300" w:lineRule="exact"/>
              <w:jc w:val="center"/>
              <w:rPr>
                <w:rFonts w:hint="eastAsia" w:ascii="方正书宋_GBK" w:eastAsia="方正书宋_GBK"/>
                <w:szCs w:val="21"/>
              </w:rPr>
            </w:pPr>
            <w:r>
              <w:rPr>
                <w:rFonts w:hint="eastAsia" w:ascii="方正书宋_GBK" w:eastAsia="方正书宋_GBK"/>
                <w:szCs w:val="21"/>
              </w:rPr>
              <w:t>√</w:t>
            </w:r>
          </w:p>
        </w:tc>
        <w:tc>
          <w:tcPr>
            <w:tcW w:w="722" w:type="dxa"/>
            <w:noWrap w:val="0"/>
            <w:vAlign w:val="center"/>
          </w:tcPr>
          <w:p>
            <w:pPr>
              <w:spacing w:line="300" w:lineRule="exact"/>
              <w:jc w:val="center"/>
              <w:rPr>
                <w:rFonts w:hint="eastAsia" w:ascii="方正书宋_GBK" w:eastAsia="方正书宋_GBK"/>
                <w:szCs w:val="21"/>
              </w:rPr>
            </w:pPr>
          </w:p>
        </w:tc>
        <w:tc>
          <w:tcPr>
            <w:tcW w:w="1147" w:type="dxa"/>
            <w:noWrap w:val="0"/>
            <w:vAlign w:val="center"/>
          </w:tcPr>
          <w:p>
            <w:pPr>
              <w:spacing w:line="30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行政许可</w:t>
            </w:r>
          </w:p>
        </w:tc>
      </w:tr>
    </w:tbl>
    <w:p>
      <w:pPr>
        <w:ind w:firstLine="630" w:firstLineChars="300"/>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014AC"/>
    <w:rsid w:val="10343629"/>
    <w:rsid w:val="15DB28D1"/>
    <w:rsid w:val="37B5498F"/>
    <w:rsid w:val="525A2391"/>
    <w:rsid w:val="5C6C5FB8"/>
    <w:rsid w:val="6C8621A7"/>
    <w:rsid w:val="6D3575E6"/>
    <w:rsid w:val="734B21FC"/>
    <w:rsid w:val="78022308"/>
    <w:rsid w:val="7EAF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2021-04-21T09:29:00Z</dcterms:created>
  <dc:creator>Administrator</dc:creator>
  <cp:lastModifiedBy>Administrator</cp:lastModifiedBy>
  <dcterms:modified xsi:type="dcterms:W3CDTF">2021-04-30T03:53:49Z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EBAE678020E24499AC08B65C41813CB0</vt:lpwstr>
  </property>
</Properties>
</file>