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rPr>
          <w:rFonts w:ascii="黑体" w:hAnsi="黑体" w:eastAsia="黑体"/>
          <w:sz w:val="32"/>
          <w:szCs w:val="32"/>
        </w:rPr>
        <w:sectPr>
          <w:footerReference r:id="rId3" w:type="default"/>
          <w:pgSz w:w="16838" w:h="11906" w:orient="landscape"/>
          <w:pgMar w:top="1588" w:right="2098" w:bottom="1474" w:left="1985" w:header="851" w:footer="1701" w:gutter="0"/>
          <w:pgNumType w:fmt="numberInDash"/>
          <w:cols w:space="425" w:num="1"/>
          <w:docGrid w:type="linesAndChars" w:linePitch="312" w:charSpace="0"/>
        </w:sectPr>
      </w:pPr>
    </w:p>
    <w:p>
      <w:pPr>
        <w:spacing w:line="480" w:lineRule="exact"/>
        <w:rPr>
          <w:rFonts w:ascii="黑体" w:hAnsi="黑体" w:eastAsia="黑体"/>
          <w:sz w:val="32"/>
          <w:szCs w:val="32"/>
        </w:rPr>
      </w:pPr>
      <w:r>
        <w:rPr>
          <w:rFonts w:hint="eastAsia" w:ascii="黑体" w:hAnsi="黑体" w:eastAsia="黑体"/>
          <w:sz w:val="32"/>
          <w:szCs w:val="32"/>
        </w:rPr>
        <w:t>附件3：</w:t>
      </w:r>
    </w:p>
    <w:p>
      <w:pPr>
        <w:spacing w:line="480" w:lineRule="exact"/>
        <w:jc w:val="center"/>
        <w:rPr>
          <w:rFonts w:ascii="方正小标宋简体" w:eastAsia="方正小标宋简体"/>
          <w:bCs/>
          <w:sz w:val="44"/>
          <w:szCs w:val="44"/>
        </w:rPr>
      </w:pPr>
      <w:r>
        <w:rPr>
          <w:rFonts w:hint="eastAsia" w:ascii="方正小标宋简体" w:eastAsia="方正小标宋简体"/>
          <w:bCs/>
          <w:sz w:val="44"/>
          <w:szCs w:val="44"/>
        </w:rPr>
        <w:t>201</w:t>
      </w:r>
      <w:r>
        <w:rPr>
          <w:rFonts w:hint="eastAsia" w:ascii="方正小标宋简体" w:eastAsia="方正小标宋简体"/>
          <w:bCs/>
          <w:sz w:val="44"/>
          <w:szCs w:val="44"/>
          <w:lang w:val="en-US" w:eastAsia="zh-CN"/>
        </w:rPr>
        <w:t>9</w:t>
      </w:r>
      <w:r>
        <w:rPr>
          <w:rFonts w:hint="eastAsia" w:ascii="方正小标宋简体" w:eastAsia="方正小标宋简体"/>
          <w:bCs/>
          <w:sz w:val="44"/>
          <w:szCs w:val="44"/>
        </w:rPr>
        <w:t>年度部门整体支出绩效自评指标计分表</w:t>
      </w:r>
    </w:p>
    <w:p>
      <w:pPr>
        <w:spacing w:line="80" w:lineRule="exact"/>
        <w:rPr>
          <w:rFonts w:ascii="仿宋_GB2312"/>
        </w:rPr>
      </w:pPr>
    </w:p>
    <w:tbl>
      <w:tblPr>
        <w:tblStyle w:val="7"/>
        <w:tblW w:w="89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7"/>
        <w:gridCol w:w="570"/>
        <w:gridCol w:w="703"/>
        <w:gridCol w:w="446"/>
        <w:gridCol w:w="2976"/>
        <w:gridCol w:w="3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blHeader/>
        </w:trPr>
        <w:tc>
          <w:tcPr>
            <w:tcW w:w="547"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bCs/>
                <w:szCs w:val="21"/>
              </w:rPr>
            </w:pPr>
            <w:r>
              <w:rPr>
                <w:rFonts w:hint="eastAsia" w:asciiTheme="majorEastAsia" w:hAnsiTheme="majorEastAsia" w:eastAsiaTheme="majorEastAsia"/>
                <w:bCs/>
                <w:szCs w:val="21"/>
              </w:rPr>
              <w:t>一级</w:t>
            </w:r>
            <w:r>
              <w:rPr>
                <w:rFonts w:hint="eastAsia" w:asciiTheme="majorEastAsia" w:hAnsiTheme="majorEastAsia" w:eastAsiaTheme="majorEastAsia"/>
                <w:bCs/>
                <w:szCs w:val="21"/>
              </w:rPr>
              <w:br w:type="textWrapping"/>
            </w:r>
            <w:r>
              <w:rPr>
                <w:rFonts w:hint="eastAsia" w:asciiTheme="majorEastAsia" w:hAnsiTheme="majorEastAsia" w:eastAsiaTheme="majorEastAsia"/>
                <w:bCs/>
                <w:szCs w:val="21"/>
              </w:rPr>
              <w:t>指标</w:t>
            </w:r>
          </w:p>
        </w:tc>
        <w:tc>
          <w:tcPr>
            <w:tcW w:w="570"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bCs/>
                <w:szCs w:val="21"/>
              </w:rPr>
            </w:pPr>
            <w:r>
              <w:rPr>
                <w:rFonts w:hint="eastAsia" w:asciiTheme="majorEastAsia" w:hAnsiTheme="majorEastAsia" w:eastAsiaTheme="majorEastAsia"/>
                <w:bCs/>
                <w:szCs w:val="21"/>
              </w:rPr>
              <w:t>二级指标</w:t>
            </w: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bCs/>
                <w:szCs w:val="21"/>
              </w:rPr>
            </w:pPr>
            <w:r>
              <w:rPr>
                <w:rFonts w:hint="eastAsia" w:asciiTheme="majorEastAsia" w:hAnsiTheme="majorEastAsia" w:eastAsiaTheme="majorEastAsia"/>
                <w:bCs/>
                <w:szCs w:val="21"/>
              </w:rPr>
              <w:t>三级指标</w:t>
            </w:r>
          </w:p>
        </w:tc>
        <w:tc>
          <w:tcPr>
            <w:tcW w:w="446" w:type="dxa"/>
            <w:tcMar>
              <w:top w:w="10" w:type="dxa"/>
              <w:left w:w="10" w:type="dxa"/>
              <w:bottom w:w="0" w:type="dxa"/>
              <w:right w:w="10" w:type="dxa"/>
            </w:tcMar>
            <w:vAlign w:val="center"/>
          </w:tcPr>
          <w:p>
            <w:pPr>
              <w:spacing w:line="240" w:lineRule="exact"/>
              <w:jc w:val="center"/>
              <w:rPr>
                <w:rFonts w:asciiTheme="majorEastAsia" w:hAnsiTheme="majorEastAsia" w:eastAsiaTheme="majorEastAsia"/>
                <w:bCs/>
                <w:szCs w:val="21"/>
              </w:rPr>
            </w:pPr>
            <w:r>
              <w:rPr>
                <w:rFonts w:hint="eastAsia" w:asciiTheme="majorEastAsia" w:hAnsiTheme="majorEastAsia" w:eastAsiaTheme="majorEastAsia"/>
                <w:bCs/>
                <w:szCs w:val="21"/>
              </w:rPr>
              <w:t>自评分</w:t>
            </w:r>
          </w:p>
        </w:tc>
        <w:tc>
          <w:tcPr>
            <w:tcW w:w="2976"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bCs/>
                <w:szCs w:val="21"/>
              </w:rPr>
            </w:pPr>
            <w:r>
              <w:rPr>
                <w:rFonts w:hint="eastAsia" w:asciiTheme="majorEastAsia" w:hAnsiTheme="majorEastAsia" w:eastAsiaTheme="majorEastAsia"/>
                <w:bCs/>
                <w:szCs w:val="21"/>
              </w:rPr>
              <w:t>指标解释</w:t>
            </w:r>
          </w:p>
        </w:tc>
        <w:tc>
          <w:tcPr>
            <w:tcW w:w="3721"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bCs/>
                <w:szCs w:val="21"/>
              </w:rPr>
            </w:pPr>
            <w:r>
              <w:rPr>
                <w:rFonts w:hint="eastAsia" w:asciiTheme="majorEastAsia" w:hAnsiTheme="majorEastAsia" w:eastAsiaTheme="majorEastAsia"/>
                <w:bCs/>
                <w:szCs w:val="21"/>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restart"/>
            <w:shd w:val="clear" w:color="auto" w:fill="auto"/>
            <w:tcMar>
              <w:top w:w="10" w:type="dxa"/>
              <w:left w:w="10" w:type="dxa"/>
              <w:bottom w:w="0" w:type="dxa"/>
              <w:right w:w="10" w:type="dxa"/>
            </w:tcMar>
            <w:textDirection w:val="tbRlV"/>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投   入（20分）</w:t>
            </w:r>
          </w:p>
        </w:tc>
        <w:tc>
          <w:tcPr>
            <w:tcW w:w="570" w:type="dxa"/>
            <w:vMerge w:val="restart"/>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目标</w:t>
            </w:r>
            <w:r>
              <w:rPr>
                <w:rFonts w:hint="eastAsia" w:asciiTheme="majorEastAsia" w:hAnsiTheme="majorEastAsia" w:eastAsiaTheme="majorEastAsia"/>
                <w:szCs w:val="21"/>
              </w:rPr>
              <w:br w:type="textWrapping"/>
            </w:r>
            <w:r>
              <w:rPr>
                <w:rFonts w:hint="eastAsia" w:asciiTheme="majorEastAsia" w:hAnsiTheme="majorEastAsia" w:eastAsiaTheme="majorEastAsia"/>
                <w:szCs w:val="21"/>
              </w:rPr>
              <w:t>设定（5分）</w:t>
            </w: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绩效目标合理性（2分）</w:t>
            </w:r>
          </w:p>
        </w:tc>
        <w:tc>
          <w:tcPr>
            <w:tcW w:w="446" w:type="dxa"/>
            <w:tcMar>
              <w:top w:w="10" w:type="dxa"/>
              <w:left w:w="10" w:type="dxa"/>
              <w:bottom w:w="0" w:type="dxa"/>
              <w:right w:w="10" w:type="dxa"/>
            </w:tcMar>
            <w:vAlign w:val="center"/>
          </w:tcPr>
          <w:p>
            <w:pPr>
              <w:tabs>
                <w:tab w:val="left" w:pos="2604"/>
              </w:tabs>
              <w:spacing w:line="240" w:lineRule="exact"/>
              <w:jc w:val="center"/>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2</w:t>
            </w:r>
          </w:p>
        </w:tc>
        <w:tc>
          <w:tcPr>
            <w:tcW w:w="2976" w:type="dxa"/>
            <w:shd w:val="clear" w:color="auto" w:fill="auto"/>
            <w:tcMar>
              <w:top w:w="10" w:type="dxa"/>
              <w:left w:w="10" w:type="dxa"/>
              <w:bottom w:w="0" w:type="dxa"/>
              <w:right w:w="10" w:type="dxa"/>
            </w:tcMar>
            <w:vAlign w:val="center"/>
          </w:tcPr>
          <w:p>
            <w:pPr>
              <w:tabs>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部门所设立的整体绩效目标依据是否充分，是否符合客观实际，用以反映和考核部门整体绩效目标与部门履职、年度工作任务的相符性情况。</w:t>
            </w:r>
          </w:p>
        </w:tc>
        <w:tc>
          <w:tcPr>
            <w:tcW w:w="3721" w:type="dxa"/>
            <w:shd w:val="clear" w:color="auto" w:fill="auto"/>
            <w:tcMar>
              <w:top w:w="10" w:type="dxa"/>
              <w:left w:w="10" w:type="dxa"/>
              <w:bottom w:w="0" w:type="dxa"/>
              <w:right w:w="10" w:type="dxa"/>
            </w:tcMar>
            <w:vAlign w:val="center"/>
          </w:tcPr>
          <w:p>
            <w:pPr>
              <w:spacing w:line="240" w:lineRule="exact"/>
              <w:rPr>
                <w:rFonts w:asciiTheme="majorEastAsia" w:hAnsiTheme="majorEastAsia" w:eastAsiaTheme="majorEastAsia"/>
                <w:szCs w:val="21"/>
              </w:rPr>
            </w:pPr>
            <w:r>
              <w:rPr>
                <w:rFonts w:hint="eastAsia" w:asciiTheme="majorEastAsia" w:hAnsiTheme="majorEastAsia" w:eastAsiaTheme="majorEastAsia"/>
                <w:szCs w:val="21"/>
              </w:rPr>
              <w:t>①符合国家法律法规、国民经济和社会发展总体规划计1分；②符合部门“三定”方案确定的职责计0.5分；③是否符合部门制定的中长期实施规划计0.5分。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continue"/>
            <w:vAlign w:val="center"/>
          </w:tcPr>
          <w:p>
            <w:pPr>
              <w:spacing w:line="240" w:lineRule="exact"/>
              <w:jc w:val="center"/>
              <w:rPr>
                <w:rFonts w:asciiTheme="majorEastAsia" w:hAnsiTheme="majorEastAsia" w:eastAsiaTheme="majorEastAsia"/>
                <w:szCs w:val="21"/>
              </w:rPr>
            </w:pPr>
          </w:p>
        </w:tc>
        <w:tc>
          <w:tcPr>
            <w:tcW w:w="570" w:type="dxa"/>
            <w:vMerge w:val="continue"/>
            <w:vAlign w:val="center"/>
          </w:tcPr>
          <w:p>
            <w:pPr>
              <w:spacing w:line="240" w:lineRule="exact"/>
              <w:jc w:val="center"/>
              <w:rPr>
                <w:rFonts w:asciiTheme="majorEastAsia" w:hAnsiTheme="majorEastAsia" w:eastAsiaTheme="majorEastAsia"/>
                <w:szCs w:val="21"/>
              </w:rPr>
            </w:pP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绩效指标明确性（3分）</w:t>
            </w:r>
          </w:p>
        </w:tc>
        <w:tc>
          <w:tcPr>
            <w:tcW w:w="446" w:type="dxa"/>
            <w:tcMar>
              <w:top w:w="10" w:type="dxa"/>
              <w:left w:w="10" w:type="dxa"/>
              <w:bottom w:w="0" w:type="dxa"/>
              <w:right w:w="10" w:type="dxa"/>
            </w:tcMar>
            <w:vAlign w:val="center"/>
          </w:tcPr>
          <w:p>
            <w:pPr>
              <w:tabs>
                <w:tab w:val="left" w:pos="2604"/>
              </w:tabs>
              <w:spacing w:line="240" w:lineRule="exact"/>
              <w:jc w:val="center"/>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3</w:t>
            </w:r>
          </w:p>
        </w:tc>
        <w:tc>
          <w:tcPr>
            <w:tcW w:w="2976" w:type="dxa"/>
            <w:shd w:val="clear" w:color="auto" w:fill="auto"/>
            <w:tcMar>
              <w:top w:w="10" w:type="dxa"/>
              <w:left w:w="10" w:type="dxa"/>
              <w:bottom w:w="0" w:type="dxa"/>
              <w:right w:w="10" w:type="dxa"/>
            </w:tcMar>
            <w:vAlign w:val="center"/>
          </w:tcPr>
          <w:p>
            <w:pPr>
              <w:tabs>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部门依据整体绩效目标所设定的绩效指标是否清晰、细化、可衡量，用以反映和考核部门整体绩效目标的明细化情况。</w:t>
            </w:r>
          </w:p>
        </w:tc>
        <w:tc>
          <w:tcPr>
            <w:tcW w:w="3721" w:type="dxa"/>
            <w:shd w:val="clear" w:color="auto" w:fill="auto"/>
            <w:tcMar>
              <w:top w:w="10" w:type="dxa"/>
              <w:left w:w="10" w:type="dxa"/>
              <w:bottom w:w="0" w:type="dxa"/>
              <w:right w:w="10" w:type="dxa"/>
            </w:tcMar>
            <w:vAlign w:val="center"/>
          </w:tcPr>
          <w:p>
            <w:pPr>
              <w:spacing w:line="240" w:lineRule="exact"/>
              <w:rPr>
                <w:rFonts w:asciiTheme="majorEastAsia" w:hAnsiTheme="majorEastAsia" w:eastAsiaTheme="majorEastAsia"/>
                <w:szCs w:val="21"/>
              </w:rPr>
            </w:pPr>
            <w:r>
              <w:rPr>
                <w:rFonts w:hint="eastAsia" w:asciiTheme="majorEastAsia" w:hAnsiTheme="majorEastAsia" w:eastAsiaTheme="majorEastAsia"/>
                <w:szCs w:val="21"/>
              </w:rPr>
              <w:t>①将部门整体的绩效目标细化分解为具体的工作任务计1分；②通过清晰、可衡量的指标值予以体现计0.5分。③与部门年度的任务数或计划数相对应计0.5分；④与本年度部门预算资金相匹配计1分。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continue"/>
            <w:vAlign w:val="center"/>
          </w:tcPr>
          <w:p>
            <w:pPr>
              <w:spacing w:line="240" w:lineRule="exact"/>
              <w:jc w:val="center"/>
              <w:rPr>
                <w:rFonts w:asciiTheme="majorEastAsia" w:hAnsiTheme="majorEastAsia" w:eastAsiaTheme="majorEastAsia"/>
                <w:szCs w:val="21"/>
              </w:rPr>
            </w:pPr>
          </w:p>
        </w:tc>
        <w:tc>
          <w:tcPr>
            <w:tcW w:w="570" w:type="dxa"/>
            <w:vMerge w:val="restart"/>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预算</w:t>
            </w:r>
            <w:r>
              <w:rPr>
                <w:rFonts w:hint="eastAsia" w:asciiTheme="majorEastAsia" w:hAnsiTheme="majorEastAsia" w:eastAsiaTheme="majorEastAsia"/>
                <w:szCs w:val="21"/>
              </w:rPr>
              <w:br w:type="textWrapping"/>
            </w:r>
            <w:r>
              <w:rPr>
                <w:rFonts w:hint="eastAsia" w:asciiTheme="majorEastAsia" w:hAnsiTheme="majorEastAsia" w:eastAsiaTheme="majorEastAsia"/>
                <w:szCs w:val="21"/>
              </w:rPr>
              <w:t>配置（15分）</w:t>
            </w: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在职人员控制率（5分）</w:t>
            </w:r>
          </w:p>
        </w:tc>
        <w:tc>
          <w:tcPr>
            <w:tcW w:w="446" w:type="dxa"/>
            <w:tcMar>
              <w:top w:w="10" w:type="dxa"/>
              <w:left w:w="10" w:type="dxa"/>
              <w:bottom w:w="0" w:type="dxa"/>
              <w:right w:w="10" w:type="dxa"/>
            </w:tcMar>
            <w:vAlign w:val="center"/>
          </w:tcPr>
          <w:p>
            <w:pPr>
              <w:tabs>
                <w:tab w:val="left" w:pos="2604"/>
              </w:tabs>
              <w:spacing w:line="240" w:lineRule="exact"/>
              <w:jc w:val="center"/>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5</w:t>
            </w:r>
          </w:p>
        </w:tc>
        <w:tc>
          <w:tcPr>
            <w:tcW w:w="2976" w:type="dxa"/>
            <w:shd w:val="clear" w:color="auto" w:fill="auto"/>
            <w:tcMar>
              <w:top w:w="10" w:type="dxa"/>
              <w:left w:w="10" w:type="dxa"/>
              <w:bottom w:w="0" w:type="dxa"/>
              <w:right w:w="10" w:type="dxa"/>
            </w:tcMar>
            <w:vAlign w:val="center"/>
          </w:tcPr>
          <w:p>
            <w:pPr>
              <w:tabs>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部门本年度实际在职人员数与编制数的比率，用以反映和考核部门对人员成本的控制程度。</w:t>
            </w:r>
          </w:p>
        </w:tc>
        <w:tc>
          <w:tcPr>
            <w:tcW w:w="3721" w:type="dxa"/>
            <w:shd w:val="clear" w:color="auto" w:fill="auto"/>
            <w:tcMar>
              <w:top w:w="10" w:type="dxa"/>
              <w:left w:w="10" w:type="dxa"/>
              <w:bottom w:w="0" w:type="dxa"/>
              <w:right w:w="10" w:type="dxa"/>
            </w:tcMar>
            <w:vAlign w:val="center"/>
          </w:tcPr>
          <w:p>
            <w:pPr>
              <w:spacing w:line="240" w:lineRule="exact"/>
              <w:rPr>
                <w:rFonts w:asciiTheme="majorEastAsia" w:hAnsiTheme="majorEastAsia" w:eastAsiaTheme="majorEastAsia"/>
                <w:szCs w:val="21"/>
              </w:rPr>
            </w:pPr>
            <w:r>
              <w:rPr>
                <w:rFonts w:hint="eastAsia" w:asciiTheme="majorEastAsia" w:hAnsiTheme="majorEastAsia" w:eastAsiaTheme="majorEastAsia"/>
                <w:szCs w:val="21"/>
              </w:rPr>
              <w:t>在职人员控制率=（在职人员数/编制数）×100%小于或等于1计5分，否则按比例计分。在职人员数：部门实际在职人数，以财政部确定的部门决算编制口径为准。编制数：机构编制部门核定批复的部门的人员编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continue"/>
            <w:vAlign w:val="center"/>
          </w:tcPr>
          <w:p>
            <w:pPr>
              <w:spacing w:line="240" w:lineRule="exact"/>
              <w:jc w:val="center"/>
              <w:rPr>
                <w:rFonts w:asciiTheme="majorEastAsia" w:hAnsiTheme="majorEastAsia" w:eastAsiaTheme="majorEastAsia"/>
                <w:szCs w:val="21"/>
              </w:rPr>
            </w:pPr>
          </w:p>
        </w:tc>
        <w:tc>
          <w:tcPr>
            <w:tcW w:w="570" w:type="dxa"/>
            <w:vMerge w:val="continue"/>
            <w:vAlign w:val="center"/>
          </w:tcPr>
          <w:p>
            <w:pPr>
              <w:spacing w:line="240" w:lineRule="exact"/>
              <w:jc w:val="center"/>
              <w:rPr>
                <w:rFonts w:asciiTheme="majorEastAsia" w:hAnsiTheme="majorEastAsia" w:eastAsiaTheme="majorEastAsia"/>
                <w:szCs w:val="21"/>
              </w:rPr>
            </w:pP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“三公经费”</w:t>
            </w:r>
          </w:p>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变动率（5分）</w:t>
            </w:r>
          </w:p>
        </w:tc>
        <w:tc>
          <w:tcPr>
            <w:tcW w:w="446" w:type="dxa"/>
            <w:tcMar>
              <w:top w:w="10" w:type="dxa"/>
              <w:left w:w="10" w:type="dxa"/>
              <w:bottom w:w="0" w:type="dxa"/>
              <w:right w:w="10" w:type="dxa"/>
            </w:tcMar>
            <w:vAlign w:val="center"/>
          </w:tcPr>
          <w:p>
            <w:pPr>
              <w:tabs>
                <w:tab w:val="left" w:pos="2604"/>
              </w:tabs>
              <w:spacing w:line="240" w:lineRule="exact"/>
              <w:jc w:val="center"/>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5</w:t>
            </w:r>
          </w:p>
        </w:tc>
        <w:tc>
          <w:tcPr>
            <w:tcW w:w="2976" w:type="dxa"/>
            <w:shd w:val="clear" w:color="auto" w:fill="auto"/>
            <w:tcMar>
              <w:top w:w="10" w:type="dxa"/>
              <w:left w:w="10" w:type="dxa"/>
              <w:bottom w:w="0" w:type="dxa"/>
              <w:right w:w="10" w:type="dxa"/>
            </w:tcMar>
            <w:vAlign w:val="center"/>
          </w:tcPr>
          <w:p>
            <w:pPr>
              <w:tabs>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部门本年度“三公经费”预算数与上年度“三公经费”预算数的变动比率，用以反映和考核部门对控制重点行政成本的努力程度。</w:t>
            </w:r>
          </w:p>
        </w:tc>
        <w:tc>
          <w:tcPr>
            <w:tcW w:w="3721" w:type="dxa"/>
            <w:shd w:val="clear" w:color="auto" w:fill="auto"/>
            <w:tcMar>
              <w:top w:w="10" w:type="dxa"/>
              <w:left w:w="10" w:type="dxa"/>
              <w:bottom w:w="0" w:type="dxa"/>
              <w:right w:w="10" w:type="dxa"/>
            </w:tcMar>
            <w:vAlign w:val="center"/>
          </w:tcPr>
          <w:p>
            <w:pPr>
              <w:spacing w:line="240" w:lineRule="exact"/>
              <w:rPr>
                <w:rFonts w:asciiTheme="majorEastAsia" w:hAnsiTheme="majorEastAsia" w:eastAsiaTheme="majorEastAsia"/>
                <w:szCs w:val="21"/>
              </w:rPr>
            </w:pPr>
            <w:r>
              <w:rPr>
                <w:rFonts w:hint="eastAsia" w:asciiTheme="majorEastAsia" w:hAnsiTheme="majorEastAsia" w:eastAsiaTheme="majorEastAsia"/>
                <w:szCs w:val="21"/>
              </w:rPr>
              <w:t>“三公经费”变动率=[（本年度“三公经费”总额-上年度“三公经费”总额）/上年度“三公经费”总额]×100%。下降的计5分，增加的按比例扣减。“三公经费”：年度预算安排的因公出国（境）费、公务车辆购置及运行费和公务招待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continue"/>
            <w:vAlign w:val="center"/>
          </w:tcPr>
          <w:p>
            <w:pPr>
              <w:spacing w:line="240" w:lineRule="exact"/>
              <w:jc w:val="center"/>
              <w:rPr>
                <w:rFonts w:asciiTheme="majorEastAsia" w:hAnsiTheme="majorEastAsia" w:eastAsiaTheme="majorEastAsia"/>
                <w:szCs w:val="21"/>
              </w:rPr>
            </w:pPr>
          </w:p>
        </w:tc>
        <w:tc>
          <w:tcPr>
            <w:tcW w:w="570" w:type="dxa"/>
            <w:vMerge w:val="continue"/>
            <w:vAlign w:val="center"/>
          </w:tcPr>
          <w:p>
            <w:pPr>
              <w:spacing w:line="240" w:lineRule="exact"/>
              <w:jc w:val="center"/>
              <w:rPr>
                <w:rFonts w:asciiTheme="majorEastAsia" w:hAnsiTheme="majorEastAsia" w:eastAsiaTheme="majorEastAsia"/>
                <w:szCs w:val="21"/>
              </w:rPr>
            </w:pP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重点支出安排率（5分）</w:t>
            </w:r>
          </w:p>
        </w:tc>
        <w:tc>
          <w:tcPr>
            <w:tcW w:w="446" w:type="dxa"/>
            <w:tcMar>
              <w:top w:w="10" w:type="dxa"/>
              <w:left w:w="10" w:type="dxa"/>
              <w:bottom w:w="0" w:type="dxa"/>
              <w:right w:w="10" w:type="dxa"/>
            </w:tcMar>
            <w:vAlign w:val="center"/>
          </w:tcPr>
          <w:p>
            <w:pPr>
              <w:tabs>
                <w:tab w:val="left" w:pos="2604"/>
              </w:tabs>
              <w:spacing w:line="240" w:lineRule="exact"/>
              <w:jc w:val="center"/>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5</w:t>
            </w:r>
          </w:p>
        </w:tc>
        <w:tc>
          <w:tcPr>
            <w:tcW w:w="2976" w:type="dxa"/>
            <w:shd w:val="clear" w:color="auto" w:fill="auto"/>
            <w:tcMar>
              <w:top w:w="10" w:type="dxa"/>
              <w:left w:w="10" w:type="dxa"/>
              <w:bottom w:w="0" w:type="dxa"/>
              <w:right w:w="10" w:type="dxa"/>
            </w:tcMar>
            <w:vAlign w:val="center"/>
          </w:tcPr>
          <w:p>
            <w:pPr>
              <w:tabs>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部门本年度预算安排的重点项目支出与部门项目总支出的比率，用以反映和考核部门对履行主要职责或完成重点任务的保障程度。</w:t>
            </w:r>
          </w:p>
        </w:tc>
        <w:tc>
          <w:tcPr>
            <w:tcW w:w="3721" w:type="dxa"/>
            <w:shd w:val="clear" w:color="auto" w:fill="auto"/>
            <w:tcMar>
              <w:top w:w="10" w:type="dxa"/>
              <w:left w:w="10" w:type="dxa"/>
              <w:bottom w:w="0" w:type="dxa"/>
              <w:right w:w="10" w:type="dxa"/>
            </w:tcMar>
            <w:vAlign w:val="center"/>
          </w:tcPr>
          <w:p>
            <w:pPr>
              <w:spacing w:line="240" w:lineRule="exact"/>
              <w:rPr>
                <w:rFonts w:asciiTheme="majorEastAsia" w:hAnsiTheme="majorEastAsia" w:eastAsiaTheme="majorEastAsia"/>
                <w:szCs w:val="21"/>
              </w:rPr>
            </w:pPr>
            <w:r>
              <w:rPr>
                <w:rFonts w:hint="eastAsia" w:asciiTheme="majorEastAsia" w:hAnsiTheme="majorEastAsia" w:eastAsiaTheme="majorEastAsia"/>
                <w:szCs w:val="21"/>
              </w:rPr>
              <w:t>重点支出安排率=（重点项目支出/项目总支出）×100%。实际得分=支出安排率*5分。重点项目支出：部门年度预算安排的，与本部门履职和发展密切相关、具有明显社会和经济影响、党委政府关心或社会比较关注的项目支出总额。项目总支出：部门年度预算安排的项目支出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restart"/>
            <w:shd w:val="clear" w:color="auto" w:fill="auto"/>
            <w:tcMar>
              <w:top w:w="10" w:type="dxa"/>
              <w:left w:w="10" w:type="dxa"/>
              <w:bottom w:w="0" w:type="dxa"/>
              <w:right w:w="10" w:type="dxa"/>
            </w:tcMar>
            <w:textDirection w:val="tbRlV"/>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过             程（30分）</w:t>
            </w:r>
          </w:p>
        </w:tc>
        <w:tc>
          <w:tcPr>
            <w:tcW w:w="570" w:type="dxa"/>
            <w:vMerge w:val="restart"/>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预算</w:t>
            </w:r>
            <w:r>
              <w:rPr>
                <w:rFonts w:hint="eastAsia" w:asciiTheme="majorEastAsia" w:hAnsiTheme="majorEastAsia" w:eastAsiaTheme="majorEastAsia"/>
                <w:szCs w:val="21"/>
              </w:rPr>
              <w:br w:type="textWrapping"/>
            </w:r>
            <w:r>
              <w:rPr>
                <w:rFonts w:hint="eastAsia" w:asciiTheme="majorEastAsia" w:hAnsiTheme="majorEastAsia" w:eastAsiaTheme="majorEastAsia"/>
                <w:szCs w:val="21"/>
              </w:rPr>
              <w:t>执行</w:t>
            </w:r>
          </w:p>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（20分）</w:t>
            </w: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预算完成率（4分）</w:t>
            </w:r>
          </w:p>
        </w:tc>
        <w:tc>
          <w:tcPr>
            <w:tcW w:w="446" w:type="dxa"/>
            <w:tcMar>
              <w:top w:w="10" w:type="dxa"/>
              <w:left w:w="10" w:type="dxa"/>
              <w:bottom w:w="0" w:type="dxa"/>
              <w:right w:w="10" w:type="dxa"/>
            </w:tcMar>
            <w:vAlign w:val="center"/>
          </w:tcPr>
          <w:p>
            <w:pPr>
              <w:tabs>
                <w:tab w:val="left" w:pos="2604"/>
              </w:tabs>
              <w:spacing w:line="240" w:lineRule="exact"/>
              <w:jc w:val="center"/>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4</w:t>
            </w:r>
          </w:p>
        </w:tc>
        <w:tc>
          <w:tcPr>
            <w:tcW w:w="2976" w:type="dxa"/>
            <w:shd w:val="clear" w:color="auto" w:fill="auto"/>
            <w:tcMar>
              <w:top w:w="10" w:type="dxa"/>
              <w:left w:w="10" w:type="dxa"/>
              <w:bottom w:w="0" w:type="dxa"/>
              <w:right w:w="10" w:type="dxa"/>
            </w:tcMar>
            <w:vAlign w:val="center"/>
          </w:tcPr>
          <w:p>
            <w:pPr>
              <w:tabs>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部门本年度预算完成数与预算数的比率，用以反映和考核部门预算完成程度。</w:t>
            </w:r>
          </w:p>
        </w:tc>
        <w:tc>
          <w:tcPr>
            <w:tcW w:w="3721" w:type="dxa"/>
            <w:shd w:val="clear" w:color="auto" w:fill="auto"/>
            <w:tcMar>
              <w:top w:w="10" w:type="dxa"/>
              <w:left w:w="10" w:type="dxa"/>
              <w:bottom w:w="0" w:type="dxa"/>
              <w:right w:w="10" w:type="dxa"/>
            </w:tcMar>
            <w:vAlign w:val="center"/>
          </w:tcPr>
          <w:p>
            <w:pPr>
              <w:spacing w:line="240" w:lineRule="exact"/>
              <w:rPr>
                <w:rFonts w:asciiTheme="majorEastAsia" w:hAnsiTheme="majorEastAsia" w:eastAsiaTheme="majorEastAsia"/>
                <w:szCs w:val="21"/>
              </w:rPr>
            </w:pPr>
            <w:r>
              <w:rPr>
                <w:rFonts w:hint="eastAsia" w:asciiTheme="majorEastAsia" w:hAnsiTheme="majorEastAsia" w:eastAsiaTheme="majorEastAsia"/>
                <w:szCs w:val="21"/>
              </w:rPr>
              <w:t>预算完成率=（预算完成数/预算数）×100%。完成年初预算计4分，未完成年初预算按比例扣减，预算完成数：部门本年度实际完成的预算数。预算数：财政部门批复的本年度部门预算数。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continue"/>
            <w:vAlign w:val="center"/>
          </w:tcPr>
          <w:p>
            <w:pPr>
              <w:spacing w:line="240" w:lineRule="exact"/>
              <w:jc w:val="center"/>
              <w:rPr>
                <w:rFonts w:asciiTheme="majorEastAsia" w:hAnsiTheme="majorEastAsia" w:eastAsiaTheme="majorEastAsia"/>
                <w:szCs w:val="21"/>
              </w:rPr>
            </w:pPr>
          </w:p>
        </w:tc>
        <w:tc>
          <w:tcPr>
            <w:tcW w:w="570" w:type="dxa"/>
            <w:vMerge w:val="continue"/>
            <w:vAlign w:val="center"/>
          </w:tcPr>
          <w:p>
            <w:pPr>
              <w:spacing w:line="240" w:lineRule="exact"/>
              <w:jc w:val="center"/>
              <w:rPr>
                <w:rFonts w:asciiTheme="majorEastAsia" w:hAnsiTheme="majorEastAsia" w:eastAsiaTheme="majorEastAsia"/>
                <w:szCs w:val="21"/>
              </w:rPr>
            </w:pP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预算调整率（2分）</w:t>
            </w:r>
          </w:p>
        </w:tc>
        <w:tc>
          <w:tcPr>
            <w:tcW w:w="446" w:type="dxa"/>
            <w:tcMar>
              <w:top w:w="10" w:type="dxa"/>
              <w:left w:w="10" w:type="dxa"/>
              <w:bottom w:w="0" w:type="dxa"/>
              <w:right w:w="10" w:type="dxa"/>
            </w:tcMar>
            <w:vAlign w:val="center"/>
          </w:tcPr>
          <w:p>
            <w:pPr>
              <w:tabs>
                <w:tab w:val="left" w:pos="2604"/>
              </w:tabs>
              <w:spacing w:line="240" w:lineRule="exact"/>
              <w:jc w:val="center"/>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1</w:t>
            </w:r>
          </w:p>
        </w:tc>
        <w:tc>
          <w:tcPr>
            <w:tcW w:w="2976" w:type="dxa"/>
            <w:shd w:val="clear" w:color="auto" w:fill="auto"/>
            <w:tcMar>
              <w:top w:w="10" w:type="dxa"/>
              <w:left w:w="10" w:type="dxa"/>
              <w:bottom w:w="0" w:type="dxa"/>
              <w:right w:w="10" w:type="dxa"/>
            </w:tcMar>
            <w:vAlign w:val="center"/>
          </w:tcPr>
          <w:p>
            <w:pPr>
              <w:tabs>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部门本年度预算调整数与预算数的比率，用以反映和考核部门预算的调整程度。</w:t>
            </w:r>
          </w:p>
        </w:tc>
        <w:tc>
          <w:tcPr>
            <w:tcW w:w="3721" w:type="dxa"/>
            <w:shd w:val="clear" w:color="auto" w:fill="auto"/>
            <w:tcMar>
              <w:top w:w="10" w:type="dxa"/>
              <w:left w:w="10" w:type="dxa"/>
              <w:bottom w:w="0" w:type="dxa"/>
              <w:right w:w="10" w:type="dxa"/>
            </w:tcMar>
            <w:vAlign w:val="center"/>
          </w:tcPr>
          <w:p>
            <w:pPr>
              <w:spacing w:line="240" w:lineRule="exact"/>
              <w:rPr>
                <w:rFonts w:asciiTheme="majorEastAsia" w:hAnsiTheme="majorEastAsia" w:eastAsiaTheme="majorEastAsia"/>
                <w:szCs w:val="21"/>
              </w:rPr>
            </w:pPr>
            <w:r>
              <w:rPr>
                <w:rFonts w:hint="eastAsia" w:asciiTheme="majorEastAsia" w:hAnsiTheme="majorEastAsia" w:eastAsiaTheme="majorEastAsia"/>
                <w:szCs w:val="21"/>
              </w:rPr>
              <w:t>预算调整率=（预算调整数/预算数）×100%。未调整的计2分，调整了的除特殊原因外按比例扣减。预算调整数：部门在本年度内涉及预算的追加、追减或结构调整的资金总和（因落实国家政策、发生不可抗力、上级部门或同级党委政府临时交办而产生的调整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continue"/>
            <w:vAlign w:val="center"/>
          </w:tcPr>
          <w:p>
            <w:pPr>
              <w:spacing w:line="240" w:lineRule="exact"/>
              <w:jc w:val="center"/>
              <w:rPr>
                <w:rFonts w:asciiTheme="majorEastAsia" w:hAnsiTheme="majorEastAsia" w:eastAsiaTheme="majorEastAsia"/>
                <w:szCs w:val="21"/>
              </w:rPr>
            </w:pPr>
          </w:p>
        </w:tc>
        <w:tc>
          <w:tcPr>
            <w:tcW w:w="570" w:type="dxa"/>
            <w:vMerge w:val="continue"/>
            <w:vAlign w:val="center"/>
          </w:tcPr>
          <w:p>
            <w:pPr>
              <w:spacing w:line="240" w:lineRule="exact"/>
              <w:jc w:val="center"/>
              <w:rPr>
                <w:rFonts w:asciiTheme="majorEastAsia" w:hAnsiTheme="majorEastAsia" w:eastAsiaTheme="majorEastAsia"/>
                <w:szCs w:val="21"/>
              </w:rPr>
            </w:pP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支付进度率（2分）</w:t>
            </w:r>
          </w:p>
        </w:tc>
        <w:tc>
          <w:tcPr>
            <w:tcW w:w="446" w:type="dxa"/>
            <w:tcMar>
              <w:top w:w="10" w:type="dxa"/>
              <w:left w:w="10" w:type="dxa"/>
              <w:bottom w:w="0" w:type="dxa"/>
              <w:right w:w="10" w:type="dxa"/>
            </w:tcMar>
            <w:vAlign w:val="center"/>
          </w:tcPr>
          <w:p>
            <w:pPr>
              <w:tabs>
                <w:tab w:val="left" w:pos="2604"/>
              </w:tabs>
              <w:spacing w:line="240" w:lineRule="exact"/>
              <w:jc w:val="center"/>
              <w:rPr>
                <w:rFonts w:hint="default"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2</w:t>
            </w:r>
          </w:p>
        </w:tc>
        <w:tc>
          <w:tcPr>
            <w:tcW w:w="2976" w:type="dxa"/>
            <w:shd w:val="clear" w:color="auto" w:fill="auto"/>
            <w:tcMar>
              <w:top w:w="10" w:type="dxa"/>
              <w:left w:w="10" w:type="dxa"/>
              <w:bottom w:w="0" w:type="dxa"/>
              <w:right w:w="10" w:type="dxa"/>
            </w:tcMar>
            <w:vAlign w:val="center"/>
          </w:tcPr>
          <w:p>
            <w:pPr>
              <w:tabs>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部门实际支付进度与既定支付进度的比率，用以反映和考核部门预算执行的及时性和均衡性程度。</w:t>
            </w:r>
          </w:p>
        </w:tc>
        <w:tc>
          <w:tcPr>
            <w:tcW w:w="3721" w:type="dxa"/>
            <w:shd w:val="clear" w:color="auto" w:fill="auto"/>
            <w:tcMar>
              <w:top w:w="10" w:type="dxa"/>
              <w:left w:w="10" w:type="dxa"/>
              <w:bottom w:w="0" w:type="dxa"/>
              <w:right w:w="10" w:type="dxa"/>
            </w:tcMar>
            <w:vAlign w:val="center"/>
          </w:tcPr>
          <w:p>
            <w:pPr>
              <w:spacing w:line="240" w:lineRule="exact"/>
              <w:rPr>
                <w:rFonts w:asciiTheme="majorEastAsia" w:hAnsiTheme="majorEastAsia" w:eastAsiaTheme="majorEastAsia"/>
                <w:szCs w:val="21"/>
              </w:rPr>
            </w:pPr>
            <w:r>
              <w:rPr>
                <w:rFonts w:hint="eastAsia" w:asciiTheme="majorEastAsia" w:hAnsiTheme="majorEastAsia" w:eastAsiaTheme="majorEastAsia"/>
                <w:szCs w:val="21"/>
              </w:rPr>
              <w:t>支付进度率=（实际支付进度/既定支付进度）×100%。完成年终进度的计1分，按季度完成预算进度的计1分。实际支付进度：部门在某一时点的支出预算执行总数与年度支出预算数的比率。既定支付进度：由部门在申报部门整体绩效目标时，参照序时支付进度、前三年支付进度、同级部门平均支付进度水平等确定的，在某一时点应达到的支付进度（比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continue"/>
            <w:shd w:val="clear" w:color="auto" w:fill="auto"/>
            <w:tcMar>
              <w:top w:w="10" w:type="dxa"/>
              <w:left w:w="10" w:type="dxa"/>
              <w:bottom w:w="0" w:type="dxa"/>
              <w:right w:w="10" w:type="dxa"/>
            </w:tcMar>
            <w:textDirection w:val="tbRlV"/>
            <w:vAlign w:val="center"/>
          </w:tcPr>
          <w:p>
            <w:pPr>
              <w:spacing w:line="240" w:lineRule="exact"/>
              <w:jc w:val="center"/>
              <w:rPr>
                <w:rFonts w:asciiTheme="majorEastAsia" w:hAnsiTheme="majorEastAsia" w:eastAsiaTheme="majorEastAsia"/>
                <w:szCs w:val="21"/>
              </w:rPr>
            </w:pPr>
          </w:p>
        </w:tc>
        <w:tc>
          <w:tcPr>
            <w:tcW w:w="570" w:type="dxa"/>
            <w:vMerge w:val="continue"/>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结转结余控制率（4分）</w:t>
            </w:r>
          </w:p>
        </w:tc>
        <w:tc>
          <w:tcPr>
            <w:tcW w:w="446" w:type="dxa"/>
            <w:tcMar>
              <w:top w:w="10" w:type="dxa"/>
              <w:left w:w="10" w:type="dxa"/>
              <w:bottom w:w="0" w:type="dxa"/>
              <w:right w:w="10" w:type="dxa"/>
            </w:tcMar>
            <w:vAlign w:val="center"/>
          </w:tcPr>
          <w:p>
            <w:pPr>
              <w:tabs>
                <w:tab w:val="left" w:pos="2604"/>
              </w:tabs>
              <w:spacing w:line="240" w:lineRule="exact"/>
              <w:jc w:val="center"/>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4</w:t>
            </w:r>
          </w:p>
        </w:tc>
        <w:tc>
          <w:tcPr>
            <w:tcW w:w="2976" w:type="dxa"/>
            <w:shd w:val="clear" w:color="auto" w:fill="auto"/>
            <w:tcMar>
              <w:top w:w="10" w:type="dxa"/>
              <w:left w:w="10" w:type="dxa"/>
              <w:bottom w:w="0" w:type="dxa"/>
              <w:right w:w="10" w:type="dxa"/>
            </w:tcMar>
            <w:vAlign w:val="center"/>
          </w:tcPr>
          <w:p>
            <w:pPr>
              <w:tabs>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部门本年度结转结余总额与上年结转结余总额增减比例，用以反映和考核部门对存量资金的实际控制程度。</w:t>
            </w:r>
          </w:p>
        </w:tc>
        <w:tc>
          <w:tcPr>
            <w:tcW w:w="3721" w:type="dxa"/>
            <w:shd w:val="clear" w:color="auto" w:fill="auto"/>
            <w:tcMar>
              <w:top w:w="10" w:type="dxa"/>
              <w:left w:w="10" w:type="dxa"/>
              <w:bottom w:w="0" w:type="dxa"/>
              <w:right w:w="10" w:type="dxa"/>
            </w:tcMar>
            <w:vAlign w:val="center"/>
          </w:tcPr>
          <w:p>
            <w:pPr>
              <w:spacing w:line="240" w:lineRule="exact"/>
              <w:rPr>
                <w:rFonts w:asciiTheme="majorEastAsia" w:hAnsiTheme="majorEastAsia" w:eastAsiaTheme="majorEastAsia"/>
                <w:szCs w:val="21"/>
              </w:rPr>
            </w:pPr>
            <w:r>
              <w:rPr>
                <w:rFonts w:hint="eastAsia" w:asciiTheme="majorEastAsia" w:hAnsiTheme="majorEastAsia" w:eastAsiaTheme="majorEastAsia"/>
                <w:szCs w:val="21"/>
              </w:rPr>
              <w:t>结转结余控制率=（本年结转结余总额-上年结转结余总额）/上年结转结余总额×100%。低于15%的计4分，每超过5个百分点扣1分，扣完为止。结转结余总额：部门本年度的结转资金与结余资金之和（以决算数为准）。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continue"/>
            <w:vAlign w:val="center"/>
          </w:tcPr>
          <w:p>
            <w:pPr>
              <w:spacing w:line="240" w:lineRule="exact"/>
              <w:jc w:val="center"/>
              <w:rPr>
                <w:rFonts w:asciiTheme="majorEastAsia" w:hAnsiTheme="majorEastAsia" w:eastAsiaTheme="majorEastAsia"/>
                <w:szCs w:val="21"/>
              </w:rPr>
            </w:pPr>
          </w:p>
        </w:tc>
        <w:tc>
          <w:tcPr>
            <w:tcW w:w="570" w:type="dxa"/>
            <w:vMerge w:val="continue"/>
            <w:vAlign w:val="center"/>
          </w:tcPr>
          <w:p>
            <w:pPr>
              <w:spacing w:line="240" w:lineRule="exact"/>
              <w:jc w:val="center"/>
              <w:rPr>
                <w:rFonts w:asciiTheme="majorEastAsia" w:hAnsiTheme="majorEastAsia" w:eastAsiaTheme="majorEastAsia"/>
                <w:szCs w:val="21"/>
              </w:rPr>
            </w:pP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公用经费</w:t>
            </w:r>
          </w:p>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控制率（2分）</w:t>
            </w:r>
          </w:p>
        </w:tc>
        <w:tc>
          <w:tcPr>
            <w:tcW w:w="446" w:type="dxa"/>
            <w:tcMar>
              <w:top w:w="10" w:type="dxa"/>
              <w:left w:w="10" w:type="dxa"/>
              <w:bottom w:w="0" w:type="dxa"/>
              <w:right w:w="10" w:type="dxa"/>
            </w:tcMar>
            <w:vAlign w:val="center"/>
          </w:tcPr>
          <w:p>
            <w:pPr>
              <w:tabs>
                <w:tab w:val="left" w:pos="2604"/>
              </w:tabs>
              <w:spacing w:line="240" w:lineRule="exact"/>
              <w:jc w:val="center"/>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2</w:t>
            </w:r>
          </w:p>
        </w:tc>
        <w:tc>
          <w:tcPr>
            <w:tcW w:w="2976" w:type="dxa"/>
            <w:shd w:val="clear" w:color="auto" w:fill="auto"/>
            <w:tcMar>
              <w:top w:w="10" w:type="dxa"/>
              <w:left w:w="10" w:type="dxa"/>
              <w:bottom w:w="0" w:type="dxa"/>
              <w:right w:w="10" w:type="dxa"/>
            </w:tcMar>
            <w:vAlign w:val="center"/>
          </w:tcPr>
          <w:p>
            <w:pPr>
              <w:tabs>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部门本年度实际支出的公用经费总额与预算安排的公用经费总额的比率，用以反映和考核部门对机构运转成本的实际控制程度。</w:t>
            </w:r>
          </w:p>
        </w:tc>
        <w:tc>
          <w:tcPr>
            <w:tcW w:w="3721" w:type="dxa"/>
            <w:shd w:val="clear" w:color="auto" w:fill="auto"/>
            <w:tcMar>
              <w:top w:w="10" w:type="dxa"/>
              <w:left w:w="10" w:type="dxa"/>
              <w:bottom w:w="0" w:type="dxa"/>
              <w:right w:w="10" w:type="dxa"/>
            </w:tcMar>
            <w:vAlign w:val="center"/>
          </w:tcPr>
          <w:p>
            <w:pPr>
              <w:spacing w:line="240" w:lineRule="exact"/>
              <w:rPr>
                <w:rFonts w:asciiTheme="majorEastAsia" w:hAnsiTheme="majorEastAsia" w:eastAsiaTheme="majorEastAsia"/>
                <w:szCs w:val="21"/>
              </w:rPr>
            </w:pPr>
            <w:r>
              <w:rPr>
                <w:rFonts w:hint="eastAsia" w:asciiTheme="majorEastAsia" w:hAnsiTheme="majorEastAsia" w:eastAsiaTheme="majorEastAsia"/>
                <w:szCs w:val="21"/>
              </w:rPr>
              <w:t>公用经费控制率=（实际支出公用经费总额/预算安排公用经费总额）×100%。为100%的计2分，每超过1个百分点扣0.1分，扣完为止。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continue"/>
            <w:shd w:val="clear" w:color="auto" w:fill="auto"/>
            <w:vAlign w:val="center"/>
          </w:tcPr>
          <w:p>
            <w:pPr>
              <w:spacing w:line="240" w:lineRule="exact"/>
              <w:jc w:val="center"/>
              <w:rPr>
                <w:rFonts w:asciiTheme="majorEastAsia" w:hAnsiTheme="majorEastAsia" w:eastAsiaTheme="majorEastAsia"/>
                <w:szCs w:val="21"/>
              </w:rPr>
            </w:pPr>
          </w:p>
        </w:tc>
        <w:tc>
          <w:tcPr>
            <w:tcW w:w="570" w:type="dxa"/>
            <w:vMerge w:val="continue"/>
            <w:vAlign w:val="center"/>
          </w:tcPr>
          <w:p>
            <w:pPr>
              <w:spacing w:line="240" w:lineRule="exact"/>
              <w:jc w:val="center"/>
              <w:rPr>
                <w:rFonts w:asciiTheme="majorEastAsia" w:hAnsiTheme="majorEastAsia" w:eastAsiaTheme="majorEastAsia"/>
                <w:szCs w:val="21"/>
              </w:rPr>
            </w:pP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“三公经费”控制率（2分）</w:t>
            </w:r>
          </w:p>
        </w:tc>
        <w:tc>
          <w:tcPr>
            <w:tcW w:w="446" w:type="dxa"/>
            <w:tcMar>
              <w:top w:w="10" w:type="dxa"/>
              <w:left w:w="10" w:type="dxa"/>
              <w:bottom w:w="0" w:type="dxa"/>
              <w:right w:w="10" w:type="dxa"/>
            </w:tcMar>
            <w:vAlign w:val="center"/>
          </w:tcPr>
          <w:p>
            <w:pPr>
              <w:tabs>
                <w:tab w:val="left" w:pos="2604"/>
              </w:tabs>
              <w:spacing w:line="240" w:lineRule="exact"/>
              <w:jc w:val="center"/>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2</w:t>
            </w:r>
          </w:p>
        </w:tc>
        <w:tc>
          <w:tcPr>
            <w:tcW w:w="2976" w:type="dxa"/>
            <w:shd w:val="clear" w:color="auto" w:fill="auto"/>
            <w:tcMar>
              <w:top w:w="10" w:type="dxa"/>
              <w:left w:w="10" w:type="dxa"/>
              <w:bottom w:w="0" w:type="dxa"/>
              <w:right w:w="10" w:type="dxa"/>
            </w:tcMar>
            <w:vAlign w:val="center"/>
          </w:tcPr>
          <w:p>
            <w:pPr>
              <w:tabs>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部门本年度“三公经费”实际支出数与预算安排数的比率，用以反映和考核部门对“三公经费”的实际控制程度。</w:t>
            </w:r>
          </w:p>
        </w:tc>
        <w:tc>
          <w:tcPr>
            <w:tcW w:w="3721" w:type="dxa"/>
            <w:shd w:val="clear" w:color="auto" w:fill="auto"/>
            <w:tcMar>
              <w:top w:w="10" w:type="dxa"/>
              <w:left w:w="10" w:type="dxa"/>
              <w:bottom w:w="0" w:type="dxa"/>
              <w:right w:w="10" w:type="dxa"/>
            </w:tcMar>
            <w:vAlign w:val="center"/>
          </w:tcPr>
          <w:p>
            <w:pPr>
              <w:spacing w:line="240" w:lineRule="exact"/>
              <w:rPr>
                <w:rFonts w:asciiTheme="majorEastAsia" w:hAnsiTheme="majorEastAsia" w:eastAsiaTheme="majorEastAsia"/>
                <w:szCs w:val="21"/>
              </w:rPr>
            </w:pPr>
            <w:r>
              <w:rPr>
                <w:rFonts w:hint="eastAsia" w:asciiTheme="majorEastAsia" w:hAnsiTheme="majorEastAsia" w:eastAsiaTheme="majorEastAsia"/>
                <w:szCs w:val="21"/>
              </w:rPr>
              <w:t>“三公经费”控制率=（“三公经费”实际支出数/“三公经费”预算安排数）×100%。为100%的计2分，每超过1个百分点扣0.5分，扣完为止。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continue"/>
            <w:vAlign w:val="center"/>
          </w:tcPr>
          <w:p>
            <w:pPr>
              <w:spacing w:line="240" w:lineRule="exact"/>
              <w:jc w:val="center"/>
              <w:rPr>
                <w:rFonts w:asciiTheme="majorEastAsia" w:hAnsiTheme="majorEastAsia" w:eastAsiaTheme="majorEastAsia"/>
                <w:szCs w:val="21"/>
              </w:rPr>
            </w:pPr>
          </w:p>
        </w:tc>
        <w:tc>
          <w:tcPr>
            <w:tcW w:w="570" w:type="dxa"/>
            <w:vMerge w:val="continue"/>
            <w:vAlign w:val="center"/>
          </w:tcPr>
          <w:p>
            <w:pPr>
              <w:spacing w:line="240" w:lineRule="exact"/>
              <w:jc w:val="center"/>
              <w:rPr>
                <w:rFonts w:asciiTheme="majorEastAsia" w:hAnsiTheme="majorEastAsia" w:eastAsiaTheme="majorEastAsia"/>
                <w:szCs w:val="21"/>
              </w:rPr>
            </w:pP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政府采购</w:t>
            </w:r>
          </w:p>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执行率（4分）</w:t>
            </w:r>
          </w:p>
        </w:tc>
        <w:tc>
          <w:tcPr>
            <w:tcW w:w="446" w:type="dxa"/>
            <w:tcMar>
              <w:top w:w="10" w:type="dxa"/>
              <w:left w:w="10" w:type="dxa"/>
              <w:bottom w:w="0" w:type="dxa"/>
              <w:right w:w="10" w:type="dxa"/>
            </w:tcMar>
            <w:vAlign w:val="center"/>
          </w:tcPr>
          <w:p>
            <w:pPr>
              <w:tabs>
                <w:tab w:val="left" w:pos="2604"/>
              </w:tabs>
              <w:spacing w:line="240" w:lineRule="exact"/>
              <w:jc w:val="center"/>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4</w:t>
            </w:r>
          </w:p>
        </w:tc>
        <w:tc>
          <w:tcPr>
            <w:tcW w:w="2976" w:type="dxa"/>
            <w:shd w:val="clear" w:color="auto" w:fill="auto"/>
            <w:tcMar>
              <w:top w:w="10" w:type="dxa"/>
              <w:left w:w="10" w:type="dxa"/>
              <w:bottom w:w="0" w:type="dxa"/>
              <w:right w:w="10" w:type="dxa"/>
            </w:tcMar>
            <w:vAlign w:val="center"/>
          </w:tcPr>
          <w:p>
            <w:pPr>
              <w:tabs>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部门本年度实际政府采购金额与年初政府采购预算的比率，用以反映和考核部门政府采购预算执行情况。</w:t>
            </w:r>
          </w:p>
        </w:tc>
        <w:tc>
          <w:tcPr>
            <w:tcW w:w="3721" w:type="dxa"/>
            <w:shd w:val="clear" w:color="auto" w:fill="auto"/>
            <w:tcMar>
              <w:top w:w="10" w:type="dxa"/>
              <w:left w:w="10" w:type="dxa"/>
              <w:bottom w:w="0" w:type="dxa"/>
              <w:right w:w="10" w:type="dxa"/>
            </w:tcMar>
            <w:vAlign w:val="center"/>
          </w:tcPr>
          <w:p>
            <w:pPr>
              <w:spacing w:line="240" w:lineRule="exact"/>
              <w:rPr>
                <w:rFonts w:asciiTheme="majorEastAsia" w:hAnsiTheme="majorEastAsia" w:eastAsiaTheme="majorEastAsia"/>
                <w:szCs w:val="21"/>
              </w:rPr>
            </w:pPr>
            <w:r>
              <w:rPr>
                <w:rFonts w:hint="eastAsia" w:asciiTheme="majorEastAsia" w:hAnsiTheme="majorEastAsia" w:eastAsiaTheme="majorEastAsia"/>
                <w:szCs w:val="21"/>
              </w:rPr>
              <w:t>政府采购执行率=（实际政府采购金额/政府采购预算数）×100%，为100%的计2分，每低于1个百分点扣0.5分，扣完为止；政府采购预算：采购机关根据事业发展计划和行政任务编制的、并经过规定程序批准的年度政府采购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continue"/>
            <w:vAlign w:val="center"/>
          </w:tcPr>
          <w:p>
            <w:pPr>
              <w:spacing w:line="240" w:lineRule="exact"/>
              <w:jc w:val="center"/>
              <w:rPr>
                <w:rFonts w:asciiTheme="majorEastAsia" w:hAnsiTheme="majorEastAsia" w:eastAsiaTheme="majorEastAsia"/>
                <w:szCs w:val="21"/>
              </w:rPr>
            </w:pPr>
          </w:p>
        </w:tc>
        <w:tc>
          <w:tcPr>
            <w:tcW w:w="570" w:type="dxa"/>
            <w:vMerge w:val="restart"/>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预算</w:t>
            </w:r>
          </w:p>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管理</w:t>
            </w:r>
          </w:p>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（5分）</w:t>
            </w: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管理制度</w:t>
            </w:r>
          </w:p>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健全性（2分）</w:t>
            </w:r>
          </w:p>
        </w:tc>
        <w:tc>
          <w:tcPr>
            <w:tcW w:w="446" w:type="dxa"/>
            <w:tcMar>
              <w:top w:w="10" w:type="dxa"/>
              <w:left w:w="10" w:type="dxa"/>
              <w:bottom w:w="0" w:type="dxa"/>
              <w:right w:w="10" w:type="dxa"/>
            </w:tcMar>
            <w:vAlign w:val="center"/>
          </w:tcPr>
          <w:p>
            <w:pPr>
              <w:tabs>
                <w:tab w:val="left" w:pos="2604"/>
              </w:tabs>
              <w:spacing w:line="240" w:lineRule="exact"/>
              <w:jc w:val="center"/>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2</w:t>
            </w:r>
          </w:p>
        </w:tc>
        <w:tc>
          <w:tcPr>
            <w:tcW w:w="2976" w:type="dxa"/>
            <w:shd w:val="clear" w:color="auto" w:fill="auto"/>
            <w:tcMar>
              <w:top w:w="10" w:type="dxa"/>
              <w:left w:w="10" w:type="dxa"/>
              <w:bottom w:w="0" w:type="dxa"/>
              <w:right w:w="10" w:type="dxa"/>
            </w:tcMar>
            <w:vAlign w:val="center"/>
          </w:tcPr>
          <w:p>
            <w:pPr>
              <w:tabs>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部门为加强预算管理、规范财务行为而制定的管理制度是否健全完整，用以反映和考核部门预算管理制度对完成主要职责或促进事业发展的保障情况。</w:t>
            </w:r>
          </w:p>
        </w:tc>
        <w:tc>
          <w:tcPr>
            <w:tcW w:w="3721" w:type="dxa"/>
            <w:shd w:val="clear" w:color="auto" w:fill="auto"/>
            <w:tcMar>
              <w:top w:w="10" w:type="dxa"/>
              <w:left w:w="10" w:type="dxa"/>
              <w:bottom w:w="0" w:type="dxa"/>
              <w:right w:w="10" w:type="dxa"/>
            </w:tcMar>
            <w:vAlign w:val="center"/>
          </w:tcPr>
          <w:p>
            <w:pPr>
              <w:spacing w:line="240" w:lineRule="exact"/>
              <w:rPr>
                <w:rFonts w:asciiTheme="majorEastAsia" w:hAnsiTheme="majorEastAsia" w:eastAsiaTheme="majorEastAsia"/>
                <w:szCs w:val="21"/>
              </w:rPr>
            </w:pPr>
            <w:r>
              <w:rPr>
                <w:rFonts w:hint="eastAsia" w:asciiTheme="majorEastAsia" w:hAnsiTheme="majorEastAsia" w:eastAsiaTheme="majorEastAsia"/>
                <w:szCs w:val="21"/>
              </w:rPr>
              <w:t>已制定或具有预算资金管理办法、内部财务管理制度、会计核算制度等管理制度计1分；相关管理制度合法、合规、完整计0.5分；相关管理制度得到有效执行计0.5分。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continue"/>
            <w:shd w:val="clear" w:color="auto" w:fill="auto"/>
            <w:vAlign w:val="center"/>
          </w:tcPr>
          <w:p>
            <w:pPr>
              <w:spacing w:line="240" w:lineRule="exact"/>
              <w:jc w:val="center"/>
              <w:rPr>
                <w:rFonts w:asciiTheme="majorEastAsia" w:hAnsiTheme="majorEastAsia" w:eastAsiaTheme="majorEastAsia"/>
                <w:szCs w:val="21"/>
              </w:rPr>
            </w:pPr>
          </w:p>
        </w:tc>
        <w:tc>
          <w:tcPr>
            <w:tcW w:w="570" w:type="dxa"/>
            <w:vMerge w:val="continue"/>
            <w:vAlign w:val="center"/>
          </w:tcPr>
          <w:p>
            <w:pPr>
              <w:spacing w:line="240" w:lineRule="exact"/>
              <w:jc w:val="center"/>
              <w:rPr>
                <w:rFonts w:asciiTheme="majorEastAsia" w:hAnsiTheme="majorEastAsia" w:eastAsiaTheme="majorEastAsia"/>
                <w:szCs w:val="21"/>
              </w:rPr>
            </w:pP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资金使用</w:t>
            </w:r>
          </w:p>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合规性（1分）</w:t>
            </w:r>
          </w:p>
        </w:tc>
        <w:tc>
          <w:tcPr>
            <w:tcW w:w="446" w:type="dxa"/>
            <w:tcMar>
              <w:top w:w="10" w:type="dxa"/>
              <w:left w:w="10" w:type="dxa"/>
              <w:bottom w:w="0" w:type="dxa"/>
              <w:right w:w="10" w:type="dxa"/>
            </w:tcMar>
            <w:vAlign w:val="center"/>
          </w:tcPr>
          <w:p>
            <w:pPr>
              <w:tabs>
                <w:tab w:val="left" w:pos="2604"/>
              </w:tabs>
              <w:spacing w:line="240" w:lineRule="exact"/>
              <w:jc w:val="center"/>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1</w:t>
            </w:r>
          </w:p>
        </w:tc>
        <w:tc>
          <w:tcPr>
            <w:tcW w:w="2976" w:type="dxa"/>
            <w:shd w:val="clear" w:color="auto" w:fill="auto"/>
            <w:tcMar>
              <w:top w:w="10" w:type="dxa"/>
              <w:left w:w="10" w:type="dxa"/>
              <w:bottom w:w="0" w:type="dxa"/>
              <w:right w:w="10" w:type="dxa"/>
            </w:tcMar>
            <w:vAlign w:val="center"/>
          </w:tcPr>
          <w:p>
            <w:pPr>
              <w:tabs>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部门使用预算资金是否符合相关的预算财务管理制度的规定，用以反映和考核部门预算资金的规范运行情况。</w:t>
            </w:r>
          </w:p>
        </w:tc>
        <w:tc>
          <w:tcPr>
            <w:tcW w:w="3721" w:type="dxa"/>
            <w:shd w:val="clear" w:color="auto" w:fill="auto"/>
            <w:tcMar>
              <w:top w:w="10" w:type="dxa"/>
              <w:left w:w="10" w:type="dxa"/>
              <w:bottom w:w="0" w:type="dxa"/>
              <w:right w:w="10" w:type="dxa"/>
            </w:tcMar>
            <w:vAlign w:val="center"/>
          </w:tcPr>
          <w:p>
            <w:pPr>
              <w:spacing w:line="240" w:lineRule="exact"/>
              <w:rPr>
                <w:rFonts w:asciiTheme="majorEastAsia" w:hAnsiTheme="majorEastAsia" w:eastAsiaTheme="majorEastAsia"/>
                <w:szCs w:val="21"/>
              </w:rPr>
            </w:pPr>
            <w:r>
              <w:rPr>
                <w:rFonts w:hint="eastAsia" w:asciiTheme="majorEastAsia" w:hAnsiTheme="majorEastAsia" w:eastAsiaTheme="majorEastAsia"/>
                <w:szCs w:val="21"/>
              </w:rPr>
              <w:t>①符合国家财经法规和财务管理制度规定以及有关专项资金管理办法的规定计0.2分；②资金的拨付有完整的审批程序和手续计0.2分；③项目的重大开支经过评估论证计0.2分；④符合部门预算批复的用途计0.2分；⑤不存在截留、挤占、挪用、虚列支出等情况计0.2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continue"/>
            <w:vAlign w:val="center"/>
          </w:tcPr>
          <w:p>
            <w:pPr>
              <w:spacing w:line="240" w:lineRule="exact"/>
              <w:jc w:val="center"/>
              <w:rPr>
                <w:rFonts w:asciiTheme="majorEastAsia" w:hAnsiTheme="majorEastAsia" w:eastAsiaTheme="majorEastAsia"/>
                <w:szCs w:val="21"/>
              </w:rPr>
            </w:pPr>
          </w:p>
        </w:tc>
        <w:tc>
          <w:tcPr>
            <w:tcW w:w="570" w:type="dxa"/>
            <w:vMerge w:val="continue"/>
            <w:vAlign w:val="center"/>
          </w:tcPr>
          <w:p>
            <w:pPr>
              <w:spacing w:line="240" w:lineRule="exact"/>
              <w:jc w:val="center"/>
              <w:rPr>
                <w:rFonts w:asciiTheme="majorEastAsia" w:hAnsiTheme="majorEastAsia" w:eastAsiaTheme="majorEastAsia"/>
                <w:szCs w:val="21"/>
              </w:rPr>
            </w:pP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预决算信</w:t>
            </w:r>
          </w:p>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息公开性（1分）</w:t>
            </w:r>
          </w:p>
        </w:tc>
        <w:tc>
          <w:tcPr>
            <w:tcW w:w="446" w:type="dxa"/>
            <w:tcMar>
              <w:top w:w="10" w:type="dxa"/>
              <w:left w:w="10" w:type="dxa"/>
              <w:bottom w:w="0" w:type="dxa"/>
              <w:right w:w="10" w:type="dxa"/>
            </w:tcMar>
            <w:vAlign w:val="center"/>
          </w:tcPr>
          <w:p>
            <w:pPr>
              <w:tabs>
                <w:tab w:val="left" w:pos="2604"/>
              </w:tabs>
              <w:spacing w:line="240" w:lineRule="exact"/>
              <w:jc w:val="center"/>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1</w:t>
            </w:r>
          </w:p>
        </w:tc>
        <w:tc>
          <w:tcPr>
            <w:tcW w:w="2976" w:type="dxa"/>
            <w:shd w:val="clear" w:color="auto" w:fill="auto"/>
            <w:tcMar>
              <w:top w:w="10" w:type="dxa"/>
              <w:left w:w="10" w:type="dxa"/>
              <w:bottom w:w="0" w:type="dxa"/>
              <w:right w:w="10" w:type="dxa"/>
            </w:tcMar>
            <w:vAlign w:val="center"/>
          </w:tcPr>
          <w:p>
            <w:pPr>
              <w:tabs>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部门是否按照政府信息公开有关规定公开相关预决算信息，用以反映和考核部门预决算管理的公开透明情况。</w:t>
            </w:r>
          </w:p>
        </w:tc>
        <w:tc>
          <w:tcPr>
            <w:tcW w:w="3721" w:type="dxa"/>
            <w:shd w:val="clear" w:color="auto" w:fill="auto"/>
            <w:tcMar>
              <w:top w:w="10" w:type="dxa"/>
              <w:left w:w="10" w:type="dxa"/>
              <w:bottom w:w="0" w:type="dxa"/>
              <w:right w:w="10" w:type="dxa"/>
            </w:tcMar>
            <w:vAlign w:val="center"/>
          </w:tcPr>
          <w:p>
            <w:pPr>
              <w:spacing w:line="240" w:lineRule="exact"/>
              <w:rPr>
                <w:rFonts w:asciiTheme="majorEastAsia" w:hAnsiTheme="majorEastAsia" w:eastAsiaTheme="majorEastAsia"/>
                <w:szCs w:val="21"/>
              </w:rPr>
            </w:pPr>
            <w:r>
              <w:rPr>
                <w:rFonts w:hint="eastAsia" w:asciiTheme="majorEastAsia" w:hAnsiTheme="majorEastAsia" w:eastAsiaTheme="majorEastAsia"/>
                <w:szCs w:val="21"/>
              </w:rPr>
              <w:t>①按规定内容公开预决算信息计0.5分；②按规定时限公开预决算信息计0.5分。预决算信息是指与部门预算、执行、决算、监督、绩效等管理相关的信息。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continue"/>
            <w:vAlign w:val="center"/>
          </w:tcPr>
          <w:p>
            <w:pPr>
              <w:spacing w:line="240" w:lineRule="exact"/>
              <w:jc w:val="center"/>
              <w:rPr>
                <w:rFonts w:asciiTheme="majorEastAsia" w:hAnsiTheme="majorEastAsia" w:eastAsiaTheme="majorEastAsia"/>
                <w:szCs w:val="21"/>
              </w:rPr>
            </w:pPr>
          </w:p>
        </w:tc>
        <w:tc>
          <w:tcPr>
            <w:tcW w:w="570" w:type="dxa"/>
            <w:vMerge w:val="continue"/>
            <w:vAlign w:val="center"/>
          </w:tcPr>
          <w:p>
            <w:pPr>
              <w:spacing w:line="240" w:lineRule="exact"/>
              <w:jc w:val="center"/>
              <w:rPr>
                <w:rFonts w:asciiTheme="majorEastAsia" w:hAnsiTheme="majorEastAsia" w:eastAsiaTheme="majorEastAsia"/>
                <w:szCs w:val="21"/>
              </w:rPr>
            </w:pP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基础信息</w:t>
            </w:r>
          </w:p>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完善性（1分）</w:t>
            </w:r>
          </w:p>
        </w:tc>
        <w:tc>
          <w:tcPr>
            <w:tcW w:w="446" w:type="dxa"/>
            <w:tcMar>
              <w:top w:w="10" w:type="dxa"/>
              <w:left w:w="10" w:type="dxa"/>
              <w:bottom w:w="0" w:type="dxa"/>
              <w:right w:w="10" w:type="dxa"/>
            </w:tcMar>
            <w:vAlign w:val="center"/>
          </w:tcPr>
          <w:p>
            <w:pPr>
              <w:tabs>
                <w:tab w:val="left" w:pos="2604"/>
              </w:tabs>
              <w:spacing w:line="240" w:lineRule="exact"/>
              <w:jc w:val="center"/>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1</w:t>
            </w:r>
          </w:p>
        </w:tc>
        <w:tc>
          <w:tcPr>
            <w:tcW w:w="2976" w:type="dxa"/>
            <w:shd w:val="clear" w:color="auto" w:fill="auto"/>
            <w:tcMar>
              <w:top w:w="10" w:type="dxa"/>
              <w:left w:w="10" w:type="dxa"/>
              <w:bottom w:w="0" w:type="dxa"/>
              <w:right w:w="10" w:type="dxa"/>
            </w:tcMar>
            <w:vAlign w:val="center"/>
          </w:tcPr>
          <w:p>
            <w:pPr>
              <w:tabs>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部门基础信息是否完善，用以反映和考核基础信息对预算管理工作的支撑情况。</w:t>
            </w:r>
          </w:p>
        </w:tc>
        <w:tc>
          <w:tcPr>
            <w:tcW w:w="3721" w:type="dxa"/>
            <w:shd w:val="clear" w:color="auto" w:fill="auto"/>
            <w:tcMar>
              <w:top w:w="10" w:type="dxa"/>
              <w:left w:w="10" w:type="dxa"/>
              <w:bottom w:w="0" w:type="dxa"/>
              <w:right w:w="10" w:type="dxa"/>
            </w:tcMar>
            <w:vAlign w:val="center"/>
          </w:tcPr>
          <w:p>
            <w:pPr>
              <w:spacing w:line="240" w:lineRule="exact"/>
              <w:rPr>
                <w:rFonts w:asciiTheme="majorEastAsia" w:hAnsiTheme="majorEastAsia" w:eastAsiaTheme="majorEastAsia"/>
                <w:szCs w:val="21"/>
              </w:rPr>
            </w:pPr>
            <w:r>
              <w:rPr>
                <w:rFonts w:hint="eastAsia" w:asciiTheme="majorEastAsia" w:hAnsiTheme="majorEastAsia" w:eastAsiaTheme="majorEastAsia"/>
                <w:szCs w:val="21"/>
              </w:rPr>
              <w:t>①基础数据信息和会计信息资料真实计0.4分；②基础数据信息和会计信息资料完整计0.3分；③基础数据信息和会计信息资料准确计0.3分。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continue"/>
            <w:shd w:val="clear" w:color="auto" w:fill="auto"/>
            <w:tcMar>
              <w:top w:w="10" w:type="dxa"/>
              <w:left w:w="10" w:type="dxa"/>
              <w:bottom w:w="0" w:type="dxa"/>
              <w:right w:w="10" w:type="dxa"/>
            </w:tcMar>
            <w:textDirection w:val="tbRlV"/>
            <w:vAlign w:val="center"/>
          </w:tcPr>
          <w:p>
            <w:pPr>
              <w:spacing w:line="240" w:lineRule="exact"/>
              <w:jc w:val="center"/>
              <w:rPr>
                <w:rFonts w:asciiTheme="majorEastAsia" w:hAnsiTheme="majorEastAsia" w:eastAsiaTheme="majorEastAsia"/>
                <w:szCs w:val="21"/>
              </w:rPr>
            </w:pPr>
          </w:p>
        </w:tc>
        <w:tc>
          <w:tcPr>
            <w:tcW w:w="570" w:type="dxa"/>
            <w:vMerge w:val="restart"/>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资产</w:t>
            </w:r>
            <w:r>
              <w:rPr>
                <w:rFonts w:hint="eastAsia" w:asciiTheme="majorEastAsia" w:hAnsiTheme="majorEastAsia" w:eastAsiaTheme="majorEastAsia"/>
                <w:szCs w:val="21"/>
              </w:rPr>
              <w:br w:type="textWrapping"/>
            </w:r>
            <w:r>
              <w:rPr>
                <w:rFonts w:hint="eastAsia" w:asciiTheme="majorEastAsia" w:hAnsiTheme="majorEastAsia" w:eastAsiaTheme="majorEastAsia"/>
                <w:szCs w:val="21"/>
              </w:rPr>
              <w:t>管理</w:t>
            </w:r>
          </w:p>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（5分）</w:t>
            </w: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管理制度</w:t>
            </w:r>
          </w:p>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健全性（2分）</w:t>
            </w:r>
          </w:p>
        </w:tc>
        <w:tc>
          <w:tcPr>
            <w:tcW w:w="446" w:type="dxa"/>
            <w:tcMar>
              <w:top w:w="10" w:type="dxa"/>
              <w:left w:w="10" w:type="dxa"/>
              <w:bottom w:w="0" w:type="dxa"/>
              <w:right w:w="10" w:type="dxa"/>
            </w:tcMar>
            <w:vAlign w:val="center"/>
          </w:tcPr>
          <w:p>
            <w:pPr>
              <w:tabs>
                <w:tab w:val="left" w:pos="2604"/>
              </w:tabs>
              <w:spacing w:line="240" w:lineRule="exact"/>
              <w:jc w:val="center"/>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2</w:t>
            </w:r>
          </w:p>
        </w:tc>
        <w:tc>
          <w:tcPr>
            <w:tcW w:w="2976" w:type="dxa"/>
            <w:shd w:val="clear" w:color="auto" w:fill="auto"/>
            <w:tcMar>
              <w:top w:w="10" w:type="dxa"/>
              <w:left w:w="10" w:type="dxa"/>
              <w:bottom w:w="0" w:type="dxa"/>
              <w:right w:w="10" w:type="dxa"/>
            </w:tcMar>
            <w:vAlign w:val="center"/>
          </w:tcPr>
          <w:p>
            <w:pPr>
              <w:tabs>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部门为加强资产管理、规范资产管理行为而制定的管理制度是否健全完整，用以反映和考核部门资产管理制度对完成主要职责或促进社会发展的保障情况。</w:t>
            </w:r>
          </w:p>
        </w:tc>
        <w:tc>
          <w:tcPr>
            <w:tcW w:w="3721" w:type="dxa"/>
            <w:shd w:val="clear" w:color="auto" w:fill="auto"/>
            <w:tcMar>
              <w:top w:w="10" w:type="dxa"/>
              <w:left w:w="10" w:type="dxa"/>
              <w:bottom w:w="0" w:type="dxa"/>
              <w:right w:w="10" w:type="dxa"/>
            </w:tcMar>
            <w:vAlign w:val="center"/>
          </w:tcPr>
          <w:p>
            <w:pPr>
              <w:spacing w:line="240" w:lineRule="exact"/>
              <w:rPr>
                <w:rFonts w:asciiTheme="majorEastAsia" w:hAnsiTheme="majorEastAsia" w:eastAsiaTheme="majorEastAsia"/>
                <w:szCs w:val="21"/>
              </w:rPr>
            </w:pPr>
            <w:r>
              <w:rPr>
                <w:rFonts w:hint="eastAsia" w:asciiTheme="majorEastAsia" w:hAnsiTheme="majorEastAsia" w:eastAsiaTheme="majorEastAsia"/>
                <w:szCs w:val="21"/>
              </w:rPr>
              <w:t>①制定或具有资产管理制度计1分；②相关资金管理制度合法、合规、完整计0.5分；③相关资产管理制度得到有效执行计0.5分。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continue"/>
            <w:shd w:val="clear" w:color="auto" w:fill="auto"/>
            <w:vAlign w:val="center"/>
          </w:tcPr>
          <w:p>
            <w:pPr>
              <w:spacing w:line="240" w:lineRule="exact"/>
              <w:jc w:val="center"/>
              <w:rPr>
                <w:rFonts w:asciiTheme="majorEastAsia" w:hAnsiTheme="majorEastAsia" w:eastAsiaTheme="majorEastAsia"/>
                <w:szCs w:val="21"/>
              </w:rPr>
            </w:pPr>
          </w:p>
        </w:tc>
        <w:tc>
          <w:tcPr>
            <w:tcW w:w="570" w:type="dxa"/>
            <w:vMerge w:val="continue"/>
            <w:shd w:val="clear" w:color="auto" w:fill="auto"/>
            <w:vAlign w:val="center"/>
          </w:tcPr>
          <w:p>
            <w:pPr>
              <w:spacing w:line="240" w:lineRule="exact"/>
              <w:jc w:val="center"/>
              <w:rPr>
                <w:rFonts w:asciiTheme="majorEastAsia" w:hAnsiTheme="majorEastAsia" w:eastAsiaTheme="majorEastAsia"/>
                <w:szCs w:val="21"/>
              </w:rPr>
            </w:pP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资产管理</w:t>
            </w:r>
          </w:p>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安全性（2分）</w:t>
            </w:r>
          </w:p>
        </w:tc>
        <w:tc>
          <w:tcPr>
            <w:tcW w:w="446" w:type="dxa"/>
            <w:tcMar>
              <w:top w:w="10" w:type="dxa"/>
              <w:left w:w="10" w:type="dxa"/>
              <w:bottom w:w="0" w:type="dxa"/>
              <w:right w:w="10" w:type="dxa"/>
            </w:tcMar>
            <w:vAlign w:val="center"/>
          </w:tcPr>
          <w:p>
            <w:pPr>
              <w:tabs>
                <w:tab w:val="left" w:pos="761"/>
                <w:tab w:val="left" w:pos="2604"/>
              </w:tabs>
              <w:spacing w:line="240" w:lineRule="exact"/>
              <w:jc w:val="center"/>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2</w:t>
            </w:r>
          </w:p>
        </w:tc>
        <w:tc>
          <w:tcPr>
            <w:tcW w:w="2976" w:type="dxa"/>
            <w:shd w:val="clear" w:color="auto" w:fill="auto"/>
            <w:tcMar>
              <w:top w:w="10" w:type="dxa"/>
              <w:left w:w="10" w:type="dxa"/>
              <w:bottom w:w="0" w:type="dxa"/>
              <w:right w:w="10" w:type="dxa"/>
            </w:tcMar>
            <w:vAlign w:val="center"/>
          </w:tcPr>
          <w:p>
            <w:pPr>
              <w:tabs>
                <w:tab w:val="left" w:pos="761"/>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部门的资产是否保存完整、使用合规、配置合理、处置规范、收入及时足额上缴，用以反映和考核部门资产安全运行情况。</w:t>
            </w:r>
          </w:p>
        </w:tc>
        <w:tc>
          <w:tcPr>
            <w:tcW w:w="3721" w:type="dxa"/>
            <w:shd w:val="clear" w:color="auto" w:fill="auto"/>
            <w:tcMar>
              <w:top w:w="10" w:type="dxa"/>
              <w:left w:w="10" w:type="dxa"/>
              <w:bottom w:w="0" w:type="dxa"/>
              <w:right w:w="10" w:type="dxa"/>
            </w:tcMar>
            <w:vAlign w:val="center"/>
          </w:tcPr>
          <w:p>
            <w:pPr>
              <w:spacing w:line="240" w:lineRule="exact"/>
              <w:rPr>
                <w:rFonts w:asciiTheme="majorEastAsia" w:hAnsiTheme="majorEastAsia" w:eastAsiaTheme="majorEastAsia"/>
                <w:szCs w:val="21"/>
              </w:rPr>
            </w:pPr>
            <w:r>
              <w:rPr>
                <w:rFonts w:hint="eastAsia" w:asciiTheme="majorEastAsia" w:hAnsiTheme="majorEastAsia" w:eastAsiaTheme="majorEastAsia"/>
                <w:szCs w:val="21"/>
              </w:rPr>
              <w:t>①资产保存完整计0.4分；②资产配置合理计0.4分；③资产处置规范计0.4分；④资产账务管理合规、帐实相符计0.4分；⑤资产有偿使用及处置收入及时足额上缴计0.4分。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continue"/>
            <w:shd w:val="clear" w:color="auto" w:fill="auto"/>
            <w:vAlign w:val="center"/>
          </w:tcPr>
          <w:p>
            <w:pPr>
              <w:spacing w:line="240" w:lineRule="exact"/>
              <w:jc w:val="center"/>
              <w:rPr>
                <w:rFonts w:asciiTheme="majorEastAsia" w:hAnsiTheme="majorEastAsia" w:eastAsiaTheme="majorEastAsia"/>
                <w:szCs w:val="21"/>
              </w:rPr>
            </w:pPr>
          </w:p>
        </w:tc>
        <w:tc>
          <w:tcPr>
            <w:tcW w:w="570" w:type="dxa"/>
            <w:vMerge w:val="continue"/>
            <w:shd w:val="clear" w:color="auto" w:fill="auto"/>
            <w:vAlign w:val="center"/>
          </w:tcPr>
          <w:p>
            <w:pPr>
              <w:spacing w:line="240" w:lineRule="exact"/>
              <w:jc w:val="center"/>
              <w:rPr>
                <w:rFonts w:asciiTheme="majorEastAsia" w:hAnsiTheme="majorEastAsia" w:eastAsiaTheme="majorEastAsia"/>
                <w:szCs w:val="21"/>
              </w:rPr>
            </w:pP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固定资产</w:t>
            </w:r>
          </w:p>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利用率（1分）</w:t>
            </w:r>
          </w:p>
        </w:tc>
        <w:tc>
          <w:tcPr>
            <w:tcW w:w="446" w:type="dxa"/>
            <w:tcMar>
              <w:top w:w="10" w:type="dxa"/>
              <w:left w:w="10" w:type="dxa"/>
              <w:bottom w:w="0" w:type="dxa"/>
              <w:right w:w="10" w:type="dxa"/>
            </w:tcMar>
            <w:vAlign w:val="center"/>
          </w:tcPr>
          <w:p>
            <w:pPr>
              <w:tabs>
                <w:tab w:val="left" w:pos="2604"/>
              </w:tabs>
              <w:spacing w:line="240" w:lineRule="exact"/>
              <w:jc w:val="center"/>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1</w:t>
            </w:r>
          </w:p>
        </w:tc>
        <w:tc>
          <w:tcPr>
            <w:tcW w:w="2976" w:type="dxa"/>
            <w:shd w:val="clear" w:color="auto" w:fill="auto"/>
            <w:tcMar>
              <w:top w:w="10" w:type="dxa"/>
              <w:left w:w="10" w:type="dxa"/>
              <w:bottom w:w="0" w:type="dxa"/>
              <w:right w:w="10" w:type="dxa"/>
            </w:tcMar>
            <w:vAlign w:val="center"/>
          </w:tcPr>
          <w:p>
            <w:pPr>
              <w:tabs>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部门实际在用固定资产总额与所有固定资产总额的比率，用以反映和考核部门固定资产使用效率程度。</w:t>
            </w:r>
          </w:p>
        </w:tc>
        <w:tc>
          <w:tcPr>
            <w:tcW w:w="3721" w:type="dxa"/>
            <w:shd w:val="clear" w:color="auto" w:fill="auto"/>
            <w:tcMar>
              <w:top w:w="10" w:type="dxa"/>
              <w:left w:w="10" w:type="dxa"/>
              <w:bottom w:w="0" w:type="dxa"/>
              <w:right w:w="10" w:type="dxa"/>
            </w:tcMar>
            <w:vAlign w:val="center"/>
          </w:tcPr>
          <w:p>
            <w:pPr>
              <w:spacing w:line="240" w:lineRule="exact"/>
              <w:rPr>
                <w:rFonts w:asciiTheme="majorEastAsia" w:hAnsiTheme="majorEastAsia" w:eastAsiaTheme="majorEastAsia"/>
                <w:szCs w:val="21"/>
              </w:rPr>
            </w:pPr>
            <w:r>
              <w:rPr>
                <w:rFonts w:hint="eastAsia" w:asciiTheme="majorEastAsia" w:hAnsiTheme="majorEastAsia" w:eastAsiaTheme="majorEastAsia"/>
                <w:szCs w:val="21"/>
              </w:rPr>
              <w:t>固定资产利用率=（实际在用固定资产总额/所有固定资产总额）×100%。利用率为100%的计1分，每降1个百分点扣0.1分，扣完为止。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restart"/>
            <w:shd w:val="clear" w:color="auto" w:fill="auto"/>
            <w:tcMar>
              <w:top w:w="10" w:type="dxa"/>
              <w:left w:w="10" w:type="dxa"/>
              <w:bottom w:w="0" w:type="dxa"/>
              <w:right w:w="10" w:type="dxa"/>
            </w:tcMar>
            <w:textDirection w:val="tbRlV"/>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产   出（30分）</w:t>
            </w:r>
          </w:p>
        </w:tc>
        <w:tc>
          <w:tcPr>
            <w:tcW w:w="570" w:type="dxa"/>
            <w:vMerge w:val="restart"/>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职责</w:t>
            </w:r>
            <w:r>
              <w:rPr>
                <w:rFonts w:hint="eastAsia" w:asciiTheme="majorEastAsia" w:hAnsiTheme="majorEastAsia" w:eastAsiaTheme="majorEastAsia"/>
                <w:szCs w:val="21"/>
              </w:rPr>
              <w:br w:type="textWrapping"/>
            </w:r>
            <w:r>
              <w:rPr>
                <w:rFonts w:hint="eastAsia" w:asciiTheme="majorEastAsia" w:hAnsiTheme="majorEastAsia" w:eastAsiaTheme="majorEastAsia"/>
                <w:szCs w:val="21"/>
              </w:rPr>
              <w:t>履行</w:t>
            </w: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实际完成率（8分）</w:t>
            </w:r>
          </w:p>
        </w:tc>
        <w:tc>
          <w:tcPr>
            <w:tcW w:w="446" w:type="dxa"/>
            <w:tcMar>
              <w:top w:w="10" w:type="dxa"/>
              <w:left w:w="10" w:type="dxa"/>
              <w:bottom w:w="0" w:type="dxa"/>
              <w:right w:w="10" w:type="dxa"/>
            </w:tcMar>
            <w:vAlign w:val="center"/>
          </w:tcPr>
          <w:p>
            <w:pPr>
              <w:tabs>
                <w:tab w:val="left" w:pos="2604"/>
              </w:tabs>
              <w:spacing w:line="240" w:lineRule="exact"/>
              <w:jc w:val="center"/>
              <w:rPr>
                <w:rFonts w:hint="default"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8</w:t>
            </w:r>
          </w:p>
        </w:tc>
        <w:tc>
          <w:tcPr>
            <w:tcW w:w="2976" w:type="dxa"/>
            <w:shd w:val="clear" w:color="auto" w:fill="auto"/>
            <w:tcMar>
              <w:top w:w="10" w:type="dxa"/>
              <w:left w:w="10" w:type="dxa"/>
              <w:bottom w:w="0" w:type="dxa"/>
              <w:right w:w="10" w:type="dxa"/>
            </w:tcMar>
            <w:vAlign w:val="center"/>
          </w:tcPr>
          <w:p>
            <w:pPr>
              <w:tabs>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部门履行职责而实际完成工作数与计划工作数的比率，用以反映和考核部门履职工作任务目标的实现程度。</w:t>
            </w:r>
          </w:p>
        </w:tc>
        <w:tc>
          <w:tcPr>
            <w:tcW w:w="3721" w:type="dxa"/>
            <w:shd w:val="clear" w:color="auto" w:fill="auto"/>
            <w:tcMar>
              <w:top w:w="10" w:type="dxa"/>
              <w:left w:w="10" w:type="dxa"/>
              <w:bottom w:w="0" w:type="dxa"/>
              <w:right w:w="10" w:type="dxa"/>
            </w:tcMar>
            <w:vAlign w:val="center"/>
          </w:tcPr>
          <w:p>
            <w:pPr>
              <w:spacing w:line="240" w:lineRule="exact"/>
              <w:rPr>
                <w:rFonts w:asciiTheme="majorEastAsia" w:hAnsiTheme="majorEastAsia" w:eastAsiaTheme="majorEastAsia"/>
                <w:szCs w:val="21"/>
              </w:rPr>
            </w:pPr>
            <w:r>
              <w:rPr>
                <w:rFonts w:hint="eastAsia" w:asciiTheme="majorEastAsia" w:hAnsiTheme="majorEastAsia" w:eastAsiaTheme="majorEastAsia"/>
                <w:szCs w:val="21"/>
              </w:rPr>
              <w:t>实际完成率得分=完成市委市政府绩效考核得分或上级主管部门考核指标得分/指标分值*8分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continue"/>
            <w:vAlign w:val="center"/>
          </w:tcPr>
          <w:p>
            <w:pPr>
              <w:spacing w:line="240" w:lineRule="exact"/>
              <w:jc w:val="center"/>
              <w:rPr>
                <w:rFonts w:asciiTheme="majorEastAsia" w:hAnsiTheme="majorEastAsia" w:eastAsiaTheme="majorEastAsia"/>
                <w:szCs w:val="21"/>
              </w:rPr>
            </w:pPr>
          </w:p>
        </w:tc>
        <w:tc>
          <w:tcPr>
            <w:tcW w:w="570" w:type="dxa"/>
            <w:vMerge w:val="continue"/>
            <w:vAlign w:val="center"/>
          </w:tcPr>
          <w:p>
            <w:pPr>
              <w:spacing w:line="240" w:lineRule="exact"/>
              <w:jc w:val="center"/>
              <w:rPr>
                <w:rFonts w:asciiTheme="majorEastAsia" w:hAnsiTheme="majorEastAsia" w:eastAsiaTheme="majorEastAsia"/>
                <w:szCs w:val="21"/>
              </w:rPr>
            </w:pP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完成及时率（4分）</w:t>
            </w:r>
          </w:p>
        </w:tc>
        <w:tc>
          <w:tcPr>
            <w:tcW w:w="446" w:type="dxa"/>
            <w:tcMar>
              <w:top w:w="10" w:type="dxa"/>
              <w:left w:w="10" w:type="dxa"/>
              <w:bottom w:w="0" w:type="dxa"/>
              <w:right w:w="10" w:type="dxa"/>
            </w:tcMar>
            <w:vAlign w:val="center"/>
          </w:tcPr>
          <w:p>
            <w:pPr>
              <w:tabs>
                <w:tab w:val="left" w:pos="2604"/>
              </w:tabs>
              <w:spacing w:line="240" w:lineRule="exact"/>
              <w:jc w:val="center"/>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4</w:t>
            </w:r>
          </w:p>
        </w:tc>
        <w:tc>
          <w:tcPr>
            <w:tcW w:w="2976" w:type="dxa"/>
            <w:shd w:val="clear" w:color="auto" w:fill="auto"/>
            <w:tcMar>
              <w:top w:w="10" w:type="dxa"/>
              <w:left w:w="10" w:type="dxa"/>
              <w:bottom w:w="0" w:type="dxa"/>
              <w:right w:w="10" w:type="dxa"/>
            </w:tcMar>
            <w:vAlign w:val="center"/>
          </w:tcPr>
          <w:p>
            <w:pPr>
              <w:tabs>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部门在规定时限内及时完成的实际工作数与计划工作数的比率,用以反映和考核部门履职时效目标的实现程度。</w:t>
            </w:r>
          </w:p>
        </w:tc>
        <w:tc>
          <w:tcPr>
            <w:tcW w:w="3721" w:type="dxa"/>
            <w:shd w:val="clear" w:color="auto" w:fill="auto"/>
            <w:tcMar>
              <w:top w:w="10" w:type="dxa"/>
              <w:left w:w="10" w:type="dxa"/>
              <w:bottom w:w="0" w:type="dxa"/>
              <w:right w:w="10" w:type="dxa"/>
            </w:tcMar>
            <w:vAlign w:val="center"/>
          </w:tcPr>
          <w:p>
            <w:pPr>
              <w:spacing w:line="240" w:lineRule="exact"/>
              <w:rPr>
                <w:rFonts w:asciiTheme="majorEastAsia" w:hAnsiTheme="majorEastAsia" w:eastAsiaTheme="majorEastAsia"/>
                <w:szCs w:val="21"/>
              </w:rPr>
            </w:pPr>
            <w:r>
              <w:rPr>
                <w:rFonts w:hint="eastAsia" w:asciiTheme="majorEastAsia" w:hAnsiTheme="majorEastAsia" w:eastAsiaTheme="majorEastAsia"/>
                <w:szCs w:val="21"/>
              </w:rPr>
              <w:t>完成及时率=（及时完成实际工作数/计划工作数）×100%。1-4季度各得1分</w:t>
            </w:r>
            <w:r>
              <w:rPr>
                <w:rFonts w:hint="eastAsia" w:asciiTheme="majorEastAsia" w:hAnsiTheme="majorEastAsia" w:eastAsiaTheme="majorEastAsia"/>
                <w:szCs w:val="21"/>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continue"/>
            <w:vAlign w:val="center"/>
          </w:tcPr>
          <w:p>
            <w:pPr>
              <w:spacing w:line="240" w:lineRule="exact"/>
              <w:jc w:val="center"/>
              <w:rPr>
                <w:rFonts w:asciiTheme="majorEastAsia" w:hAnsiTheme="majorEastAsia" w:eastAsiaTheme="majorEastAsia"/>
                <w:szCs w:val="21"/>
              </w:rPr>
            </w:pPr>
          </w:p>
        </w:tc>
        <w:tc>
          <w:tcPr>
            <w:tcW w:w="570" w:type="dxa"/>
            <w:vMerge w:val="continue"/>
            <w:vAlign w:val="center"/>
          </w:tcPr>
          <w:p>
            <w:pPr>
              <w:spacing w:line="240" w:lineRule="exact"/>
              <w:jc w:val="center"/>
              <w:rPr>
                <w:rFonts w:asciiTheme="majorEastAsia" w:hAnsiTheme="majorEastAsia" w:eastAsiaTheme="majorEastAsia"/>
                <w:szCs w:val="21"/>
              </w:rPr>
            </w:pP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质量达标率（8分）</w:t>
            </w:r>
          </w:p>
        </w:tc>
        <w:tc>
          <w:tcPr>
            <w:tcW w:w="446" w:type="dxa"/>
            <w:tcMar>
              <w:top w:w="10" w:type="dxa"/>
              <w:left w:w="10" w:type="dxa"/>
              <w:bottom w:w="0" w:type="dxa"/>
              <w:right w:w="10" w:type="dxa"/>
            </w:tcMar>
            <w:vAlign w:val="center"/>
          </w:tcPr>
          <w:p>
            <w:pPr>
              <w:tabs>
                <w:tab w:val="left" w:pos="2604"/>
              </w:tabs>
              <w:spacing w:line="240" w:lineRule="exact"/>
              <w:jc w:val="center"/>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7</w:t>
            </w:r>
          </w:p>
        </w:tc>
        <w:tc>
          <w:tcPr>
            <w:tcW w:w="2976" w:type="dxa"/>
            <w:shd w:val="clear" w:color="auto" w:fill="auto"/>
            <w:tcMar>
              <w:top w:w="10" w:type="dxa"/>
              <w:left w:w="10" w:type="dxa"/>
              <w:bottom w:w="0" w:type="dxa"/>
              <w:right w:w="10" w:type="dxa"/>
            </w:tcMar>
            <w:vAlign w:val="center"/>
          </w:tcPr>
          <w:p>
            <w:pPr>
              <w:tabs>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达到质量标准（绩效标准值）的实际工作数与计划工作数的比率,用以反映和考核部门履职质量目标的实现程度。</w:t>
            </w:r>
          </w:p>
        </w:tc>
        <w:tc>
          <w:tcPr>
            <w:tcW w:w="3721" w:type="dxa"/>
            <w:shd w:val="clear" w:color="auto" w:fill="auto"/>
            <w:tcMar>
              <w:top w:w="10" w:type="dxa"/>
              <w:left w:w="10" w:type="dxa"/>
              <w:bottom w:w="0" w:type="dxa"/>
              <w:right w:w="10" w:type="dxa"/>
            </w:tcMar>
            <w:vAlign w:val="center"/>
          </w:tcPr>
          <w:p>
            <w:pPr>
              <w:spacing w:line="240" w:lineRule="exact"/>
              <w:rPr>
                <w:rFonts w:asciiTheme="majorEastAsia" w:hAnsiTheme="majorEastAsia" w:eastAsiaTheme="majorEastAsia"/>
                <w:szCs w:val="21"/>
              </w:rPr>
            </w:pPr>
            <w:r>
              <w:rPr>
                <w:rFonts w:hint="eastAsia" w:asciiTheme="majorEastAsia" w:hAnsiTheme="majorEastAsia" w:eastAsiaTheme="majorEastAsia"/>
                <w:szCs w:val="21"/>
              </w:rPr>
              <w:t>质量达标率=（质量达标实际工作数/计划工作数）×100%。实际得分=达标率*8分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continue"/>
            <w:vAlign w:val="center"/>
          </w:tcPr>
          <w:p>
            <w:pPr>
              <w:spacing w:line="240" w:lineRule="exact"/>
              <w:jc w:val="center"/>
              <w:rPr>
                <w:rFonts w:asciiTheme="majorEastAsia" w:hAnsiTheme="majorEastAsia" w:eastAsiaTheme="majorEastAsia"/>
                <w:szCs w:val="21"/>
              </w:rPr>
            </w:pPr>
          </w:p>
        </w:tc>
        <w:tc>
          <w:tcPr>
            <w:tcW w:w="570" w:type="dxa"/>
            <w:vMerge w:val="continue"/>
            <w:vAlign w:val="center"/>
          </w:tcPr>
          <w:p>
            <w:pPr>
              <w:spacing w:line="240" w:lineRule="exact"/>
              <w:jc w:val="center"/>
              <w:rPr>
                <w:rFonts w:asciiTheme="majorEastAsia" w:hAnsiTheme="majorEastAsia" w:eastAsiaTheme="majorEastAsia"/>
                <w:szCs w:val="21"/>
              </w:rPr>
            </w:pP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重点工作</w:t>
            </w:r>
          </w:p>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办结率（10分）</w:t>
            </w:r>
          </w:p>
        </w:tc>
        <w:tc>
          <w:tcPr>
            <w:tcW w:w="446" w:type="dxa"/>
            <w:tcMar>
              <w:top w:w="10" w:type="dxa"/>
              <w:left w:w="10" w:type="dxa"/>
              <w:bottom w:w="0" w:type="dxa"/>
              <w:right w:w="10" w:type="dxa"/>
            </w:tcMar>
            <w:vAlign w:val="center"/>
          </w:tcPr>
          <w:p>
            <w:pPr>
              <w:tabs>
                <w:tab w:val="left" w:pos="2604"/>
              </w:tabs>
              <w:spacing w:line="240" w:lineRule="exact"/>
              <w:jc w:val="center"/>
              <w:rPr>
                <w:rFonts w:hint="default"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10</w:t>
            </w:r>
          </w:p>
        </w:tc>
        <w:tc>
          <w:tcPr>
            <w:tcW w:w="2976" w:type="dxa"/>
            <w:shd w:val="clear" w:color="auto" w:fill="auto"/>
            <w:tcMar>
              <w:top w:w="10" w:type="dxa"/>
              <w:left w:w="10" w:type="dxa"/>
              <w:bottom w:w="0" w:type="dxa"/>
              <w:right w:w="10" w:type="dxa"/>
            </w:tcMar>
            <w:vAlign w:val="center"/>
          </w:tcPr>
          <w:p>
            <w:pPr>
              <w:tabs>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部门年度重点工作实际完成数与交办或下达数的比率，用以反映部门对重点工作的办理落实程度。</w:t>
            </w:r>
          </w:p>
        </w:tc>
        <w:tc>
          <w:tcPr>
            <w:tcW w:w="3721" w:type="dxa"/>
            <w:shd w:val="clear" w:color="auto" w:fill="auto"/>
            <w:tcMar>
              <w:top w:w="10" w:type="dxa"/>
              <w:left w:w="10" w:type="dxa"/>
              <w:bottom w:w="0" w:type="dxa"/>
              <w:right w:w="10" w:type="dxa"/>
            </w:tcMar>
            <w:vAlign w:val="center"/>
          </w:tcPr>
          <w:p>
            <w:pPr>
              <w:spacing w:line="240" w:lineRule="exact"/>
              <w:rPr>
                <w:rFonts w:asciiTheme="majorEastAsia" w:hAnsiTheme="majorEastAsia" w:eastAsiaTheme="majorEastAsia"/>
                <w:szCs w:val="21"/>
              </w:rPr>
            </w:pPr>
            <w:r>
              <w:rPr>
                <w:rFonts w:hint="eastAsia" w:asciiTheme="majorEastAsia" w:hAnsiTheme="majorEastAsia" w:eastAsiaTheme="majorEastAsia"/>
                <w:szCs w:val="21"/>
              </w:rPr>
              <w:t>重点工作办结率=（重点工作实际完成数/交办或下达数）×100%。实际得分=办结率*10分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restart"/>
            <w:shd w:val="clear" w:color="auto" w:fill="auto"/>
            <w:tcMar>
              <w:top w:w="10" w:type="dxa"/>
              <w:left w:w="10" w:type="dxa"/>
              <w:bottom w:w="0" w:type="dxa"/>
              <w:right w:w="10" w:type="dxa"/>
            </w:tcMar>
            <w:textDirection w:val="tbRlV"/>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效   果（20分）</w:t>
            </w:r>
          </w:p>
        </w:tc>
        <w:tc>
          <w:tcPr>
            <w:tcW w:w="570" w:type="dxa"/>
            <w:vMerge w:val="restart"/>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履职</w:t>
            </w:r>
            <w:r>
              <w:rPr>
                <w:rFonts w:hint="eastAsia" w:asciiTheme="majorEastAsia" w:hAnsiTheme="majorEastAsia" w:eastAsiaTheme="majorEastAsia"/>
                <w:szCs w:val="21"/>
              </w:rPr>
              <w:br w:type="textWrapping"/>
            </w:r>
            <w:r>
              <w:rPr>
                <w:rFonts w:hint="eastAsia" w:asciiTheme="majorEastAsia" w:hAnsiTheme="majorEastAsia" w:eastAsiaTheme="majorEastAsia"/>
                <w:szCs w:val="21"/>
              </w:rPr>
              <w:t>效益（20分）</w:t>
            </w: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经济效益（5分）</w:t>
            </w:r>
          </w:p>
        </w:tc>
        <w:tc>
          <w:tcPr>
            <w:tcW w:w="446" w:type="dxa"/>
            <w:tcMar>
              <w:top w:w="10" w:type="dxa"/>
              <w:left w:w="10" w:type="dxa"/>
              <w:bottom w:w="0" w:type="dxa"/>
              <w:right w:w="10" w:type="dxa"/>
            </w:tcMar>
            <w:vAlign w:val="center"/>
          </w:tcPr>
          <w:p>
            <w:pPr>
              <w:tabs>
                <w:tab w:val="left" w:pos="2604"/>
              </w:tabs>
              <w:spacing w:line="240" w:lineRule="exact"/>
              <w:jc w:val="center"/>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3</w:t>
            </w:r>
          </w:p>
        </w:tc>
        <w:tc>
          <w:tcPr>
            <w:tcW w:w="2976" w:type="dxa"/>
            <w:shd w:val="clear" w:color="auto" w:fill="auto"/>
            <w:tcMar>
              <w:top w:w="10" w:type="dxa"/>
              <w:left w:w="10" w:type="dxa"/>
              <w:bottom w:w="0" w:type="dxa"/>
              <w:right w:w="10" w:type="dxa"/>
            </w:tcMar>
            <w:vAlign w:val="center"/>
          </w:tcPr>
          <w:p>
            <w:pPr>
              <w:tabs>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部门履行职责对经济发展所带来的直接或间接影响。</w:t>
            </w:r>
          </w:p>
        </w:tc>
        <w:tc>
          <w:tcPr>
            <w:tcW w:w="3721" w:type="dxa"/>
            <w:vMerge w:val="restart"/>
            <w:shd w:val="clear" w:color="auto" w:fill="auto"/>
            <w:tcMar>
              <w:top w:w="10" w:type="dxa"/>
              <w:left w:w="10" w:type="dxa"/>
              <w:bottom w:w="0" w:type="dxa"/>
              <w:right w:w="10" w:type="dxa"/>
            </w:tcMar>
            <w:vAlign w:val="center"/>
          </w:tcPr>
          <w:p>
            <w:pPr>
              <w:spacing w:line="240" w:lineRule="exact"/>
              <w:rPr>
                <w:rFonts w:asciiTheme="majorEastAsia" w:hAnsiTheme="majorEastAsia" w:eastAsiaTheme="majorEastAsia"/>
                <w:szCs w:val="21"/>
              </w:rPr>
            </w:pPr>
            <w:r>
              <w:rPr>
                <w:rFonts w:hint="eastAsia" w:cs="宋体" w:asciiTheme="majorEastAsia" w:hAnsiTheme="majorEastAsia" w:eastAsiaTheme="majorEastAsia"/>
                <w:kern w:val="0"/>
                <w:szCs w:val="21"/>
              </w:rPr>
              <w:t>按经济效益实现程度计算得分（5分）；按社会效益实现程度计算得分（5分）；按生态效益实现程度计算得分（5分）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continue"/>
            <w:vAlign w:val="center"/>
          </w:tcPr>
          <w:p>
            <w:pPr>
              <w:spacing w:line="240" w:lineRule="exact"/>
              <w:jc w:val="center"/>
              <w:rPr>
                <w:rFonts w:asciiTheme="majorEastAsia" w:hAnsiTheme="majorEastAsia" w:eastAsiaTheme="majorEastAsia"/>
                <w:szCs w:val="21"/>
              </w:rPr>
            </w:pPr>
          </w:p>
        </w:tc>
        <w:tc>
          <w:tcPr>
            <w:tcW w:w="570" w:type="dxa"/>
            <w:vMerge w:val="continue"/>
            <w:vAlign w:val="center"/>
          </w:tcPr>
          <w:p>
            <w:pPr>
              <w:spacing w:line="240" w:lineRule="exact"/>
              <w:jc w:val="center"/>
              <w:rPr>
                <w:rFonts w:asciiTheme="majorEastAsia" w:hAnsiTheme="majorEastAsia" w:eastAsiaTheme="majorEastAsia"/>
                <w:szCs w:val="21"/>
              </w:rPr>
            </w:pP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社会效益（5分）</w:t>
            </w:r>
          </w:p>
        </w:tc>
        <w:tc>
          <w:tcPr>
            <w:tcW w:w="446" w:type="dxa"/>
            <w:vAlign w:val="center"/>
          </w:tcPr>
          <w:p>
            <w:pPr>
              <w:tabs>
                <w:tab w:val="left" w:pos="2604"/>
              </w:tabs>
              <w:spacing w:line="240" w:lineRule="exact"/>
              <w:jc w:val="center"/>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3</w:t>
            </w:r>
          </w:p>
        </w:tc>
        <w:tc>
          <w:tcPr>
            <w:tcW w:w="2976" w:type="dxa"/>
            <w:shd w:val="clear" w:color="auto" w:fill="auto"/>
            <w:tcMar>
              <w:top w:w="10" w:type="dxa"/>
              <w:left w:w="10" w:type="dxa"/>
              <w:bottom w:w="0" w:type="dxa"/>
              <w:right w:w="10" w:type="dxa"/>
            </w:tcMar>
            <w:vAlign w:val="center"/>
          </w:tcPr>
          <w:p>
            <w:pPr>
              <w:tabs>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部门履行职责对社会发展所带来的直接或间接影响。</w:t>
            </w:r>
          </w:p>
        </w:tc>
        <w:tc>
          <w:tcPr>
            <w:tcW w:w="3721" w:type="dxa"/>
            <w:vMerge w:val="continue"/>
            <w:vAlign w:val="center"/>
          </w:tcPr>
          <w:p>
            <w:pPr>
              <w:spacing w:line="240" w:lineRule="exact"/>
              <w:rPr>
                <w:rFonts w:asciiTheme="majorEastAsia" w:hAnsiTheme="majorEastAsia" w:eastAsiaTheme="maj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continue"/>
            <w:vAlign w:val="center"/>
          </w:tcPr>
          <w:p>
            <w:pPr>
              <w:spacing w:line="240" w:lineRule="exact"/>
              <w:jc w:val="center"/>
              <w:rPr>
                <w:rFonts w:asciiTheme="majorEastAsia" w:hAnsiTheme="majorEastAsia" w:eastAsiaTheme="majorEastAsia"/>
                <w:szCs w:val="21"/>
              </w:rPr>
            </w:pPr>
          </w:p>
        </w:tc>
        <w:tc>
          <w:tcPr>
            <w:tcW w:w="570" w:type="dxa"/>
            <w:vMerge w:val="continue"/>
            <w:vAlign w:val="center"/>
          </w:tcPr>
          <w:p>
            <w:pPr>
              <w:spacing w:line="240" w:lineRule="exact"/>
              <w:jc w:val="center"/>
              <w:rPr>
                <w:rFonts w:asciiTheme="majorEastAsia" w:hAnsiTheme="majorEastAsia" w:eastAsiaTheme="majorEastAsia"/>
                <w:szCs w:val="21"/>
              </w:rPr>
            </w:pP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生态效益（5分）</w:t>
            </w:r>
          </w:p>
        </w:tc>
        <w:tc>
          <w:tcPr>
            <w:tcW w:w="446" w:type="dxa"/>
            <w:vAlign w:val="center"/>
          </w:tcPr>
          <w:p>
            <w:pPr>
              <w:tabs>
                <w:tab w:val="left" w:pos="2604"/>
              </w:tabs>
              <w:spacing w:line="240" w:lineRule="exact"/>
              <w:jc w:val="center"/>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4</w:t>
            </w:r>
          </w:p>
        </w:tc>
        <w:tc>
          <w:tcPr>
            <w:tcW w:w="2976" w:type="dxa"/>
            <w:shd w:val="clear" w:color="auto" w:fill="auto"/>
            <w:tcMar>
              <w:top w:w="10" w:type="dxa"/>
              <w:left w:w="10" w:type="dxa"/>
              <w:bottom w:w="0" w:type="dxa"/>
              <w:right w:w="10" w:type="dxa"/>
            </w:tcMar>
            <w:vAlign w:val="center"/>
          </w:tcPr>
          <w:p>
            <w:pPr>
              <w:tabs>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部门履行职责对生态环境所带来的直接或间接影响。</w:t>
            </w:r>
          </w:p>
        </w:tc>
        <w:tc>
          <w:tcPr>
            <w:tcW w:w="3721" w:type="dxa"/>
            <w:vMerge w:val="continue"/>
            <w:vAlign w:val="center"/>
          </w:tcPr>
          <w:p>
            <w:pPr>
              <w:spacing w:line="240" w:lineRule="exact"/>
              <w:rPr>
                <w:rFonts w:asciiTheme="majorEastAsia" w:hAnsiTheme="majorEastAsia" w:eastAsiaTheme="maj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547" w:type="dxa"/>
            <w:vMerge w:val="continue"/>
            <w:vAlign w:val="center"/>
          </w:tcPr>
          <w:p>
            <w:pPr>
              <w:spacing w:line="240" w:lineRule="exact"/>
              <w:jc w:val="center"/>
              <w:rPr>
                <w:rFonts w:asciiTheme="majorEastAsia" w:hAnsiTheme="majorEastAsia" w:eastAsiaTheme="majorEastAsia"/>
                <w:szCs w:val="21"/>
              </w:rPr>
            </w:pPr>
          </w:p>
        </w:tc>
        <w:tc>
          <w:tcPr>
            <w:tcW w:w="570" w:type="dxa"/>
            <w:vMerge w:val="continue"/>
            <w:vAlign w:val="center"/>
          </w:tcPr>
          <w:p>
            <w:pPr>
              <w:spacing w:line="240" w:lineRule="exact"/>
              <w:jc w:val="center"/>
              <w:rPr>
                <w:rFonts w:asciiTheme="majorEastAsia" w:hAnsiTheme="majorEastAsia" w:eastAsiaTheme="majorEastAsia"/>
                <w:szCs w:val="21"/>
              </w:rPr>
            </w:pPr>
          </w:p>
        </w:tc>
        <w:tc>
          <w:tcPr>
            <w:tcW w:w="703" w:type="dxa"/>
            <w:shd w:val="clear" w:color="auto" w:fill="auto"/>
            <w:tcMar>
              <w:top w:w="10" w:type="dxa"/>
              <w:left w:w="10" w:type="dxa"/>
              <w:bottom w:w="0" w:type="dxa"/>
              <w:right w:w="10" w:type="dxa"/>
            </w:tcMar>
            <w:vAlign w:val="center"/>
          </w:tcPr>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社会公众</w:t>
            </w:r>
          </w:p>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或服务对</w:t>
            </w:r>
          </w:p>
          <w:p>
            <w:pPr>
              <w:spacing w:line="240" w:lineRule="exact"/>
              <w:jc w:val="center"/>
              <w:rPr>
                <w:rFonts w:asciiTheme="majorEastAsia" w:hAnsiTheme="majorEastAsia" w:eastAsiaTheme="majorEastAsia"/>
                <w:szCs w:val="21"/>
              </w:rPr>
            </w:pPr>
            <w:r>
              <w:rPr>
                <w:rFonts w:hint="eastAsia" w:asciiTheme="majorEastAsia" w:hAnsiTheme="majorEastAsia" w:eastAsiaTheme="majorEastAsia"/>
                <w:szCs w:val="21"/>
              </w:rPr>
              <w:t>象满意度（5分）</w:t>
            </w:r>
          </w:p>
        </w:tc>
        <w:tc>
          <w:tcPr>
            <w:tcW w:w="446" w:type="dxa"/>
            <w:tcMar>
              <w:top w:w="10" w:type="dxa"/>
              <w:left w:w="10" w:type="dxa"/>
              <w:bottom w:w="0" w:type="dxa"/>
              <w:right w:w="10" w:type="dxa"/>
            </w:tcMar>
            <w:vAlign w:val="center"/>
          </w:tcPr>
          <w:p>
            <w:pPr>
              <w:tabs>
                <w:tab w:val="left" w:pos="2604"/>
              </w:tabs>
              <w:spacing w:line="240" w:lineRule="exact"/>
              <w:jc w:val="center"/>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4</w:t>
            </w:r>
          </w:p>
        </w:tc>
        <w:tc>
          <w:tcPr>
            <w:tcW w:w="2976" w:type="dxa"/>
            <w:shd w:val="clear" w:color="auto" w:fill="auto"/>
            <w:tcMar>
              <w:top w:w="10" w:type="dxa"/>
              <w:left w:w="10" w:type="dxa"/>
              <w:bottom w:w="0" w:type="dxa"/>
              <w:right w:w="10" w:type="dxa"/>
            </w:tcMar>
            <w:vAlign w:val="center"/>
          </w:tcPr>
          <w:p>
            <w:pPr>
              <w:tabs>
                <w:tab w:val="left" w:pos="2604"/>
              </w:tabs>
              <w:spacing w:line="240" w:lineRule="exact"/>
              <w:rPr>
                <w:rFonts w:asciiTheme="majorEastAsia" w:hAnsiTheme="majorEastAsia" w:eastAsiaTheme="majorEastAsia"/>
                <w:szCs w:val="21"/>
              </w:rPr>
            </w:pPr>
            <w:r>
              <w:rPr>
                <w:rFonts w:hint="eastAsia" w:asciiTheme="majorEastAsia" w:hAnsiTheme="majorEastAsia" w:eastAsiaTheme="majorEastAsia"/>
                <w:szCs w:val="21"/>
              </w:rPr>
              <w:t>社会公众或部门的服务对象对部门履职效果的满意程度。</w:t>
            </w:r>
          </w:p>
        </w:tc>
        <w:tc>
          <w:tcPr>
            <w:tcW w:w="3721" w:type="dxa"/>
            <w:shd w:val="clear" w:color="auto" w:fill="auto"/>
            <w:tcMar>
              <w:top w:w="10" w:type="dxa"/>
              <w:left w:w="10" w:type="dxa"/>
              <w:bottom w:w="0" w:type="dxa"/>
              <w:right w:w="10" w:type="dxa"/>
            </w:tcMar>
            <w:vAlign w:val="center"/>
          </w:tcPr>
          <w:p>
            <w:pPr>
              <w:spacing w:line="240" w:lineRule="exact"/>
              <w:rPr>
                <w:rFonts w:asciiTheme="majorEastAsia" w:hAnsiTheme="majorEastAsia" w:eastAsiaTheme="majorEastAsia"/>
                <w:szCs w:val="21"/>
              </w:rPr>
            </w:pPr>
            <w:r>
              <w:rPr>
                <w:rFonts w:hint="eastAsia" w:cs="宋体" w:asciiTheme="majorEastAsia" w:hAnsiTheme="majorEastAsia" w:eastAsiaTheme="majorEastAsia"/>
                <w:kern w:val="0"/>
                <w:szCs w:val="21"/>
              </w:rPr>
              <w:t>按收集到的服务对象的满意率计算得分（5分）</w:t>
            </w:r>
          </w:p>
        </w:tc>
      </w:tr>
    </w:tbl>
    <w:p>
      <w:pPr>
        <w:spacing w:line="600" w:lineRule="exact"/>
        <w:rPr>
          <w:rFonts w:ascii="黑体" w:eastAsia="黑体"/>
          <w:szCs w:val="32"/>
        </w:rPr>
      </w:pPr>
    </w:p>
    <w:p>
      <w:pPr>
        <w:spacing w:line="600" w:lineRule="exact"/>
        <w:rPr>
          <w:rFonts w:ascii="黑体" w:eastAsia="黑体"/>
          <w:szCs w:val="32"/>
        </w:rPr>
      </w:pPr>
    </w:p>
    <w:p>
      <w:pPr>
        <w:spacing w:line="80" w:lineRule="exact"/>
        <w:rPr>
          <w:rFonts w:ascii="黑体" w:eastAsia="黑体"/>
          <w:szCs w:val="32"/>
        </w:rPr>
      </w:pPr>
    </w:p>
    <w:p>
      <w:pPr>
        <w:rPr>
          <w:rFonts w:ascii="仿宋_GB2312"/>
        </w:rPr>
      </w:pPr>
    </w:p>
    <w:p>
      <w:pPr>
        <w:spacing w:line="440" w:lineRule="exact"/>
        <w:rPr>
          <w:rFonts w:ascii="黑体" w:hAnsi="黑体" w:eastAsia="黑体"/>
          <w:sz w:val="32"/>
          <w:szCs w:val="32"/>
        </w:rPr>
      </w:pPr>
      <w:r>
        <w:rPr>
          <w:rFonts w:hint="eastAsia" w:ascii="黑体" w:hAnsi="黑体" w:eastAsia="黑体"/>
          <w:sz w:val="32"/>
          <w:szCs w:val="32"/>
        </w:rPr>
        <w:t>附件5：</w:t>
      </w:r>
    </w:p>
    <w:p>
      <w:pPr>
        <w:spacing w:line="440" w:lineRule="exact"/>
        <w:jc w:val="center"/>
        <w:rPr>
          <w:rFonts w:hint="eastAsia" w:ascii="方正小标宋简体" w:eastAsia="方正小标宋简体"/>
          <w:sz w:val="44"/>
          <w:szCs w:val="44"/>
        </w:rPr>
      </w:pPr>
      <w:r>
        <w:rPr>
          <w:rFonts w:hint="eastAsia" w:ascii="方正小标宋简体" w:eastAsia="方正小标宋简体"/>
          <w:sz w:val="44"/>
          <w:szCs w:val="44"/>
          <w:lang w:val="en-US" w:eastAsia="zh-CN"/>
        </w:rPr>
        <w:t>2019年</w:t>
      </w:r>
      <w:r>
        <w:rPr>
          <w:rFonts w:hint="eastAsia" w:ascii="方正小标宋简体" w:eastAsia="方正小标宋简体"/>
          <w:sz w:val="44"/>
          <w:szCs w:val="44"/>
        </w:rPr>
        <w:t>赫山区畜牧水产</w:t>
      </w:r>
      <w:r>
        <w:rPr>
          <w:rFonts w:hint="eastAsia" w:ascii="方正小标宋简体" w:eastAsia="方正小标宋简体"/>
          <w:sz w:val="44"/>
          <w:szCs w:val="44"/>
          <w:lang w:eastAsia="zh-CN"/>
        </w:rPr>
        <w:t>事务中心</w:t>
      </w:r>
      <w:r>
        <w:rPr>
          <w:rFonts w:hint="eastAsia" w:ascii="方正小标宋简体" w:eastAsia="方正小标宋简体"/>
          <w:sz w:val="44"/>
          <w:szCs w:val="44"/>
        </w:rPr>
        <w:t>部门</w:t>
      </w:r>
    </w:p>
    <w:p>
      <w:pPr>
        <w:spacing w:line="440" w:lineRule="exact"/>
        <w:jc w:val="center"/>
        <w:rPr>
          <w:rFonts w:ascii="方正小标宋简体" w:eastAsia="方正小标宋简体"/>
          <w:sz w:val="44"/>
          <w:szCs w:val="44"/>
        </w:rPr>
      </w:pPr>
      <w:r>
        <w:rPr>
          <w:rFonts w:hint="eastAsia" w:ascii="方正小标宋简体" w:eastAsia="方正小标宋简体"/>
          <w:sz w:val="44"/>
          <w:szCs w:val="44"/>
        </w:rPr>
        <w:t>整体支出绩效评价报告</w:t>
      </w:r>
    </w:p>
    <w:p>
      <w:pPr>
        <w:spacing w:line="240" w:lineRule="exact"/>
        <w:rPr>
          <w:rFonts w:ascii="仿宋_GB2312" w:eastAsia="仿宋_GB2312"/>
          <w:sz w:val="32"/>
          <w:szCs w:val="32"/>
        </w:rPr>
      </w:pPr>
    </w:p>
    <w:p>
      <w:pPr>
        <w:spacing w:line="440" w:lineRule="exact"/>
        <w:ind w:firstLine="643" w:firstLineChars="200"/>
        <w:rPr>
          <w:rFonts w:ascii="黑体" w:hAnsi="黑体" w:eastAsia="黑体"/>
          <w:b/>
          <w:szCs w:val="32"/>
        </w:rPr>
      </w:pPr>
      <w:r>
        <w:rPr>
          <w:rFonts w:hint="eastAsia" w:ascii="黑体" w:hAnsi="黑体" w:eastAsia="黑体"/>
          <w:b/>
          <w:sz w:val="32"/>
          <w:szCs w:val="32"/>
        </w:rPr>
        <w:t>一、基本情况</w:t>
      </w:r>
    </w:p>
    <w:p>
      <w:pPr>
        <w:pStyle w:val="6"/>
        <w:widowControl/>
        <w:spacing w:before="0" w:beforeAutospacing="0" w:after="0" w:afterAutospacing="0" w:line="26" w:lineRule="atLeast"/>
        <w:ind w:firstLine="420"/>
        <w:jc w:val="both"/>
        <w:rPr>
          <w:rFonts w:ascii="仿宋_GB2312" w:eastAsia="仿宋_GB2312" w:cs="仿宋_GB2312"/>
          <w:sz w:val="30"/>
          <w:szCs w:val="30"/>
        </w:rPr>
      </w:pPr>
      <w:r>
        <w:rPr>
          <w:rFonts w:hint="eastAsia" w:ascii="仿宋_GB2312" w:eastAsia="仿宋_GB2312" w:cs="仿宋_GB2312"/>
          <w:sz w:val="30"/>
          <w:szCs w:val="30"/>
        </w:rPr>
        <w:t>（一）部门职能概述。主要内容包括：为畜牧水产业发展提供管理保障。负责畜牧水产技术推广，畜牧水产业资源保护、执法监督、质量监督、许可管理、项目管理。</w:t>
      </w:r>
    </w:p>
    <w:p>
      <w:pPr>
        <w:pStyle w:val="6"/>
        <w:widowControl/>
        <w:spacing w:before="0" w:beforeAutospacing="0" w:after="0" w:afterAutospacing="0" w:line="26" w:lineRule="atLeast"/>
        <w:ind w:firstLine="420"/>
        <w:jc w:val="both"/>
        <w:rPr>
          <w:rFonts w:ascii="仿宋_GB2312" w:eastAsia="仿宋_GB2312" w:cs="仿宋_GB2312"/>
          <w:color w:val="000000"/>
          <w:sz w:val="30"/>
          <w:szCs w:val="30"/>
        </w:rPr>
      </w:pPr>
      <w:bookmarkStart w:id="0" w:name="OLE_LINK1"/>
      <w:r>
        <w:rPr>
          <w:rFonts w:hint="eastAsia" w:ascii="仿宋_GB2312" w:eastAsia="仿宋_GB2312" w:cs="仿宋_GB2312"/>
          <w:color w:val="000000"/>
          <w:sz w:val="30"/>
          <w:szCs w:val="30"/>
        </w:rPr>
        <w:t>（二）部门组织机构及人员情况</w:t>
      </w:r>
    </w:p>
    <w:bookmarkEnd w:id="0"/>
    <w:p>
      <w:pPr>
        <w:pStyle w:val="6"/>
        <w:widowControl/>
        <w:spacing w:before="0" w:beforeAutospacing="0" w:after="0" w:afterAutospacing="0" w:line="26" w:lineRule="atLeast"/>
        <w:ind w:firstLine="420"/>
        <w:jc w:val="both"/>
        <w:rPr>
          <w:rFonts w:ascii="仿宋_GB2312" w:eastAsia="仿宋_GB2312" w:cs="仿宋_GB2312"/>
          <w:sz w:val="30"/>
          <w:szCs w:val="30"/>
        </w:rPr>
      </w:pPr>
      <w:r>
        <w:rPr>
          <w:rFonts w:hint="eastAsia" w:ascii="仿宋_GB2312" w:eastAsia="仿宋_GB2312" w:cs="仿宋_GB2312"/>
          <w:color w:val="000000"/>
          <w:sz w:val="30"/>
          <w:szCs w:val="30"/>
        </w:rPr>
        <w:t>201</w:t>
      </w:r>
      <w:r>
        <w:rPr>
          <w:rFonts w:hint="eastAsia" w:ascii="仿宋_GB2312" w:eastAsia="仿宋_GB2312" w:cs="仿宋_GB2312"/>
          <w:color w:val="000000"/>
          <w:sz w:val="30"/>
          <w:szCs w:val="30"/>
          <w:lang w:val="en-US" w:eastAsia="zh-CN"/>
        </w:rPr>
        <w:t>9</w:t>
      </w:r>
      <w:r>
        <w:rPr>
          <w:rFonts w:hint="eastAsia" w:ascii="仿宋_GB2312" w:eastAsia="仿宋_GB2312" w:cs="仿宋_GB2312"/>
          <w:color w:val="000000"/>
          <w:sz w:val="30"/>
          <w:szCs w:val="30"/>
        </w:rPr>
        <w:t>年度，我局机关设办公室、政工股、法制办、财计股、综合股、动物卫生监督管理所、畜牧站、水产站、渔政管理站、饲料兽药管理股、检测中心、政务中心畜牧水产窗口、屠宰办13个工作部门。有益阳市赫山区畜禽良种繁育场2个二级事业单位。有会龙山街道办事处、赫山街道办事处、鱼形山街道办事处、衡龙桥镇、沧水铺镇、岳家桥镇、龙光桥镇、泉交河镇、欧江岔镇、牌口乡、八字哨镇、兰溪镇、泥江口镇、新市渡镇、笔架山乡15个乡镇街道动物防疫站。共人干职工165人，参公人员16人，机关工勤人员2人，全额事业编制人员107人，差额事业编制人员18人，自收自支编制人员22人。</w:t>
      </w:r>
    </w:p>
    <w:p>
      <w:pPr>
        <w:pStyle w:val="6"/>
        <w:widowControl/>
        <w:spacing w:before="0" w:beforeAutospacing="0" w:after="0" w:afterAutospacing="0" w:line="26" w:lineRule="atLeast"/>
        <w:ind w:firstLine="420"/>
        <w:jc w:val="both"/>
        <w:rPr>
          <w:rFonts w:ascii="仿宋_GB2312" w:eastAsia="仿宋_GB2312" w:cs="仿宋_GB2312"/>
          <w:color w:val="000000"/>
          <w:sz w:val="30"/>
          <w:szCs w:val="30"/>
        </w:rPr>
      </w:pPr>
      <w:r>
        <w:rPr>
          <w:rFonts w:hint="eastAsia" w:ascii="仿宋_GB2312" w:eastAsia="仿宋_GB2312" w:cs="仿宋_GB2312"/>
          <w:color w:val="000000"/>
          <w:sz w:val="30"/>
          <w:szCs w:val="30"/>
        </w:rPr>
        <w:t>（三）部门预算总收支情况</w:t>
      </w:r>
    </w:p>
    <w:p>
      <w:pPr>
        <w:pStyle w:val="6"/>
        <w:widowControl/>
        <w:spacing w:before="0" w:beforeAutospacing="0" w:after="0" w:afterAutospacing="0" w:line="26" w:lineRule="atLeast"/>
        <w:ind w:firstLine="420"/>
        <w:jc w:val="both"/>
        <w:rPr>
          <w:rFonts w:ascii="仿宋_GB2312" w:eastAsia="仿宋_GB2312" w:cs="仿宋_GB2312"/>
          <w:color w:val="000000"/>
          <w:sz w:val="30"/>
          <w:szCs w:val="30"/>
        </w:rPr>
      </w:pPr>
      <w:r>
        <w:rPr>
          <w:rFonts w:hint="eastAsia" w:ascii="仿宋_GB2312" w:hAnsi="宋体" w:eastAsia="仿宋_GB2312" w:cs="仿宋_GB2312"/>
          <w:sz w:val="30"/>
          <w:szCs w:val="30"/>
        </w:rPr>
        <w:t>2</w:t>
      </w:r>
      <w:r>
        <w:rPr>
          <w:rFonts w:hint="eastAsia" w:ascii="仿宋_GB2312" w:eastAsia="仿宋_GB2312" w:cs="仿宋_GB2312"/>
          <w:color w:val="000000"/>
          <w:sz w:val="30"/>
          <w:szCs w:val="30"/>
        </w:rPr>
        <w:t>01</w:t>
      </w:r>
      <w:r>
        <w:rPr>
          <w:rFonts w:hint="eastAsia" w:ascii="仿宋_GB2312" w:eastAsia="仿宋_GB2312" w:cs="仿宋_GB2312"/>
          <w:color w:val="000000"/>
          <w:sz w:val="30"/>
          <w:szCs w:val="30"/>
          <w:lang w:val="en-US" w:eastAsia="zh-CN"/>
        </w:rPr>
        <w:t>9</w:t>
      </w:r>
      <w:r>
        <w:rPr>
          <w:rFonts w:hint="eastAsia" w:ascii="仿宋_GB2312" w:eastAsia="仿宋_GB2312" w:cs="仿宋_GB2312"/>
          <w:color w:val="000000"/>
          <w:sz w:val="30"/>
          <w:szCs w:val="30"/>
        </w:rPr>
        <w:t>年部门预算总收入</w:t>
      </w:r>
      <w:r>
        <w:rPr>
          <w:rFonts w:hint="eastAsia" w:ascii="仿宋_GB2312" w:eastAsia="仿宋_GB2312" w:cs="仿宋_GB2312"/>
          <w:color w:val="000000"/>
          <w:sz w:val="30"/>
          <w:szCs w:val="30"/>
          <w:lang w:val="en-US" w:eastAsia="zh-CN"/>
        </w:rPr>
        <w:t>9717.59万</w:t>
      </w:r>
      <w:r>
        <w:rPr>
          <w:rFonts w:hint="eastAsia" w:ascii="仿宋_GB2312" w:eastAsia="仿宋_GB2312" w:cs="仿宋_GB2312"/>
          <w:color w:val="000000"/>
          <w:sz w:val="30"/>
          <w:szCs w:val="30"/>
        </w:rPr>
        <w:t>元，其中一般预算拨款收入</w:t>
      </w:r>
      <w:r>
        <w:rPr>
          <w:rFonts w:hint="eastAsia" w:ascii="仿宋_GB2312" w:eastAsia="仿宋_GB2312" w:cs="仿宋_GB2312"/>
          <w:color w:val="000000"/>
          <w:sz w:val="30"/>
          <w:szCs w:val="30"/>
          <w:lang w:val="en-US"/>
        </w:rPr>
        <w:t>9402.32</w:t>
      </w:r>
      <w:r>
        <w:rPr>
          <w:rFonts w:hint="eastAsia" w:ascii="仿宋_GB2312" w:eastAsia="仿宋_GB2312" w:cs="仿宋_GB2312"/>
          <w:color w:val="000000"/>
          <w:sz w:val="30"/>
          <w:szCs w:val="30"/>
          <w:lang w:val="en-US" w:eastAsia="zh-CN"/>
        </w:rPr>
        <w:t>万</w:t>
      </w:r>
      <w:r>
        <w:rPr>
          <w:rFonts w:hint="eastAsia" w:ascii="仿宋_GB2312" w:eastAsia="仿宋_GB2312" w:cs="仿宋_GB2312"/>
          <w:color w:val="000000"/>
          <w:sz w:val="30"/>
          <w:szCs w:val="30"/>
        </w:rPr>
        <w:t>元，</w:t>
      </w:r>
      <w:r>
        <w:rPr>
          <w:rFonts w:hint="eastAsia" w:ascii="仿宋_GB2312" w:eastAsia="仿宋_GB2312" w:cs="仿宋_GB2312"/>
          <w:color w:val="000000"/>
          <w:sz w:val="30"/>
          <w:szCs w:val="30"/>
          <w:lang w:eastAsia="zh-CN"/>
        </w:rPr>
        <w:t>上级补助收入</w:t>
      </w:r>
      <w:r>
        <w:rPr>
          <w:rFonts w:hint="eastAsia" w:ascii="仿宋_GB2312" w:eastAsia="仿宋_GB2312" w:cs="仿宋_GB2312"/>
          <w:color w:val="000000"/>
          <w:sz w:val="30"/>
          <w:szCs w:val="30"/>
          <w:lang w:val="en-US"/>
        </w:rPr>
        <w:t>229.86</w:t>
      </w:r>
      <w:r>
        <w:rPr>
          <w:rFonts w:hint="eastAsia" w:ascii="仿宋_GB2312" w:eastAsia="仿宋_GB2312" w:cs="仿宋_GB2312"/>
          <w:color w:val="000000"/>
          <w:sz w:val="30"/>
          <w:szCs w:val="30"/>
          <w:lang w:val="en-US" w:eastAsia="zh-CN"/>
        </w:rPr>
        <w:t>万元，其他收入49.5万元，</w:t>
      </w:r>
      <w:r>
        <w:rPr>
          <w:rFonts w:hint="eastAsia" w:ascii="仿宋_GB2312" w:eastAsia="仿宋_GB2312" w:cs="仿宋_GB2312"/>
          <w:color w:val="000000"/>
          <w:sz w:val="30"/>
          <w:szCs w:val="30"/>
        </w:rPr>
        <w:t>政府性基金预算拨款</w:t>
      </w:r>
      <w:r>
        <w:rPr>
          <w:rFonts w:hint="eastAsia" w:ascii="仿宋_GB2312" w:eastAsia="仿宋_GB2312" w:cs="仿宋_GB2312"/>
          <w:color w:val="000000"/>
          <w:sz w:val="30"/>
          <w:szCs w:val="30"/>
          <w:lang w:val="en-US" w:eastAsia="zh-CN"/>
        </w:rPr>
        <w:t>59万元</w:t>
      </w:r>
      <w:r>
        <w:rPr>
          <w:rFonts w:hint="eastAsia" w:ascii="仿宋_GB2312" w:eastAsia="仿宋_GB2312" w:cs="仿宋_GB2312"/>
          <w:color w:val="000000"/>
          <w:sz w:val="30"/>
          <w:szCs w:val="30"/>
        </w:rPr>
        <w:t>。预算总支出</w:t>
      </w:r>
      <w:r>
        <w:rPr>
          <w:rFonts w:hint="eastAsia" w:ascii="仿宋_GB2312" w:eastAsia="仿宋_GB2312" w:cs="仿宋_GB2312"/>
          <w:color w:val="000000"/>
          <w:sz w:val="30"/>
          <w:szCs w:val="30"/>
          <w:lang w:val="en-US" w:eastAsia="zh-CN"/>
        </w:rPr>
        <w:t>6384.88万</w:t>
      </w:r>
      <w:r>
        <w:rPr>
          <w:rFonts w:hint="eastAsia" w:ascii="仿宋_GB2312" w:eastAsia="仿宋_GB2312" w:cs="仿宋_GB2312"/>
          <w:color w:val="000000"/>
          <w:sz w:val="30"/>
          <w:szCs w:val="30"/>
        </w:rPr>
        <w:t>元，其中：基本支出</w:t>
      </w:r>
      <w:r>
        <w:rPr>
          <w:rFonts w:hint="eastAsia" w:ascii="仿宋_GB2312" w:eastAsia="仿宋_GB2312" w:cs="仿宋_GB2312"/>
          <w:color w:val="000000"/>
          <w:sz w:val="30"/>
          <w:szCs w:val="30"/>
          <w:lang w:val="zh-CN"/>
        </w:rPr>
        <w:t>2,264.59</w:t>
      </w:r>
      <w:r>
        <w:rPr>
          <w:rFonts w:hint="eastAsia" w:ascii="仿宋_GB2312" w:eastAsia="仿宋_GB2312" w:cs="仿宋_GB2312"/>
          <w:color w:val="000000"/>
          <w:sz w:val="30"/>
          <w:szCs w:val="30"/>
          <w:lang w:val="en-US" w:eastAsia="zh-CN"/>
        </w:rPr>
        <w:t>万</w:t>
      </w:r>
      <w:r>
        <w:rPr>
          <w:rFonts w:hint="eastAsia" w:ascii="仿宋_GB2312" w:eastAsia="仿宋_GB2312" w:cs="仿宋_GB2312"/>
          <w:color w:val="000000"/>
          <w:sz w:val="30"/>
          <w:szCs w:val="30"/>
        </w:rPr>
        <w:t>元、项目支出</w:t>
      </w:r>
      <w:r>
        <w:rPr>
          <w:rFonts w:hint="eastAsia" w:ascii="仿宋_GB2312" w:eastAsia="仿宋_GB2312" w:cs="仿宋_GB2312"/>
          <w:color w:val="000000"/>
          <w:sz w:val="30"/>
          <w:szCs w:val="30"/>
          <w:lang w:val="en-US"/>
        </w:rPr>
        <w:t>4120.29</w:t>
      </w:r>
      <w:r>
        <w:rPr>
          <w:rFonts w:hint="eastAsia" w:ascii="仿宋_GB2312" w:eastAsia="仿宋_GB2312" w:cs="仿宋_GB2312"/>
          <w:color w:val="000000"/>
          <w:sz w:val="30"/>
          <w:szCs w:val="30"/>
          <w:lang w:val="en-US" w:eastAsia="zh-CN"/>
        </w:rPr>
        <w:t>万</w:t>
      </w:r>
      <w:r>
        <w:rPr>
          <w:rFonts w:hint="eastAsia" w:ascii="仿宋_GB2312" w:eastAsia="仿宋_GB2312" w:cs="仿宋_GB2312"/>
          <w:color w:val="000000"/>
          <w:sz w:val="30"/>
          <w:szCs w:val="30"/>
        </w:rPr>
        <w:t>元。</w:t>
      </w:r>
      <w:bookmarkStart w:id="1" w:name="OLE_LINK2"/>
    </w:p>
    <w:p>
      <w:pPr>
        <w:pStyle w:val="6"/>
        <w:widowControl/>
        <w:spacing w:before="0" w:beforeAutospacing="0" w:after="0" w:afterAutospacing="0" w:line="26" w:lineRule="atLeast"/>
        <w:ind w:firstLine="420"/>
        <w:jc w:val="both"/>
        <w:rPr>
          <w:rFonts w:ascii="仿宋_GB2312" w:eastAsia="仿宋_GB2312" w:cs="仿宋_GB2312"/>
          <w:color w:val="000000"/>
          <w:sz w:val="30"/>
          <w:szCs w:val="30"/>
        </w:rPr>
      </w:pPr>
      <w:r>
        <w:rPr>
          <w:rFonts w:hint="eastAsia" w:ascii="仿宋_GB2312" w:eastAsia="仿宋_GB2312" w:cs="仿宋_GB2312"/>
          <w:color w:val="000000"/>
          <w:sz w:val="30"/>
          <w:szCs w:val="30"/>
        </w:rPr>
        <w:t xml:space="preserve">(一)基本支出部分 </w:t>
      </w:r>
    </w:p>
    <w:p>
      <w:pPr>
        <w:spacing w:line="580" w:lineRule="exact"/>
        <w:ind w:firstLine="600" w:firstLineChars="200"/>
        <w:rPr>
          <w:rFonts w:ascii="仿宋_GB2312" w:eastAsia="仿宋_GB2312" w:cs="仿宋_GB2312"/>
          <w:color w:val="000000"/>
          <w:kern w:val="0"/>
          <w:sz w:val="30"/>
          <w:szCs w:val="30"/>
        </w:rPr>
      </w:pPr>
      <w:r>
        <w:rPr>
          <w:rFonts w:hint="eastAsia" w:ascii="仿宋_GB2312" w:eastAsia="仿宋_GB2312" w:cs="仿宋_GB2312"/>
          <w:color w:val="000000"/>
          <w:kern w:val="0"/>
          <w:sz w:val="30"/>
          <w:szCs w:val="30"/>
        </w:rPr>
        <w:t>201</w:t>
      </w:r>
      <w:r>
        <w:rPr>
          <w:rFonts w:hint="eastAsia" w:ascii="仿宋_GB2312" w:eastAsia="仿宋_GB2312" w:cs="仿宋_GB2312"/>
          <w:color w:val="000000"/>
          <w:kern w:val="0"/>
          <w:sz w:val="30"/>
          <w:szCs w:val="30"/>
          <w:lang w:val="en-US" w:eastAsia="zh-CN"/>
        </w:rPr>
        <w:t>9</w:t>
      </w:r>
      <w:r>
        <w:rPr>
          <w:rFonts w:hint="eastAsia" w:ascii="仿宋_GB2312" w:eastAsia="仿宋_GB2312" w:cs="仿宋_GB2312"/>
          <w:color w:val="000000"/>
          <w:kern w:val="0"/>
          <w:sz w:val="30"/>
          <w:szCs w:val="30"/>
        </w:rPr>
        <w:t>年基本支出</w:t>
      </w:r>
      <w:r>
        <w:rPr>
          <w:rFonts w:hint="eastAsia" w:ascii="仿宋_GB2312" w:eastAsia="仿宋_GB2312" w:cs="仿宋_GB2312"/>
          <w:color w:val="000000"/>
          <w:sz w:val="30"/>
          <w:szCs w:val="30"/>
          <w:lang w:val="zh-CN"/>
        </w:rPr>
        <w:t>2,264.59</w:t>
      </w:r>
      <w:r>
        <w:rPr>
          <w:rFonts w:hint="eastAsia" w:ascii="仿宋_GB2312" w:eastAsia="仿宋_GB2312" w:cs="仿宋_GB2312"/>
          <w:color w:val="000000"/>
          <w:kern w:val="0"/>
          <w:sz w:val="30"/>
          <w:szCs w:val="30"/>
          <w:lang w:val="en-US" w:eastAsia="zh-CN"/>
        </w:rPr>
        <w:t>万</w:t>
      </w:r>
      <w:r>
        <w:rPr>
          <w:rFonts w:hint="eastAsia" w:ascii="仿宋_GB2312" w:eastAsia="仿宋_GB2312" w:cs="仿宋_GB2312"/>
          <w:color w:val="000000"/>
          <w:kern w:val="0"/>
          <w:sz w:val="30"/>
          <w:szCs w:val="30"/>
        </w:rPr>
        <w:t>元，主要包括人员工资、医疗保险、住房公积金和日常公用经费等。</w:t>
      </w:r>
    </w:p>
    <w:p>
      <w:pPr>
        <w:spacing w:line="580" w:lineRule="exact"/>
        <w:rPr>
          <w:rFonts w:ascii="仿宋_GB2312" w:eastAsia="仿宋_GB2312" w:cs="仿宋_GB2312"/>
          <w:color w:val="000000"/>
          <w:kern w:val="0"/>
          <w:sz w:val="30"/>
          <w:szCs w:val="30"/>
        </w:rPr>
      </w:pPr>
      <w:r>
        <w:rPr>
          <w:rFonts w:hint="eastAsia" w:ascii="仿宋_GB2312" w:eastAsia="仿宋_GB2312" w:cs="仿宋_GB2312"/>
          <w:color w:val="000000"/>
          <w:kern w:val="0"/>
          <w:sz w:val="30"/>
          <w:szCs w:val="30"/>
        </w:rPr>
        <w:t xml:space="preserve">    201</w:t>
      </w:r>
      <w:r>
        <w:rPr>
          <w:rFonts w:hint="eastAsia" w:ascii="仿宋_GB2312" w:eastAsia="仿宋_GB2312" w:cs="仿宋_GB2312"/>
          <w:color w:val="000000"/>
          <w:kern w:val="0"/>
          <w:sz w:val="30"/>
          <w:szCs w:val="30"/>
          <w:lang w:val="en-US" w:eastAsia="zh-CN"/>
        </w:rPr>
        <w:t>9</w:t>
      </w:r>
      <w:r>
        <w:rPr>
          <w:rFonts w:hint="eastAsia" w:ascii="仿宋_GB2312" w:eastAsia="仿宋_GB2312" w:cs="仿宋_GB2312"/>
          <w:color w:val="000000"/>
          <w:kern w:val="0"/>
          <w:sz w:val="30"/>
          <w:szCs w:val="30"/>
        </w:rPr>
        <w:t>年我局在认真贯彻落实厉行节约、严控“三公”经费、降低一般运行经费、加强项目支出管理等方面取得了一定的成绩。严格执行区财政局、区委组织部、区人力社局联合下发的《益阳市赫山区培训费管理办法》的通知(益赫财行[2015]14号)、区财政局下发的《益阳市赫山区会议费管理办法》的通知(益赫财行[2015]13号)、《关于严控“三公”经费预算管理的通知》(益赫财预[2015]17号)等文件精神，并先后出台了本单位公务接待、车辆管理等管理办法，实行“三公”经费预算和公示制度，有效地控制了“三公”经费支出。实际支出没有超出预算规模、范围和标准，没有挤占、摊派、乱收费和转移“三公”经费支出的行为，所有“三公”经费支出合法、合规。</w:t>
      </w:r>
    </w:p>
    <w:p>
      <w:pPr>
        <w:pStyle w:val="6"/>
        <w:widowControl/>
        <w:spacing w:before="0" w:beforeAutospacing="0" w:after="0" w:afterAutospacing="0" w:line="26" w:lineRule="atLeast"/>
        <w:ind w:firstLine="600" w:firstLineChars="200"/>
        <w:jc w:val="both"/>
        <w:rPr>
          <w:rFonts w:ascii="仿宋_GB2312" w:eastAsia="仿宋_GB2312" w:cs="仿宋_GB2312"/>
          <w:color w:val="000000"/>
          <w:sz w:val="30"/>
          <w:szCs w:val="30"/>
        </w:rPr>
      </w:pPr>
      <w:r>
        <w:rPr>
          <w:rFonts w:hint="eastAsia" w:ascii="仿宋_GB2312" w:eastAsia="仿宋_GB2312" w:cs="仿宋_GB2312"/>
          <w:color w:val="000000"/>
          <w:sz w:val="30"/>
          <w:szCs w:val="30"/>
          <w:lang w:val="en-US"/>
        </w:rPr>
        <w:t>2019年度“三公”经费财政拨款支出4.49万元</w:t>
      </w:r>
      <w:r>
        <w:rPr>
          <w:rFonts w:hint="eastAsia" w:ascii="仿宋_GB2312" w:eastAsia="仿宋_GB2312" w:cs="仿宋_GB2312"/>
          <w:color w:val="000000"/>
          <w:sz w:val="30"/>
          <w:szCs w:val="30"/>
        </w:rPr>
        <w:t>，其中公务用车购置及运行维护费</w:t>
      </w:r>
      <w:r>
        <w:rPr>
          <w:rFonts w:hint="eastAsia" w:ascii="仿宋_GB2312" w:eastAsia="仿宋_GB2312" w:cs="仿宋_GB2312"/>
          <w:color w:val="000000"/>
          <w:sz w:val="30"/>
          <w:szCs w:val="30"/>
          <w:lang w:val="en-US" w:eastAsia="zh-CN"/>
        </w:rPr>
        <w:t>3.92万</w:t>
      </w:r>
      <w:r>
        <w:rPr>
          <w:rFonts w:hint="eastAsia" w:ascii="仿宋_GB2312" w:eastAsia="仿宋_GB2312" w:cs="仿宋_GB2312"/>
          <w:color w:val="000000"/>
          <w:sz w:val="30"/>
          <w:szCs w:val="30"/>
        </w:rPr>
        <w:t>元，公务接待费</w:t>
      </w:r>
      <w:r>
        <w:rPr>
          <w:rFonts w:hint="eastAsia" w:ascii="仿宋_GB2312" w:eastAsia="仿宋_GB2312" w:cs="仿宋_GB2312"/>
          <w:color w:val="000000"/>
          <w:sz w:val="30"/>
          <w:szCs w:val="30"/>
          <w:lang w:val="en-US" w:eastAsia="zh-CN"/>
        </w:rPr>
        <w:t>0.57万</w:t>
      </w:r>
      <w:r>
        <w:rPr>
          <w:rFonts w:hint="eastAsia" w:ascii="仿宋_GB2312" w:eastAsia="仿宋_GB2312" w:cs="仿宋_GB2312"/>
          <w:color w:val="000000"/>
          <w:sz w:val="30"/>
          <w:szCs w:val="30"/>
        </w:rPr>
        <w:t>元。较上年三公经费</w:t>
      </w:r>
      <w:r>
        <w:rPr>
          <w:rFonts w:hint="eastAsia" w:ascii="仿宋_GB2312" w:eastAsia="仿宋_GB2312" w:cs="仿宋_GB2312"/>
          <w:color w:val="000000"/>
          <w:sz w:val="30"/>
          <w:szCs w:val="30"/>
          <w:lang w:val="en-US" w:eastAsia="zh-CN"/>
        </w:rPr>
        <w:t>4.64万</w:t>
      </w:r>
      <w:r>
        <w:rPr>
          <w:rFonts w:hint="eastAsia" w:ascii="仿宋_GB2312" w:eastAsia="仿宋_GB2312" w:cs="仿宋_GB2312"/>
          <w:color w:val="000000"/>
          <w:sz w:val="30"/>
          <w:szCs w:val="30"/>
        </w:rPr>
        <w:t>元减少</w:t>
      </w:r>
      <w:r>
        <w:rPr>
          <w:rFonts w:hint="eastAsia" w:ascii="仿宋_GB2312" w:eastAsia="仿宋_GB2312" w:cs="仿宋_GB2312"/>
          <w:color w:val="000000"/>
          <w:sz w:val="30"/>
          <w:szCs w:val="30"/>
          <w:lang w:val="en-US" w:eastAsia="zh-CN"/>
        </w:rPr>
        <w:t>0.14万</w:t>
      </w:r>
      <w:r>
        <w:rPr>
          <w:rFonts w:hint="eastAsia" w:ascii="仿宋_GB2312" w:eastAsia="仿宋_GB2312" w:cs="仿宋_GB2312"/>
          <w:color w:val="000000"/>
          <w:sz w:val="30"/>
          <w:szCs w:val="30"/>
        </w:rPr>
        <w:t>元，主要原因为</w:t>
      </w:r>
      <w:r>
        <w:rPr>
          <w:rFonts w:hint="eastAsia" w:ascii="仿宋_GB2312" w:eastAsia="仿宋_GB2312" w:cs="仿宋_GB2312"/>
          <w:color w:val="000000"/>
          <w:sz w:val="30"/>
          <w:szCs w:val="30"/>
          <w:lang w:eastAsia="zh-CN"/>
        </w:rPr>
        <w:t>公务接待和</w:t>
      </w:r>
      <w:r>
        <w:rPr>
          <w:rFonts w:hint="eastAsia" w:ascii="仿宋_GB2312" w:eastAsia="仿宋_GB2312" w:cs="仿宋_GB2312"/>
          <w:color w:val="000000"/>
          <w:sz w:val="30"/>
          <w:szCs w:val="30"/>
        </w:rPr>
        <w:t>公务用车购置及运行维护费</w:t>
      </w:r>
      <w:r>
        <w:rPr>
          <w:rFonts w:hint="eastAsia" w:ascii="仿宋_GB2312" w:eastAsia="仿宋_GB2312" w:cs="仿宋_GB2312"/>
          <w:color w:val="000000"/>
          <w:sz w:val="30"/>
          <w:szCs w:val="30"/>
          <w:lang w:eastAsia="zh-CN"/>
        </w:rPr>
        <w:t>大幅减少</w:t>
      </w:r>
      <w:r>
        <w:rPr>
          <w:rFonts w:hint="eastAsia" w:ascii="仿宋_GB2312" w:eastAsia="仿宋_GB2312" w:cs="仿宋_GB2312"/>
          <w:color w:val="000000"/>
          <w:sz w:val="30"/>
          <w:szCs w:val="30"/>
        </w:rPr>
        <w:t>。</w:t>
      </w:r>
    </w:p>
    <w:p>
      <w:pPr>
        <w:pStyle w:val="6"/>
        <w:widowControl/>
        <w:spacing w:before="0" w:beforeAutospacing="0" w:after="0" w:afterAutospacing="0" w:line="26" w:lineRule="atLeast"/>
        <w:ind w:firstLine="420"/>
        <w:jc w:val="both"/>
        <w:rPr>
          <w:rFonts w:ascii="仿宋_GB2312" w:eastAsia="仿宋_GB2312" w:cs="仿宋_GB2312"/>
          <w:color w:val="000000"/>
          <w:sz w:val="30"/>
          <w:szCs w:val="30"/>
        </w:rPr>
      </w:pPr>
      <w:r>
        <w:rPr>
          <w:rFonts w:hint="eastAsia" w:ascii="仿宋_GB2312" w:eastAsia="仿宋_GB2312" w:cs="仿宋_GB2312"/>
          <w:color w:val="000000"/>
          <w:sz w:val="30"/>
          <w:szCs w:val="30"/>
        </w:rPr>
        <w:t xml:space="preserve">(二)专项支出 </w:t>
      </w:r>
    </w:p>
    <w:p>
      <w:pPr>
        <w:ind w:firstLine="600" w:firstLineChars="200"/>
        <w:jc w:val="left"/>
        <w:rPr>
          <w:rFonts w:hint="default" w:ascii="仿宋_GB2312" w:eastAsia="仿宋_GB2312" w:cs="仿宋_GB2312"/>
          <w:color w:val="000000"/>
          <w:kern w:val="0"/>
          <w:sz w:val="30"/>
          <w:szCs w:val="30"/>
          <w:lang w:val="en-US" w:eastAsia="zh-CN"/>
        </w:rPr>
      </w:pPr>
      <w:r>
        <w:rPr>
          <w:rFonts w:hint="eastAsia" w:ascii="仿宋_GB2312" w:hAnsi="Times New Roman" w:eastAsia="仿宋_GB2312" w:cs="仿宋_GB2312"/>
          <w:color w:val="000000"/>
          <w:kern w:val="0"/>
          <w:sz w:val="30"/>
          <w:szCs w:val="30"/>
          <w:lang w:val="en-US" w:eastAsia="zh-CN" w:bidi="ar-SA"/>
        </w:rPr>
        <w:t>2019年度财政拨款支出专项支出</w:t>
      </w:r>
      <w:r>
        <w:rPr>
          <w:rFonts w:hint="eastAsia" w:ascii="仿宋_GB2312" w:eastAsia="仿宋_GB2312" w:cs="仿宋_GB2312"/>
          <w:color w:val="000000"/>
          <w:kern w:val="0"/>
          <w:sz w:val="30"/>
          <w:szCs w:val="30"/>
          <w:lang w:val="en-US" w:eastAsia="zh-CN" w:bidi="ar-SA"/>
        </w:rPr>
        <w:t>3912.82</w:t>
      </w:r>
      <w:r>
        <w:rPr>
          <w:rFonts w:hint="eastAsia" w:ascii="仿宋_GB2312" w:hAnsi="Times New Roman" w:eastAsia="仿宋_GB2312" w:cs="仿宋_GB2312"/>
          <w:color w:val="000000"/>
          <w:kern w:val="0"/>
          <w:sz w:val="30"/>
          <w:szCs w:val="30"/>
          <w:lang w:val="en-US" w:eastAsia="zh-CN" w:bidi="ar-SA"/>
        </w:rPr>
        <w:t>万元。主要有重大公共卫生专项52.96万元；其他节能环保支</w:t>
      </w:r>
      <w:r>
        <w:rPr>
          <w:rFonts w:hint="eastAsia" w:ascii="仿宋_GB2312" w:eastAsia="仿宋_GB2312" w:cs="仿宋_GB2312"/>
          <w:color w:val="000000"/>
          <w:kern w:val="0"/>
          <w:sz w:val="30"/>
          <w:szCs w:val="30"/>
          <w:lang w:val="en-US" w:eastAsia="zh-CN"/>
        </w:rPr>
        <w:t>出500万元；行政运行1,99.54万元；科技转化与推广服务7.42万元；病虫害控制4,36.82万元；农产品质量安全5万元；执法监管3万元；成品油价格改革对渔业的补贴3,76.62万元；其他农林水支出19,32万元；其他商业流通事务支出27.94万元。</w:t>
      </w:r>
    </w:p>
    <w:p>
      <w:pPr>
        <w:numPr>
          <w:ilvl w:val="0"/>
          <w:numId w:val="2"/>
        </w:numPr>
        <w:ind w:firstLine="643" w:firstLineChars="200"/>
        <w:rPr>
          <w:rFonts w:hint="eastAsia" w:ascii="仿宋" w:hAnsi="仿宋" w:eastAsia="仿宋"/>
          <w:b/>
          <w:sz w:val="32"/>
          <w:szCs w:val="32"/>
        </w:rPr>
      </w:pPr>
      <w:r>
        <w:rPr>
          <w:rFonts w:hint="eastAsia" w:ascii="仿宋" w:hAnsi="仿宋" w:eastAsia="仿宋"/>
          <w:b/>
          <w:sz w:val="32"/>
          <w:szCs w:val="32"/>
        </w:rPr>
        <w:t>项目</w:t>
      </w:r>
      <w:r>
        <w:rPr>
          <w:rFonts w:hint="eastAsia" w:ascii="仿宋" w:hAnsi="仿宋" w:eastAsia="仿宋"/>
          <w:b/>
          <w:sz w:val="32"/>
          <w:szCs w:val="32"/>
          <w:lang w:eastAsia="zh-CN"/>
        </w:rPr>
        <w:t>绩效评价</w:t>
      </w:r>
      <w:r>
        <w:rPr>
          <w:rFonts w:hint="eastAsia" w:ascii="仿宋" w:hAnsi="仿宋" w:eastAsia="仿宋"/>
          <w:b/>
          <w:sz w:val="32"/>
          <w:szCs w:val="32"/>
        </w:rPr>
        <w:t>基本情况</w:t>
      </w:r>
    </w:p>
    <w:p>
      <w:pPr>
        <w:numPr>
          <w:ilvl w:val="0"/>
          <w:numId w:val="0"/>
        </w:numPr>
        <w:ind w:left="481" w:leftChars="0"/>
        <w:rPr>
          <w:rFonts w:hint="default" w:ascii="仿宋" w:hAnsi="仿宋" w:eastAsia="仿宋"/>
          <w:b/>
          <w:sz w:val="32"/>
          <w:szCs w:val="32"/>
          <w:lang w:val="en-US" w:eastAsia="zh-CN"/>
        </w:rPr>
      </w:pPr>
      <w:r>
        <w:rPr>
          <w:rFonts w:hint="eastAsia" w:ascii="仿宋" w:hAnsi="仿宋" w:eastAsia="仿宋"/>
          <w:b/>
          <w:sz w:val="32"/>
          <w:szCs w:val="32"/>
          <w:lang w:val="en-US" w:eastAsia="zh-CN"/>
        </w:rPr>
        <w:t>1、</w:t>
      </w:r>
      <w:r>
        <w:rPr>
          <w:rFonts w:hint="default" w:ascii="仿宋" w:hAnsi="仿宋" w:eastAsia="仿宋"/>
          <w:b/>
          <w:sz w:val="32"/>
          <w:szCs w:val="32"/>
          <w:lang w:val="en-US" w:eastAsia="zh-CN"/>
        </w:rPr>
        <w:t>2018年湖南省病死猪无害化处理补助经费</w:t>
      </w:r>
    </w:p>
    <w:p>
      <w:pPr>
        <w:ind w:firstLine="600" w:firstLineChars="200"/>
        <w:jc w:val="left"/>
        <w:rPr>
          <w:rFonts w:hint="default" w:ascii="仿宋_GB2312" w:eastAsia="仿宋_GB2312" w:cs="仿宋_GB2312"/>
          <w:color w:val="000000"/>
          <w:kern w:val="0"/>
          <w:sz w:val="30"/>
          <w:szCs w:val="30"/>
          <w:lang w:val="en-US" w:eastAsia="zh-CN"/>
        </w:rPr>
      </w:pPr>
      <w:r>
        <w:rPr>
          <w:rFonts w:hint="eastAsia" w:ascii="仿宋_GB2312" w:eastAsia="仿宋_GB2312" w:cs="仿宋_GB2312"/>
          <w:color w:val="000000"/>
          <w:kern w:val="0"/>
          <w:sz w:val="30"/>
          <w:szCs w:val="30"/>
          <w:lang w:val="en-US" w:eastAsia="zh-CN"/>
        </w:rPr>
        <w:t>为了促进生猪生产持续健康发展，有效防控重大动物疫病保证动物产品质量安全。《湖南省财政厅关于下达2018年中央动物防疫补助资金的通知的通知》（湘财农指[2018]206号）下达给我区2018年病死猪无害化处理补助经费143.34万元，专用于规模养殖场养殖环节病死猪无害化处理工作的补助 。2018年我区病死畜禽的处理工作由养殖规模场和区病死畜禽无害化处理中心共同承担，按照谁处理补给谁的原则和规模养殖场、无害处理中心处理数量，发放给无害化处理中心补助资金1162108元，发放给规模养殖场补助资金271292元。</w:t>
      </w:r>
    </w:p>
    <w:p>
      <w:pPr>
        <w:numPr>
          <w:ilvl w:val="0"/>
          <w:numId w:val="0"/>
        </w:numPr>
        <w:ind w:left="481" w:leftChars="0"/>
        <w:rPr>
          <w:rFonts w:hint="default" w:ascii="仿宋" w:hAnsi="仿宋" w:eastAsia="仿宋"/>
          <w:b/>
          <w:sz w:val="32"/>
          <w:szCs w:val="32"/>
          <w:lang w:val="en-US" w:eastAsia="zh-CN"/>
        </w:rPr>
      </w:pPr>
      <w:r>
        <w:rPr>
          <w:rFonts w:hint="eastAsia" w:ascii="仿宋" w:hAnsi="仿宋" w:eastAsia="仿宋"/>
          <w:b/>
          <w:sz w:val="32"/>
          <w:szCs w:val="32"/>
          <w:lang w:val="en-US" w:eastAsia="zh-CN"/>
        </w:rPr>
        <w:t>2、</w:t>
      </w:r>
      <w:r>
        <w:rPr>
          <w:rFonts w:hint="default" w:ascii="仿宋" w:hAnsi="仿宋" w:eastAsia="仿宋"/>
          <w:b/>
          <w:sz w:val="32"/>
          <w:szCs w:val="32"/>
          <w:lang w:val="en-US" w:eastAsia="zh-CN"/>
        </w:rPr>
        <w:t>2019年畜禽粪污资源化利用专项转移支付资金</w:t>
      </w:r>
    </w:p>
    <w:p>
      <w:pPr>
        <w:numPr>
          <w:ilvl w:val="0"/>
          <w:numId w:val="0"/>
        </w:numPr>
        <w:ind w:left="481" w:leftChars="0" w:firstLine="640" w:firstLineChars="200"/>
        <w:rPr>
          <w:rFonts w:hint="default" w:ascii="仿宋" w:hAnsi="仿宋" w:eastAsia="仿宋"/>
          <w:b/>
          <w:sz w:val="32"/>
          <w:szCs w:val="32"/>
          <w:lang w:val="en-US" w:eastAsia="zh-CN"/>
        </w:rPr>
      </w:pPr>
      <w:r>
        <w:rPr>
          <w:rFonts w:hint="eastAsia" w:ascii="仿宋" w:hAnsi="仿宋" w:eastAsia="仿宋"/>
          <w:kern w:val="0"/>
          <w:sz w:val="32"/>
          <w:szCs w:val="32"/>
        </w:rPr>
        <w:t>根据《湖南省畜牧水产局 湖南省财政厅关于做好畜禽粪污资源化利用项目实施的复函》（湘牧渔联〔2018〕18号）文件批复，赫山区畜禽粪污资源化利用项目总投资23980.69万元。建设内容</w:t>
      </w:r>
      <w:r>
        <w:rPr>
          <w:rFonts w:hint="eastAsia" w:ascii="仿宋" w:hAnsi="仿宋" w:eastAsia="仿宋"/>
          <w:sz w:val="32"/>
          <w:szCs w:val="32"/>
        </w:rPr>
        <w:t>总共分为五个方面，第一是</w:t>
      </w:r>
      <w:r>
        <w:rPr>
          <w:rFonts w:hint="eastAsia" w:ascii="仿宋" w:hAnsi="仿宋" w:eastAsia="仿宋" w:cs="宋体"/>
          <w:sz w:val="32"/>
          <w:szCs w:val="32"/>
        </w:rPr>
        <w:t>畜禽规模户、中小户粪污资源化利用工程对全区12个乡镇（相关街道）</w:t>
      </w:r>
      <w:r>
        <w:rPr>
          <w:rFonts w:ascii="仿宋" w:hAnsi="仿宋" w:eastAsia="仿宋"/>
          <w:sz w:val="32"/>
          <w:szCs w:val="32"/>
        </w:rPr>
        <w:t>812</w:t>
      </w:r>
      <w:r>
        <w:rPr>
          <w:rFonts w:hint="eastAsia" w:ascii="仿宋" w:hAnsi="仿宋" w:eastAsia="仿宋" w:cs="宋体"/>
          <w:sz w:val="32"/>
          <w:szCs w:val="32"/>
        </w:rPr>
        <w:t>户畜禽规模养殖场及中小户粪污处理利用及配套设施建设，确保规模养殖场粪污处理设施装备配套率达到</w:t>
      </w:r>
      <w:r>
        <w:rPr>
          <w:rFonts w:ascii="仿宋" w:hAnsi="仿宋" w:eastAsia="仿宋"/>
          <w:sz w:val="32"/>
          <w:szCs w:val="32"/>
        </w:rPr>
        <w:t>100%</w:t>
      </w:r>
      <w:r>
        <w:rPr>
          <w:rFonts w:hint="eastAsia" w:ascii="仿宋" w:hAnsi="仿宋" w:eastAsia="仿宋" w:cs="宋体"/>
          <w:sz w:val="32"/>
          <w:szCs w:val="32"/>
        </w:rPr>
        <w:t>。第二是区域性粪污集中处理中心工程。建设</w:t>
      </w:r>
      <w:r>
        <w:rPr>
          <w:rFonts w:ascii="仿宋" w:hAnsi="仿宋" w:eastAsia="仿宋"/>
          <w:sz w:val="32"/>
          <w:szCs w:val="32"/>
        </w:rPr>
        <w:t>2</w:t>
      </w:r>
      <w:r>
        <w:rPr>
          <w:rFonts w:hint="eastAsia" w:ascii="仿宋" w:hAnsi="仿宋" w:eastAsia="仿宋" w:cs="宋体"/>
          <w:sz w:val="32"/>
          <w:szCs w:val="32"/>
        </w:rPr>
        <w:t>个年生产（加工）能力共为</w:t>
      </w:r>
      <w:r>
        <w:rPr>
          <w:rFonts w:ascii="仿宋" w:hAnsi="仿宋" w:eastAsia="仿宋"/>
          <w:sz w:val="32"/>
          <w:szCs w:val="32"/>
        </w:rPr>
        <w:t>5</w:t>
      </w:r>
      <w:r>
        <w:rPr>
          <w:rFonts w:hint="eastAsia" w:ascii="仿宋" w:hAnsi="仿宋" w:eastAsia="仿宋" w:cs="宋体"/>
          <w:sz w:val="32"/>
          <w:szCs w:val="32"/>
        </w:rPr>
        <w:t>万吨</w:t>
      </w:r>
      <w:r>
        <w:rPr>
          <w:rFonts w:ascii="仿宋" w:hAnsi="仿宋" w:eastAsia="仿宋"/>
          <w:sz w:val="32"/>
          <w:szCs w:val="32"/>
        </w:rPr>
        <w:t>/</w:t>
      </w:r>
      <w:r>
        <w:rPr>
          <w:rFonts w:hint="eastAsia" w:ascii="仿宋" w:hAnsi="仿宋" w:eastAsia="仿宋" w:cs="宋体"/>
          <w:sz w:val="32"/>
          <w:szCs w:val="32"/>
        </w:rPr>
        <w:t>年的有机肥加工厂。第三是大中型沼气工程建设，大中型沼气工程</w:t>
      </w:r>
      <w:r>
        <w:rPr>
          <w:rFonts w:ascii="仿宋" w:hAnsi="仿宋" w:eastAsia="仿宋"/>
          <w:sz w:val="32"/>
          <w:szCs w:val="32"/>
        </w:rPr>
        <w:t>2</w:t>
      </w:r>
      <w:r>
        <w:rPr>
          <w:rFonts w:hint="eastAsia" w:ascii="仿宋" w:hAnsi="仿宋" w:eastAsia="仿宋" w:cs="宋体"/>
          <w:sz w:val="32"/>
          <w:szCs w:val="32"/>
        </w:rPr>
        <w:t>处，共</w:t>
      </w:r>
      <w:r>
        <w:rPr>
          <w:rFonts w:ascii="仿宋" w:hAnsi="仿宋" w:eastAsia="仿宋"/>
          <w:sz w:val="32"/>
          <w:szCs w:val="32"/>
        </w:rPr>
        <w:t>2000m</w:t>
      </w:r>
      <w:r>
        <w:rPr>
          <w:rFonts w:ascii="仿宋" w:hAnsi="仿宋" w:eastAsia="仿宋"/>
          <w:sz w:val="32"/>
          <w:szCs w:val="32"/>
          <w:vertAlign w:val="superscript"/>
        </w:rPr>
        <w:t>3</w:t>
      </w:r>
      <w:r>
        <w:rPr>
          <w:rFonts w:hint="eastAsia" w:ascii="仿宋" w:hAnsi="仿宋" w:eastAsia="仿宋" w:cs="宋体"/>
          <w:sz w:val="32"/>
          <w:szCs w:val="32"/>
        </w:rPr>
        <w:t>。</w:t>
      </w:r>
      <w:r>
        <w:rPr>
          <w:rFonts w:hint="eastAsia" w:ascii="仿宋" w:hAnsi="仿宋" w:eastAsia="仿宋"/>
          <w:sz w:val="32"/>
          <w:szCs w:val="32"/>
        </w:rPr>
        <w:t>第四是</w:t>
      </w:r>
      <w:r>
        <w:rPr>
          <w:rFonts w:hint="eastAsia" w:ascii="仿宋" w:hAnsi="仿宋" w:eastAsia="仿宋" w:cs="宋体"/>
          <w:sz w:val="32"/>
          <w:szCs w:val="32"/>
        </w:rPr>
        <w:t>畜禽粪污“化整为零”分散处理工程。第五是新改扩建养殖场粪污治理工程。对益阳大益农生态农业发展有限公司、益阳福旺生态养殖发展有限公司、湖南鼎翔牧业有限公司、益阳兆丰农牧科技有限公司、益阳市赫山区安泰黄牛饲养专业合作社等5家畜禽规模养殖户实施粪污处理利用设施改造。</w:t>
      </w:r>
    </w:p>
    <w:p>
      <w:pPr>
        <w:numPr>
          <w:ilvl w:val="0"/>
          <w:numId w:val="0"/>
        </w:numPr>
        <w:ind w:firstLine="643" w:firstLineChars="200"/>
        <w:rPr>
          <w:rFonts w:hint="default" w:ascii="仿宋" w:hAnsi="仿宋" w:eastAsia="仿宋"/>
          <w:b/>
          <w:sz w:val="32"/>
          <w:szCs w:val="32"/>
          <w:lang w:val="en-US" w:eastAsia="zh-CN"/>
        </w:rPr>
      </w:pPr>
      <w:r>
        <w:rPr>
          <w:rFonts w:hint="eastAsia" w:ascii="仿宋" w:hAnsi="仿宋" w:eastAsia="仿宋"/>
          <w:b/>
          <w:sz w:val="32"/>
          <w:szCs w:val="32"/>
          <w:lang w:val="en-US" w:eastAsia="zh-CN"/>
        </w:rPr>
        <w:t>3、</w:t>
      </w:r>
      <w:r>
        <w:rPr>
          <w:rFonts w:hint="default" w:ascii="仿宋" w:hAnsi="仿宋" w:eastAsia="仿宋"/>
          <w:b/>
          <w:sz w:val="32"/>
          <w:szCs w:val="32"/>
          <w:lang w:val="en-US" w:eastAsia="zh-CN"/>
        </w:rPr>
        <w:t>2019年赫山区病死畜禽无害化处理监管长效机制建设资金</w:t>
      </w:r>
    </w:p>
    <w:p>
      <w:pPr>
        <w:spacing w:line="560" w:lineRule="exact"/>
        <w:ind w:firstLine="640" w:firstLineChars="200"/>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为了做好病死畜禽无害化处理工作，保障养殖场病死畜禽及时得到无害化处理，有效防控重大动物疫病，促进我区畜牧生产持续健康发展，确保动物产品质量安全，2019年区财政安排病死畜禽无害化处理监管长效机制建设资金110万元（其中无害化处理中心运行保底经费、4个收集点运行经费和监管体系运行经费），用于我区4个病死畜禽收集暂存点运行、病死猪以外的家禽、牛、羊等其他动物的无害化处理费和病病畜禽收集、转运、无害化处理监管体系建设费用。2019年110万元病死畜禽无害化处理监管长效机制建设资金已全部用做了病死畜禽4个收集暂存收集设备的维护、收集车辆的燃油、维修、保险、收集人员工资和无害化处理中心对病死畜禽无害无害化处理工作的正常运转以及监管体系建设费用。</w:t>
      </w:r>
    </w:p>
    <w:p>
      <w:pPr>
        <w:numPr>
          <w:ilvl w:val="0"/>
          <w:numId w:val="0"/>
        </w:numPr>
        <w:ind w:firstLine="643" w:firstLineChars="200"/>
        <w:rPr>
          <w:rFonts w:hint="default" w:ascii="仿宋" w:hAnsi="仿宋" w:eastAsia="仿宋"/>
          <w:b/>
          <w:sz w:val="32"/>
          <w:szCs w:val="32"/>
          <w:lang w:val="en-US" w:eastAsia="zh-CN"/>
        </w:rPr>
      </w:pPr>
      <w:r>
        <w:rPr>
          <w:rFonts w:hint="eastAsia" w:ascii="仿宋" w:hAnsi="仿宋" w:eastAsia="仿宋"/>
          <w:b/>
          <w:sz w:val="32"/>
          <w:szCs w:val="32"/>
          <w:lang w:val="en-US" w:eastAsia="zh-CN"/>
        </w:rPr>
        <w:t>4、</w:t>
      </w:r>
      <w:r>
        <w:rPr>
          <w:rFonts w:hint="default" w:ascii="仿宋" w:hAnsi="仿宋" w:eastAsia="仿宋"/>
          <w:b/>
          <w:sz w:val="32"/>
          <w:szCs w:val="32"/>
          <w:lang w:val="en-US" w:eastAsia="zh-CN"/>
        </w:rPr>
        <w:t>2019年赫山区非洲猪瘟防控经费</w:t>
      </w:r>
    </w:p>
    <w:p>
      <w:pPr>
        <w:numPr>
          <w:ilvl w:val="0"/>
          <w:numId w:val="0"/>
        </w:numPr>
        <w:ind w:firstLine="640" w:firstLineChars="200"/>
        <w:rPr>
          <w:rFonts w:hint="default"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为了做好非洲猪瘟防控工作，保障我区生猪生产持续健康发展，2019年区财政安排160万元非洲猪瘟防控经费，用于我区非洲猪瘟的防控工作中，各乡镇人民政府组织对疑似疫情采取无害化处理措施采购的物质、租借设备、用人所需的费用支出。2019年160万元非洲猪瘟防控经费，根据已按照各乡镇街道处理疑似疫情的实际支出已全部拨付给了各乡镇街道。</w:t>
      </w:r>
    </w:p>
    <w:p>
      <w:pPr>
        <w:numPr>
          <w:ilvl w:val="0"/>
          <w:numId w:val="0"/>
        </w:numPr>
        <w:ind w:left="481" w:leftChars="0"/>
        <w:rPr>
          <w:rFonts w:hint="default" w:ascii="仿宋" w:hAnsi="仿宋" w:eastAsia="仿宋"/>
          <w:b/>
          <w:sz w:val="32"/>
          <w:szCs w:val="32"/>
          <w:lang w:val="en-US" w:eastAsia="zh-CN"/>
        </w:rPr>
      </w:pPr>
      <w:r>
        <w:rPr>
          <w:rFonts w:hint="eastAsia" w:ascii="仿宋" w:hAnsi="仿宋" w:eastAsia="仿宋"/>
          <w:b/>
          <w:sz w:val="32"/>
          <w:szCs w:val="32"/>
          <w:lang w:val="en-US" w:eastAsia="zh-CN"/>
        </w:rPr>
        <w:t>5、</w:t>
      </w:r>
      <w:r>
        <w:rPr>
          <w:rFonts w:hint="default" w:ascii="仿宋" w:hAnsi="仿宋" w:eastAsia="仿宋"/>
          <w:b/>
          <w:sz w:val="32"/>
          <w:szCs w:val="32"/>
          <w:lang w:val="en-US" w:eastAsia="zh-CN"/>
        </w:rPr>
        <w:t>2019年省拨非洲猪瘟防控资金</w:t>
      </w:r>
    </w:p>
    <w:p>
      <w:pPr>
        <w:spacing w:line="560" w:lineRule="exact"/>
        <w:ind w:firstLine="640" w:firstLineChars="200"/>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 xml:space="preserve">为了做好非洲猪瘟防控工作，保障我区生猪生产持续健康发展，《湖南省财政厅关于下达2019年非洲猪瘟防控资金的通知》（湘财农指[2019]69号）下拨我区非洲猪瘟防控资金204.02万元 ，用于我区非洲猪瘟的防控工作。我区2019年204.02万元省拨非洲猪瘟防控资金，已全部用于采购防护服、消毒药物、印发非洲猪瘟宣传资料、设立检查消毒哨卡、采购检测试剂和部分养殖户疫情处置费用。 </w:t>
      </w:r>
    </w:p>
    <w:p>
      <w:pPr>
        <w:numPr>
          <w:ilvl w:val="0"/>
          <w:numId w:val="0"/>
        </w:numPr>
        <w:ind w:firstLine="643" w:firstLineChars="200"/>
        <w:rPr>
          <w:rFonts w:hint="default" w:ascii="仿宋" w:hAnsi="仿宋" w:eastAsia="仿宋"/>
          <w:b/>
          <w:sz w:val="32"/>
          <w:szCs w:val="32"/>
          <w:lang w:val="en-US" w:eastAsia="zh-CN"/>
        </w:rPr>
      </w:pPr>
      <w:r>
        <w:rPr>
          <w:rFonts w:hint="eastAsia" w:ascii="仿宋" w:hAnsi="仿宋" w:eastAsia="仿宋"/>
          <w:b/>
          <w:sz w:val="32"/>
          <w:szCs w:val="32"/>
          <w:lang w:val="en-US" w:eastAsia="zh-CN"/>
        </w:rPr>
        <w:t>6、</w:t>
      </w:r>
      <w:r>
        <w:rPr>
          <w:rFonts w:hint="default" w:ascii="仿宋" w:hAnsi="仿宋" w:eastAsia="仿宋"/>
          <w:b/>
          <w:sz w:val="32"/>
          <w:szCs w:val="32"/>
          <w:lang w:val="en-US" w:eastAsia="zh-CN"/>
        </w:rPr>
        <w:t>2019年省级农村环境综合整治资金</w:t>
      </w:r>
    </w:p>
    <w:p>
      <w:pPr>
        <w:ind w:firstLine="640" w:firstLineChars="200"/>
        <w:jc w:val="left"/>
        <w:rPr>
          <w:rFonts w:hint="eastAsia" w:ascii="仿宋" w:hAnsi="仿宋" w:eastAsia="仿宋"/>
          <w:color w:val="000000"/>
          <w:kern w:val="0"/>
          <w:sz w:val="32"/>
          <w:szCs w:val="32"/>
        </w:rPr>
      </w:pPr>
      <w:r>
        <w:rPr>
          <w:rFonts w:hint="eastAsia" w:ascii="仿宋_GB2312" w:eastAsia="仿宋_GB2312" w:cs="仿宋_GB2312"/>
          <w:sz w:val="32"/>
          <w:szCs w:val="32"/>
        </w:rPr>
        <w:t>根据</w:t>
      </w:r>
      <w:r>
        <w:rPr>
          <w:rFonts w:hint="eastAsia" w:ascii="仿宋" w:hAnsi="仿宋" w:eastAsia="仿宋" w:cs="仿宋_GB2312"/>
          <w:sz w:val="32"/>
          <w:szCs w:val="32"/>
        </w:rPr>
        <w:t>湘财建二指2019-21号和2019建指194文件安排，拨付农村环境综合整治资金200万元给赫山区畜牧水产事务中心，</w:t>
      </w:r>
      <w:r>
        <w:rPr>
          <w:rFonts w:hint="eastAsia" w:ascii="仿宋" w:hAnsi="仿宋" w:eastAsia="仿宋"/>
          <w:color w:val="000000"/>
          <w:kern w:val="0"/>
          <w:sz w:val="32"/>
          <w:szCs w:val="32"/>
        </w:rPr>
        <w:t>我中心结合本地实际情况，把农村环境综合整治项目纳入我区畜禽粪污资源化利用工作之中，主要在兰溪等7个乡镇街道实施。</w:t>
      </w:r>
    </w:p>
    <w:p>
      <w:pPr>
        <w:numPr>
          <w:ilvl w:val="0"/>
          <w:numId w:val="3"/>
        </w:numPr>
        <w:ind w:firstLine="643" w:firstLineChars="200"/>
        <w:rPr>
          <w:rFonts w:hint="eastAsia" w:ascii="仿宋" w:hAnsi="仿宋" w:eastAsia="仿宋"/>
          <w:b/>
          <w:sz w:val="32"/>
          <w:szCs w:val="32"/>
          <w:lang w:val="en-US" w:eastAsia="zh-CN"/>
        </w:rPr>
      </w:pPr>
      <w:r>
        <w:rPr>
          <w:rFonts w:hint="eastAsia" w:ascii="仿宋" w:hAnsi="仿宋" w:eastAsia="仿宋"/>
          <w:b/>
          <w:sz w:val="32"/>
          <w:szCs w:val="32"/>
          <w:lang w:val="en-US" w:eastAsia="zh-CN"/>
        </w:rPr>
        <w:t>禁捕退捕专项支出</w:t>
      </w:r>
    </w:p>
    <w:p>
      <w:pPr>
        <w:pStyle w:val="13"/>
        <w:spacing w:after="0" w:line="560" w:lineRule="exact"/>
        <w:ind w:firstLine="640"/>
        <w:rPr>
          <w:rFonts w:ascii="仿宋_GB2312" w:hAnsi="Times New Roman" w:eastAsia="仿宋_GB2312"/>
          <w:sz w:val="32"/>
          <w:szCs w:val="32"/>
        </w:rPr>
      </w:pPr>
      <w:r>
        <w:rPr>
          <w:rFonts w:hint="eastAsia" w:ascii="仿宋" w:hAnsi="仿宋" w:eastAsia="仿宋"/>
          <w:b/>
          <w:sz w:val="32"/>
          <w:szCs w:val="32"/>
          <w:lang w:val="en-US" w:eastAsia="zh-CN"/>
        </w:rPr>
        <w:t xml:space="preserve">    </w:t>
      </w:r>
      <w:r>
        <w:rPr>
          <w:rFonts w:hint="eastAsia" w:ascii="仿宋_GB2312" w:hAnsi="Times New Roman" w:eastAsia="仿宋_GB2312"/>
          <w:sz w:val="32"/>
          <w:szCs w:val="32"/>
        </w:rPr>
        <w:t>补偿资金主要是由评估机构对捕捞渔船、渔具进行评估并出具评估报告，在现场和网上进行评估结果公示。</w:t>
      </w:r>
      <w:r>
        <w:rPr>
          <w:rFonts w:hint="eastAsia" w:ascii="仿宋_GB2312" w:hAnsi="仿宋_GB2312" w:eastAsia="仿宋_GB2312" w:cs="仿宋_GB2312"/>
          <w:bCs/>
          <w:sz w:val="32"/>
          <w:szCs w:val="32"/>
        </w:rPr>
        <w:t>各</w:t>
      </w:r>
      <w:r>
        <w:rPr>
          <w:rFonts w:hint="eastAsia" w:ascii="仿宋_GB2312" w:hAnsi="Times New Roman" w:eastAsia="仿宋_GB2312"/>
          <w:sz w:val="32"/>
          <w:szCs w:val="32"/>
        </w:rPr>
        <w:t>乡镇（街道）在评估机构出具评估报告后，益阳市赫山区长江流域重点水域禁捕退捕工作领导小组办公室与退捕渔民签订《益阳市赫山区专业捕捞渔民退捕协议书》，并将收回的渔船渔具集中拆解，捕捞权证由区禁捕办收回注销。退捕渔民补偿资金公示无异议后，区财政、区禁捕办联合审核批准后由财政部门打卡到户。每户补偿资金由渔船补偿金、补偿金、渔具补偿金、《内陆渔业船舶证书》回收金、牌照回收金和奖励金六部份组成。</w:t>
      </w:r>
      <w:r>
        <w:rPr>
          <w:rFonts w:hint="eastAsia" w:ascii="仿宋_GB2312" w:eastAsia="仿宋_GB2312"/>
          <w:sz w:val="32"/>
          <w:szCs w:val="32"/>
        </w:rPr>
        <w:t>按照船舶、动力、渔具和捕捞权证分离的办法进行补偿。退捕渔船及主机动力、退捕渔具按评估公司评估报告予以回收补偿。系统登记的内陆船舶证书按每本2000元、牌照按每副1000元给予补偿回收。</w:t>
      </w:r>
      <w:r>
        <w:rPr>
          <w:rFonts w:hint="eastAsia" w:ascii="仿宋_GB2312" w:hAnsi="Times New Roman" w:eastAsia="仿宋_GB2312"/>
          <w:color w:val="000000"/>
          <w:sz w:val="31"/>
          <w:szCs w:val="31"/>
        </w:rPr>
        <w:t>第一批完成发放96户已退捕渔民，合计发放118.6428万元。第二批完成发放256户已退捕渔民，合计发放274.0746万元。</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整个项目目前已经实际完成支出457.8224万元，包括向退捕渔民发放退渔船渔具牌证回收补偿资金392.7174万元，开展禁捕退捕宣传、巡查、执法等工作经费65.105万元。从总的资金使用情况来看，完成比例不是特别高，但是完成资金使用突出一个字“稳”。国家资金属于人民，一分钱都不能浪费，都不能随意发放。因此，前期资金使用情况体现了一个“稳”字，值得肯定。在下一阶段工作中，在稳的基础上，还要增加一个“快”字。实现资金使用优质高效。</w:t>
      </w:r>
    </w:p>
    <w:p>
      <w:pPr>
        <w:spacing w:after="0" w:line="560" w:lineRule="exact"/>
        <w:ind w:firstLine="640" w:firstLineChars="200"/>
        <w:rPr>
          <w:rFonts w:hint="eastAsia" w:ascii="仿宋_GB2312" w:eastAsia="仿宋_GB2312"/>
          <w:sz w:val="32"/>
          <w:szCs w:val="32"/>
        </w:rPr>
      </w:pPr>
      <w:r>
        <w:rPr>
          <w:rFonts w:hint="eastAsia" w:ascii="仿宋_GB2312" w:eastAsia="仿宋_GB2312"/>
          <w:sz w:val="32"/>
          <w:szCs w:val="32"/>
        </w:rPr>
        <w:t>关于资金使用的可持续性，我们在禁捕退捕工作中，考虑到今后很长时间内禁捕工作和退捕渔民上岸的后续工作，因此，留下了充足的预备资金，确保在任何突发情况下，我们都能从容应对。从这一点上来说，前一阶段的资金使用情况是出色的。</w:t>
      </w:r>
    </w:p>
    <w:p>
      <w:pPr>
        <w:numPr>
          <w:numId w:val="0"/>
        </w:numPr>
        <w:ind w:firstLine="964" w:firstLineChars="300"/>
        <w:jc w:val="left"/>
        <w:rPr>
          <w:rFonts w:hint="eastAsia" w:ascii="仿宋" w:hAnsi="仿宋" w:eastAsia="仿宋"/>
          <w:b/>
          <w:bCs/>
          <w:color w:val="000000"/>
          <w:kern w:val="0"/>
          <w:sz w:val="32"/>
          <w:szCs w:val="32"/>
          <w:lang w:val="en-US" w:eastAsia="zh-CN"/>
        </w:rPr>
      </w:pPr>
      <w:r>
        <w:rPr>
          <w:rFonts w:hint="eastAsia" w:ascii="仿宋" w:hAnsi="仿宋" w:eastAsia="仿宋"/>
          <w:b/>
          <w:bCs/>
          <w:color w:val="000000"/>
          <w:kern w:val="0"/>
          <w:sz w:val="32"/>
          <w:szCs w:val="32"/>
          <w:lang w:val="en-US" w:eastAsia="zh-CN"/>
        </w:rPr>
        <w:t>三、重点项目绩效评价情况</w:t>
      </w:r>
    </w:p>
    <w:p>
      <w:pPr>
        <w:numPr>
          <w:ilvl w:val="0"/>
          <w:numId w:val="4"/>
        </w:numPr>
        <w:spacing w:line="560" w:lineRule="exact"/>
        <w:ind w:left="800" w:leftChars="0" w:firstLine="0" w:firstLineChars="0"/>
        <w:rPr>
          <w:rFonts w:hint="eastAsia" w:ascii="仿宋" w:hAnsi="仿宋" w:eastAsia="仿宋"/>
          <w:b/>
          <w:bCs/>
          <w:color w:val="000000"/>
          <w:kern w:val="0"/>
          <w:sz w:val="32"/>
          <w:szCs w:val="32"/>
          <w:lang w:val="en-US" w:eastAsia="zh-CN"/>
        </w:rPr>
      </w:pPr>
      <w:r>
        <w:rPr>
          <w:rFonts w:hint="eastAsia" w:ascii="仿宋" w:hAnsi="仿宋" w:eastAsia="仿宋"/>
          <w:b/>
          <w:bCs/>
          <w:color w:val="000000"/>
          <w:kern w:val="0"/>
          <w:sz w:val="32"/>
          <w:szCs w:val="32"/>
          <w:lang w:val="en-US" w:eastAsia="zh-CN"/>
        </w:rPr>
        <w:t>基本情况</w:t>
      </w:r>
    </w:p>
    <w:p>
      <w:pPr>
        <w:numPr>
          <w:numId w:val="0"/>
        </w:numPr>
        <w:spacing w:line="560" w:lineRule="exact"/>
        <w:ind w:firstLine="640" w:firstLineChars="200"/>
        <w:rPr>
          <w:rFonts w:ascii="仿宋_GB2312" w:hAnsi="仿宋" w:eastAsia="仿宋_GB2312"/>
          <w:color w:val="000000"/>
          <w:kern w:val="0"/>
          <w:sz w:val="32"/>
          <w:szCs w:val="32"/>
        </w:rPr>
      </w:pPr>
      <w:r>
        <w:rPr>
          <w:rFonts w:hint="eastAsia" w:ascii="仿宋_GB2312" w:hAnsi="仿宋" w:eastAsia="仿宋_GB2312"/>
          <w:color w:val="000000"/>
          <w:kern w:val="0"/>
          <w:sz w:val="32"/>
          <w:szCs w:val="32"/>
        </w:rPr>
        <w:t>根据2019预指0015文件安排，拨付畜禽水产养殖污染治理资金500万元给赫山区畜牧水产事务中心，我中心按2019年度《绩效目标申报表》开展禁养区关停退养工作，主要在兰溪镇等11个乡镇街道实施。</w:t>
      </w:r>
    </w:p>
    <w:p>
      <w:pPr>
        <w:ind w:firstLine="640" w:firstLineChars="200"/>
        <w:jc w:val="left"/>
        <w:rPr>
          <w:rFonts w:ascii="楷体" w:hAnsi="楷体" w:eastAsia="楷体" w:cs="仿宋_GB2312"/>
          <w:sz w:val="32"/>
          <w:szCs w:val="32"/>
        </w:rPr>
      </w:pPr>
      <w:r>
        <w:rPr>
          <w:rFonts w:hint="eastAsia" w:ascii="楷体" w:hAnsi="楷体" w:eastAsia="楷体" w:cs="仿宋_GB2312"/>
          <w:sz w:val="32"/>
          <w:szCs w:val="32"/>
        </w:rPr>
        <w:t>（二）绩效目标设定及指标完成情况</w:t>
      </w:r>
    </w:p>
    <w:p>
      <w:pPr>
        <w:spacing w:line="560" w:lineRule="exact"/>
        <w:ind w:firstLine="640" w:firstLineChars="200"/>
        <w:rPr>
          <w:rFonts w:hint="eastAsia" w:ascii="仿宋_GB2312" w:eastAsia="仿宋_GB2312"/>
        </w:rPr>
      </w:pPr>
      <w:r>
        <w:rPr>
          <w:rFonts w:hint="eastAsia" w:ascii="仿宋_GB2312" w:hAnsi="仿宋" w:eastAsia="仿宋_GB2312"/>
          <w:color w:val="000000"/>
          <w:kern w:val="0"/>
          <w:sz w:val="32"/>
          <w:szCs w:val="32"/>
        </w:rPr>
        <w:t>该项目在兰溪等11个乡镇街道实施，根据国家规范畜禽养殖禁养区划定的相关要求，我区对</w:t>
      </w:r>
      <w:r>
        <w:rPr>
          <w:rFonts w:hint="eastAsia" w:ascii="仿宋_GB2312" w:hAnsi="仿宋" w:eastAsia="仿宋_GB2312" w:cs="仿宋_GB2312"/>
          <w:sz w:val="32"/>
          <w:szCs w:val="32"/>
        </w:rPr>
        <w:t>目标任务进行了重新清理核实，最终确定</w:t>
      </w:r>
      <w:r>
        <w:rPr>
          <w:rFonts w:hint="eastAsia" w:ascii="仿宋_GB2312" w:hAnsi="仿宋" w:eastAsia="仿宋_GB2312"/>
          <w:color w:val="000000"/>
          <w:kern w:val="0"/>
          <w:sz w:val="32"/>
          <w:szCs w:val="32"/>
        </w:rPr>
        <w:t>对91户畜禽</w:t>
      </w:r>
      <w:r>
        <w:rPr>
          <w:rFonts w:hint="eastAsia" w:ascii="仿宋_GB2312" w:hAnsi="仿宋" w:eastAsia="仿宋_GB2312"/>
          <w:sz w:val="32"/>
          <w:szCs w:val="32"/>
        </w:rPr>
        <w:t>规模</w:t>
      </w:r>
      <w:r>
        <w:rPr>
          <w:rFonts w:hint="eastAsia" w:ascii="仿宋_GB2312" w:hAnsi="仿宋" w:eastAsia="仿宋_GB2312"/>
          <w:color w:val="000000"/>
          <w:kern w:val="0"/>
          <w:sz w:val="32"/>
          <w:szCs w:val="32"/>
        </w:rPr>
        <w:t>养殖场进行关停退养，拆除面积46633.39平方米。投入资金807.35226万元，其中区财政投入资金500万元，</w:t>
      </w:r>
      <w:r>
        <w:rPr>
          <w:rFonts w:hint="eastAsia" w:ascii="仿宋_GB2312" w:hAnsi="仿宋" w:eastAsia="仿宋_GB2312" w:cs="方正小标宋简体"/>
          <w:sz w:val="32"/>
          <w:szCs w:val="32"/>
        </w:rPr>
        <w:t>畜禽水产养殖污染治理专项资金307.35226</w:t>
      </w:r>
      <w:r>
        <w:rPr>
          <w:rFonts w:hint="eastAsia" w:ascii="仿宋_GB2312" w:hAnsi="仿宋" w:eastAsia="仿宋_GB2312"/>
          <w:color w:val="000000"/>
          <w:kern w:val="0"/>
          <w:sz w:val="32"/>
          <w:szCs w:val="32"/>
        </w:rPr>
        <w:t>万元。</w:t>
      </w:r>
      <w:r>
        <w:rPr>
          <w:rFonts w:hint="eastAsia" w:ascii="仿宋_GB2312" w:hAnsi="仿宋" w:eastAsia="仿宋_GB2312" w:cs="仿宋_GB2312"/>
          <w:sz w:val="32"/>
          <w:szCs w:val="32"/>
        </w:rPr>
        <w:t>已于2019年完</w:t>
      </w:r>
      <w:r>
        <w:rPr>
          <w:rFonts w:hint="eastAsia" w:ascii="仿宋_GB2312" w:hAnsi="仿宋" w:eastAsia="仿宋_GB2312"/>
          <w:color w:val="000000"/>
          <w:kern w:val="0"/>
          <w:sz w:val="32"/>
          <w:szCs w:val="32"/>
        </w:rPr>
        <w:t>关停退养</w:t>
      </w:r>
      <w:r>
        <w:rPr>
          <w:rFonts w:hint="eastAsia" w:ascii="仿宋_GB2312" w:hAnsi="仿宋" w:eastAsia="仿宋_GB2312" w:cs="仿宋_GB2312"/>
          <w:sz w:val="32"/>
          <w:szCs w:val="32"/>
        </w:rPr>
        <w:t>，并通过验收。</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项目绩效情况分析</w:t>
      </w:r>
    </w:p>
    <w:p>
      <w:pPr>
        <w:ind w:firstLine="640" w:firstLineChars="200"/>
        <w:rPr>
          <w:rFonts w:ascii="楷体" w:hAnsi="楷体" w:eastAsia="楷体"/>
          <w:sz w:val="32"/>
          <w:szCs w:val="32"/>
        </w:rPr>
      </w:pPr>
      <w:r>
        <w:rPr>
          <w:rFonts w:hint="eastAsia" w:ascii="楷体" w:hAnsi="楷体" w:eastAsia="楷体" w:cs="仿宋_GB2312"/>
          <w:sz w:val="32"/>
          <w:szCs w:val="32"/>
          <w:lang w:val="en-US" w:eastAsia="zh-CN"/>
        </w:rPr>
        <w:t>1、</w:t>
      </w:r>
      <w:r>
        <w:rPr>
          <w:rFonts w:ascii="楷体" w:hAnsi="楷体" w:eastAsia="楷体" w:cs="Arial"/>
          <w:color w:val="000000"/>
          <w:sz w:val="32"/>
          <w:szCs w:val="32"/>
          <w:shd w:val="clear" w:color="auto" w:fill="FFFFFF"/>
        </w:rPr>
        <w:t>项目成本（预算）控制情况</w:t>
      </w:r>
    </w:p>
    <w:p>
      <w:pPr>
        <w:pStyle w:val="6"/>
        <w:shd w:val="clear" w:color="auto" w:fill="FFFFFF"/>
        <w:spacing w:before="0" w:beforeAutospacing="0" w:after="0" w:afterAutospacing="0"/>
        <w:ind w:firstLine="640"/>
        <w:jc w:val="both"/>
        <w:rPr>
          <w:rFonts w:hint="eastAsia" w:ascii="仿宋_GB2312" w:eastAsia="仿宋_GB2312" w:cs="Arial"/>
          <w:color w:val="000000"/>
          <w:sz w:val="32"/>
          <w:szCs w:val="32"/>
        </w:rPr>
      </w:pPr>
      <w:r>
        <w:rPr>
          <w:rFonts w:hint="eastAsia" w:ascii="仿宋_GB2312" w:eastAsia="仿宋_GB2312" w:cs="Arial"/>
          <w:color w:val="000000"/>
          <w:sz w:val="32"/>
          <w:szCs w:val="32"/>
        </w:rPr>
        <w:t>我区纳入关停拆除的禁养区畜禽规模养殖场，按照部、省标准严格执行，预算合理，</w:t>
      </w:r>
      <w:r>
        <w:rPr>
          <w:rFonts w:hint="eastAsia" w:ascii="仿宋_GB2312" w:eastAsia="仿宋_GB2312"/>
          <w:sz w:val="32"/>
          <w:szCs w:val="32"/>
        </w:rPr>
        <w:t>补助</w:t>
      </w:r>
      <w:r>
        <w:rPr>
          <w:rFonts w:hint="eastAsia" w:ascii="仿宋_GB2312" w:eastAsia="仿宋_GB2312" w:cs="Arial"/>
          <w:color w:val="000000"/>
          <w:sz w:val="32"/>
          <w:szCs w:val="32"/>
        </w:rPr>
        <w:t>资金使用控制到位，全部用于项目。</w:t>
      </w:r>
    </w:p>
    <w:p>
      <w:pPr>
        <w:pStyle w:val="6"/>
        <w:shd w:val="clear" w:color="auto" w:fill="FFFFFF"/>
        <w:spacing w:before="0" w:beforeAutospacing="0" w:after="0" w:afterAutospacing="0"/>
        <w:ind w:firstLine="640"/>
        <w:jc w:val="both"/>
        <w:rPr>
          <w:rFonts w:ascii="仿宋_GB2312" w:eastAsia="仿宋_GB2312" w:cs="Arial"/>
          <w:color w:val="000000"/>
          <w:sz w:val="32"/>
          <w:szCs w:val="32"/>
        </w:rPr>
      </w:pPr>
      <w:r>
        <w:rPr>
          <w:rFonts w:hint="eastAsia" w:ascii="楷体" w:hAnsi="楷体" w:eastAsia="楷体" w:cs="Arial"/>
          <w:color w:val="000000"/>
          <w:sz w:val="32"/>
          <w:szCs w:val="32"/>
          <w:shd w:val="clear" w:color="auto" w:fill="FFFFFF"/>
          <w:lang w:val="en-US" w:eastAsia="zh-CN"/>
        </w:rPr>
        <w:t>2、</w:t>
      </w:r>
      <w:r>
        <w:rPr>
          <w:rFonts w:ascii="楷体" w:hAnsi="楷体" w:eastAsia="楷体" w:cs="Arial"/>
          <w:color w:val="000000"/>
          <w:sz w:val="32"/>
          <w:szCs w:val="32"/>
          <w:shd w:val="clear" w:color="auto" w:fill="FFFFFF"/>
        </w:rPr>
        <w:t>项目成本（预算）节约情况</w:t>
      </w:r>
    </w:p>
    <w:p>
      <w:pPr>
        <w:pStyle w:val="6"/>
        <w:shd w:val="clear" w:color="auto" w:fill="FFFFFF"/>
        <w:spacing w:before="0" w:beforeAutospacing="0" w:after="0" w:afterAutospacing="0"/>
        <w:ind w:firstLine="640" w:firstLineChars="200"/>
        <w:jc w:val="both"/>
        <w:rPr>
          <w:rFonts w:hint="eastAsia" w:ascii="仿宋_GB2312" w:eastAsia="仿宋_GB2312" w:cs="Arial"/>
          <w:color w:val="000000"/>
          <w:sz w:val="32"/>
          <w:szCs w:val="32"/>
        </w:rPr>
      </w:pPr>
      <w:r>
        <w:rPr>
          <w:rFonts w:hint="eastAsia" w:ascii="仿宋_GB2312" w:eastAsia="仿宋_GB2312" w:cs="Arial"/>
          <w:color w:val="000000"/>
          <w:sz w:val="32"/>
          <w:szCs w:val="32"/>
        </w:rPr>
        <w:t>2019年关停拆除补助资金拨付到位，拨付程序规范，全部用于项目建设。</w:t>
      </w:r>
    </w:p>
    <w:p>
      <w:pPr>
        <w:ind w:left="-105" w:firstLine="640" w:firstLineChars="200"/>
        <w:rPr>
          <w:rFonts w:ascii="楷体" w:hAnsi="楷体" w:eastAsia="楷体" w:cs="Arial"/>
          <w:color w:val="000000"/>
          <w:sz w:val="32"/>
          <w:szCs w:val="32"/>
        </w:rPr>
      </w:pPr>
      <w:r>
        <w:rPr>
          <w:rFonts w:hint="eastAsia" w:ascii="楷体" w:hAnsi="楷体" w:eastAsia="楷体" w:cs="Arial"/>
          <w:color w:val="000000"/>
          <w:sz w:val="32"/>
          <w:szCs w:val="32"/>
          <w:lang w:val="en-US" w:eastAsia="zh-CN"/>
        </w:rPr>
        <w:t>3、</w:t>
      </w:r>
      <w:r>
        <w:rPr>
          <w:rFonts w:hint="eastAsia" w:ascii="楷体" w:hAnsi="楷体" w:eastAsia="楷体" w:cs="Arial"/>
          <w:color w:val="000000"/>
          <w:sz w:val="32"/>
          <w:szCs w:val="32"/>
        </w:rPr>
        <w:t>项目实施进度质量</w:t>
      </w:r>
    </w:p>
    <w:p>
      <w:pPr>
        <w:ind w:left="-105" w:firstLine="640" w:firstLineChars="200"/>
        <w:rPr>
          <w:rFonts w:hint="eastAsia" w:ascii="仿宋_GB2312" w:hAnsi="仿宋" w:eastAsia="仿宋_GB2312" w:cs="Arial"/>
          <w:color w:val="000000"/>
          <w:sz w:val="32"/>
          <w:szCs w:val="32"/>
        </w:rPr>
      </w:pPr>
      <w:r>
        <w:rPr>
          <w:rFonts w:hint="eastAsia" w:ascii="仿宋_GB2312" w:hAnsi="仿宋" w:eastAsia="仿宋_GB2312" w:cs="Arial"/>
          <w:color w:val="000000"/>
          <w:sz w:val="32"/>
          <w:szCs w:val="32"/>
        </w:rPr>
        <w:t>2019年关停拆除补助资金拨付到位，拨付程序规范，全部用于项目建设。我中心广泛宣传动员各单位开展畜禽养殖污染治理工作，1月份，各乡镇街道积极开展禁养区关停拆除工作。</w:t>
      </w:r>
      <w:r>
        <w:rPr>
          <w:rFonts w:hint="eastAsia" w:ascii="仿宋_GB2312" w:hAnsi="仿宋" w:eastAsia="仿宋_GB2312"/>
          <w:color w:val="000000"/>
          <w:kern w:val="0"/>
          <w:sz w:val="32"/>
          <w:szCs w:val="32"/>
        </w:rPr>
        <w:t>兰溪镇等11个乡镇街道91家畜禽</w:t>
      </w:r>
      <w:r>
        <w:rPr>
          <w:rFonts w:hint="eastAsia" w:ascii="仿宋_GB2312" w:hAnsi="仿宋" w:eastAsia="仿宋_GB2312"/>
          <w:sz w:val="32"/>
          <w:szCs w:val="32"/>
        </w:rPr>
        <w:t>规模</w:t>
      </w:r>
      <w:r>
        <w:rPr>
          <w:rFonts w:hint="eastAsia" w:ascii="仿宋_GB2312" w:hAnsi="仿宋" w:eastAsia="仿宋_GB2312"/>
          <w:color w:val="000000"/>
          <w:kern w:val="0"/>
          <w:sz w:val="32"/>
          <w:szCs w:val="32"/>
        </w:rPr>
        <w:t>养殖场共关停退养面积46633.39平方米。</w:t>
      </w:r>
      <w:r>
        <w:rPr>
          <w:rFonts w:hint="eastAsia" w:ascii="仿宋_GB2312" w:hAnsi="仿宋" w:eastAsia="仿宋_GB2312" w:cs="Arial"/>
          <w:color w:val="000000"/>
          <w:sz w:val="32"/>
          <w:szCs w:val="32"/>
        </w:rPr>
        <w:t>2019年1月至2019年12月我中心会同区治理办、区财政局、赫山环保分局组织验收组进行项目验收，91户均达到验收标准。</w:t>
      </w:r>
    </w:p>
    <w:p>
      <w:pPr>
        <w:ind w:left="-105" w:firstLine="640" w:firstLineChars="200"/>
        <w:rPr>
          <w:rFonts w:ascii="楷体" w:hAnsi="楷体" w:eastAsia="楷体" w:cs="Arial"/>
          <w:color w:val="000000"/>
          <w:sz w:val="32"/>
          <w:szCs w:val="32"/>
        </w:rPr>
      </w:pPr>
      <w:r>
        <w:rPr>
          <w:rFonts w:hint="eastAsia" w:ascii="楷体" w:hAnsi="楷体" w:eastAsia="楷体" w:cs="Arial"/>
          <w:color w:val="000000"/>
          <w:sz w:val="32"/>
          <w:szCs w:val="32"/>
          <w:lang w:val="en-US" w:eastAsia="zh-CN"/>
        </w:rPr>
        <w:t>4、</w:t>
      </w:r>
      <w:r>
        <w:rPr>
          <w:rFonts w:ascii="楷体" w:hAnsi="楷体" w:eastAsia="楷体" w:cs="Arial"/>
          <w:color w:val="000000"/>
          <w:sz w:val="32"/>
          <w:szCs w:val="32"/>
          <w:shd w:val="clear" w:color="auto" w:fill="FFFFFF"/>
        </w:rPr>
        <w:t>项目预期目标完成程度</w:t>
      </w:r>
    </w:p>
    <w:p>
      <w:pPr>
        <w:ind w:left="-105" w:firstLine="640" w:firstLineChars="200"/>
        <w:rPr>
          <w:rFonts w:hint="eastAsia" w:ascii="仿宋_GB2312" w:hAnsi="仿宋" w:eastAsia="仿宋_GB2312" w:cs="Arial"/>
          <w:color w:val="000000"/>
          <w:sz w:val="32"/>
          <w:szCs w:val="32"/>
        </w:rPr>
      </w:pPr>
      <w:r>
        <w:rPr>
          <w:rFonts w:ascii="仿宋_GB2312" w:hAnsi="仿宋" w:eastAsia="仿宋_GB2312" w:cs="Arial"/>
          <w:color w:val="000000"/>
          <w:sz w:val="32"/>
          <w:szCs w:val="32"/>
        </w:rPr>
        <w:t>按照项目实施方案建设要求，我</w:t>
      </w:r>
      <w:r>
        <w:rPr>
          <w:rFonts w:hint="eastAsia" w:ascii="仿宋_GB2312" w:hAnsi="仿宋" w:eastAsia="仿宋_GB2312" w:cs="Arial"/>
          <w:color w:val="000000"/>
          <w:sz w:val="32"/>
          <w:szCs w:val="32"/>
        </w:rPr>
        <w:t>区91</w:t>
      </w:r>
      <w:r>
        <w:rPr>
          <w:rFonts w:ascii="仿宋_GB2312" w:hAnsi="仿宋" w:eastAsia="仿宋_GB2312" w:cs="Arial"/>
          <w:color w:val="000000"/>
          <w:sz w:val="32"/>
          <w:szCs w:val="32"/>
        </w:rPr>
        <w:t>个项目均已完成</w:t>
      </w:r>
      <w:r>
        <w:rPr>
          <w:rFonts w:hint="eastAsia" w:ascii="仿宋_GB2312" w:hAnsi="仿宋" w:eastAsia="仿宋_GB2312" w:cs="Arial"/>
          <w:color w:val="000000"/>
          <w:sz w:val="32"/>
          <w:szCs w:val="32"/>
        </w:rPr>
        <w:t>，关停拆除规模养殖场46633.39平方米，其中彻底拆除32612.79平方米（其中简易结172平方米），功能性拆除14020.6平方米，全部完成工作任务。</w:t>
      </w:r>
      <w:r>
        <w:rPr>
          <w:rFonts w:ascii="仿宋_GB2312" w:hAnsi="仿宋" w:eastAsia="仿宋_GB2312" w:cs="Arial"/>
          <w:color w:val="000000"/>
          <w:sz w:val="32"/>
          <w:szCs w:val="32"/>
        </w:rPr>
        <w:t>达到了项目建设预期目标。</w:t>
      </w:r>
    </w:p>
    <w:p>
      <w:pPr>
        <w:pStyle w:val="6"/>
        <w:shd w:val="clear" w:color="auto" w:fill="FFFFFF"/>
        <w:spacing w:before="0" w:beforeAutospacing="0" w:after="0" w:afterAutospacing="0"/>
        <w:ind w:firstLine="640"/>
        <w:rPr>
          <w:rFonts w:ascii="楷体" w:hAnsi="楷体" w:eastAsia="楷体" w:cs="Arial"/>
          <w:color w:val="000000"/>
          <w:sz w:val="32"/>
          <w:szCs w:val="32"/>
        </w:rPr>
      </w:pPr>
      <w:r>
        <w:rPr>
          <w:rFonts w:hint="eastAsia" w:ascii="楷体" w:hAnsi="楷体" w:eastAsia="楷体" w:cs="Arial"/>
          <w:color w:val="000000"/>
          <w:sz w:val="32"/>
          <w:szCs w:val="32"/>
          <w:lang w:val="en-US" w:eastAsia="zh-CN"/>
        </w:rPr>
        <w:t>5、</w:t>
      </w:r>
      <w:r>
        <w:rPr>
          <w:rFonts w:ascii="楷体" w:hAnsi="楷体" w:eastAsia="楷体" w:cs="Arial"/>
          <w:color w:val="000000"/>
          <w:sz w:val="32"/>
          <w:szCs w:val="32"/>
          <w:shd w:val="clear" w:color="auto" w:fill="FFFFFF"/>
        </w:rPr>
        <w:t>项目实施对经济和社会的影响</w:t>
      </w:r>
    </w:p>
    <w:p>
      <w:pPr>
        <w:ind w:left="-105" w:firstLine="640" w:firstLineChars="200"/>
        <w:rPr>
          <w:rFonts w:hint="eastAsia" w:ascii="仿宋_GB2312" w:hAnsi="仿宋" w:eastAsia="仿宋_GB2312" w:cs="Arial"/>
          <w:color w:val="000000"/>
          <w:sz w:val="32"/>
          <w:szCs w:val="32"/>
        </w:rPr>
      </w:pPr>
      <w:r>
        <w:rPr>
          <w:rFonts w:hint="eastAsia" w:ascii="仿宋_GB2312" w:hAnsi="仿宋" w:eastAsia="仿宋_GB2312" w:cs="Arial"/>
          <w:color w:val="000000"/>
          <w:sz w:val="32"/>
          <w:szCs w:val="32"/>
        </w:rPr>
        <w:t>农村饮水工程取水口周边500米和“四河两湖一库” （资江、兰溪河、志溪河、新河干流、鹿角湖、东湖、及鱼形山水库）沿岸200米范围内规模养殖场关停拆除。</w:t>
      </w:r>
      <w:r>
        <w:rPr>
          <w:rFonts w:ascii="仿宋_GB2312" w:hAnsi="仿宋" w:eastAsia="仿宋_GB2312" w:cs="Arial"/>
          <w:color w:val="000000"/>
          <w:sz w:val="32"/>
          <w:szCs w:val="32"/>
        </w:rPr>
        <w:t>有效改善饮用水水源地水环境，防止和减少水资源污染，使</w:t>
      </w:r>
      <w:r>
        <w:rPr>
          <w:rFonts w:hint="eastAsia" w:ascii="仿宋_GB2312" w:hAnsi="仿宋" w:eastAsia="仿宋_GB2312" w:cs="Arial"/>
          <w:color w:val="000000"/>
          <w:sz w:val="32"/>
          <w:szCs w:val="32"/>
        </w:rPr>
        <w:t>我区</w:t>
      </w:r>
      <w:r>
        <w:rPr>
          <w:rFonts w:ascii="仿宋_GB2312" w:hAnsi="仿宋" w:eastAsia="仿宋_GB2312" w:cs="Arial"/>
          <w:color w:val="000000"/>
          <w:sz w:val="32"/>
          <w:szCs w:val="32"/>
        </w:rPr>
        <w:t>生态环境得到有效保护。村民保护自然环境、生活居住环境的自觉性大大提高，畜禽养殖污染等环境问题得到了有效治理，农村环境保护管理体制逐步健全，显著优化了村容村貌，有效改善了</w:t>
      </w:r>
      <w:r>
        <w:rPr>
          <w:rFonts w:hint="eastAsia" w:ascii="仿宋_GB2312" w:hAnsi="仿宋" w:eastAsia="仿宋_GB2312" w:cs="Arial"/>
          <w:color w:val="000000"/>
          <w:sz w:val="32"/>
          <w:szCs w:val="32"/>
        </w:rPr>
        <w:t>我区</w:t>
      </w:r>
      <w:r>
        <w:rPr>
          <w:rFonts w:ascii="仿宋_GB2312" w:hAnsi="仿宋" w:eastAsia="仿宋_GB2312" w:cs="Arial"/>
          <w:color w:val="000000"/>
          <w:sz w:val="32"/>
          <w:szCs w:val="32"/>
        </w:rPr>
        <w:t>的人居环境，为下一步建设美丽</w:t>
      </w:r>
      <w:r>
        <w:rPr>
          <w:rFonts w:hint="eastAsia" w:ascii="仿宋_GB2312" w:hAnsi="仿宋" w:eastAsia="仿宋_GB2312" w:cs="Arial"/>
          <w:color w:val="000000"/>
          <w:sz w:val="32"/>
          <w:szCs w:val="32"/>
        </w:rPr>
        <w:t>赫山</w:t>
      </w:r>
      <w:r>
        <w:rPr>
          <w:rFonts w:ascii="仿宋_GB2312" w:hAnsi="仿宋" w:eastAsia="仿宋_GB2312" w:cs="Arial"/>
          <w:color w:val="000000"/>
          <w:sz w:val="32"/>
          <w:szCs w:val="32"/>
        </w:rPr>
        <w:t>奠定了良好的基础。项目建设和运行效果达到了预期的环境和社会效益。</w:t>
      </w:r>
    </w:p>
    <w:p>
      <w:pPr>
        <w:pStyle w:val="6"/>
        <w:shd w:val="clear" w:color="auto" w:fill="FFFFFF"/>
        <w:spacing w:before="0" w:beforeAutospacing="0" w:after="0" w:afterAutospacing="0"/>
        <w:ind w:firstLine="640" w:firstLineChars="200"/>
        <w:rPr>
          <w:rFonts w:ascii="楷体" w:hAnsi="楷体" w:eastAsia="楷体" w:cs="Arial"/>
          <w:color w:val="000000"/>
          <w:sz w:val="32"/>
          <w:szCs w:val="32"/>
        </w:rPr>
      </w:pPr>
      <w:r>
        <w:rPr>
          <w:rFonts w:hint="eastAsia" w:ascii="楷体" w:hAnsi="楷体" w:eastAsia="楷体" w:cs="Arial"/>
          <w:color w:val="000000"/>
          <w:sz w:val="32"/>
          <w:szCs w:val="32"/>
          <w:lang w:val="en-US" w:eastAsia="zh-CN"/>
        </w:rPr>
        <w:t>6、</w:t>
      </w:r>
      <w:r>
        <w:rPr>
          <w:rFonts w:hint="eastAsia" w:ascii="楷体" w:hAnsi="楷体" w:eastAsia="楷体" w:cs="Times New Roman"/>
          <w:sz w:val="32"/>
          <w:szCs w:val="32"/>
        </w:rPr>
        <w:t>项目的可持续性</w:t>
      </w:r>
    </w:p>
    <w:p>
      <w:pPr>
        <w:ind w:left="-105" w:firstLine="640" w:firstLineChars="200"/>
        <w:rPr>
          <w:rFonts w:hint="eastAsia" w:ascii="仿宋_GB2312" w:hAnsi="仿宋" w:eastAsia="仿宋_GB2312" w:cs="Arial"/>
          <w:color w:val="000000"/>
          <w:sz w:val="32"/>
          <w:szCs w:val="32"/>
        </w:rPr>
      </w:pPr>
      <w:r>
        <w:rPr>
          <w:rFonts w:hint="eastAsia" w:ascii="仿宋_GB2312" w:hAnsi="仿宋" w:eastAsia="仿宋_GB2312" w:cs="Arial"/>
          <w:color w:val="000000"/>
          <w:sz w:val="32"/>
          <w:szCs w:val="32"/>
        </w:rPr>
        <w:t>虽然该项目已经结束，但市、区级层面和各乡镇街道均设立了畜禽养殖污染治理工作办公室，配备了专门工作人员。建立健全了各项规章制度和政策。养殖污染治理长效机制正在继续完善。</w:t>
      </w:r>
    </w:p>
    <w:p>
      <w:pPr>
        <w:numPr>
          <w:numId w:val="0"/>
        </w:numPr>
        <w:jc w:val="left"/>
        <w:rPr>
          <w:rFonts w:hint="default" w:ascii="仿宋" w:hAnsi="仿宋" w:eastAsia="仿宋"/>
          <w:b/>
          <w:bCs/>
          <w:color w:val="000000"/>
          <w:kern w:val="0"/>
          <w:sz w:val="32"/>
          <w:szCs w:val="32"/>
          <w:lang w:val="en-US" w:eastAsia="zh-CN"/>
        </w:rPr>
      </w:pPr>
    </w:p>
    <w:p>
      <w:pPr>
        <w:numPr>
          <w:numId w:val="0"/>
        </w:numPr>
        <w:jc w:val="left"/>
        <w:rPr>
          <w:rFonts w:hint="default" w:ascii="仿宋" w:hAnsi="仿宋" w:eastAsia="仿宋"/>
          <w:b/>
          <w:bCs/>
          <w:color w:val="000000"/>
          <w:kern w:val="0"/>
          <w:sz w:val="32"/>
          <w:szCs w:val="32"/>
          <w:lang w:val="en-US" w:eastAsia="zh-CN"/>
        </w:rPr>
      </w:pPr>
      <w:r>
        <w:rPr>
          <w:rFonts w:hint="eastAsia" w:ascii="仿宋" w:hAnsi="仿宋" w:eastAsia="仿宋"/>
          <w:b/>
          <w:bCs/>
          <w:color w:val="000000"/>
          <w:kern w:val="0"/>
          <w:sz w:val="32"/>
          <w:szCs w:val="32"/>
          <w:lang w:val="en-US" w:eastAsia="zh-CN"/>
        </w:rPr>
        <w:t xml:space="preserve">    </w:t>
      </w:r>
    </w:p>
    <w:bookmarkEnd w:id="1"/>
    <w:p>
      <w:pPr>
        <w:spacing w:line="440" w:lineRule="exact"/>
        <w:ind w:firstLine="602" w:firstLineChars="200"/>
        <w:rPr>
          <w:rFonts w:hint="default" w:ascii="仿宋_GB2312" w:eastAsia="仿宋_GB2312" w:cs="仿宋_GB2312"/>
          <w:b/>
          <w:bCs/>
          <w:color w:val="000000"/>
          <w:kern w:val="0"/>
          <w:sz w:val="30"/>
          <w:szCs w:val="30"/>
          <w:lang w:val="en-US" w:eastAsia="zh-CN"/>
        </w:rPr>
      </w:pPr>
      <w:r>
        <w:rPr>
          <w:rFonts w:hint="eastAsia" w:ascii="仿宋_GB2312" w:eastAsia="仿宋_GB2312" w:cs="仿宋_GB2312"/>
          <w:b/>
          <w:bCs/>
          <w:color w:val="000000"/>
          <w:kern w:val="0"/>
          <w:sz w:val="30"/>
          <w:szCs w:val="30"/>
          <w:lang w:eastAsia="zh-CN"/>
        </w:rPr>
        <w:t>四、整体评价评分为</w:t>
      </w:r>
      <w:r>
        <w:rPr>
          <w:rFonts w:hint="eastAsia" w:ascii="仿宋_GB2312" w:eastAsia="仿宋_GB2312" w:cs="仿宋_GB2312"/>
          <w:b/>
          <w:bCs/>
          <w:color w:val="000000"/>
          <w:kern w:val="0"/>
          <w:sz w:val="30"/>
          <w:szCs w:val="30"/>
          <w:lang w:val="en-US" w:eastAsia="zh-CN"/>
        </w:rPr>
        <w:t>92分，项目评分100分。</w:t>
      </w:r>
      <w:bookmarkStart w:id="2" w:name="_GoBack"/>
      <w:bookmarkEnd w:id="2"/>
    </w:p>
    <w:p>
      <w:pPr>
        <w:spacing w:line="440" w:lineRule="exact"/>
        <w:ind w:firstLine="602" w:firstLineChars="200"/>
        <w:rPr>
          <w:rFonts w:ascii="仿宋_GB2312" w:eastAsia="仿宋_GB2312" w:cs="仿宋_GB2312"/>
          <w:b/>
          <w:bCs/>
          <w:color w:val="000000"/>
          <w:kern w:val="0"/>
          <w:sz w:val="30"/>
          <w:szCs w:val="30"/>
        </w:rPr>
      </w:pPr>
      <w:r>
        <w:rPr>
          <w:rFonts w:hint="eastAsia" w:ascii="仿宋_GB2312" w:eastAsia="仿宋_GB2312" w:cs="仿宋_GB2312"/>
          <w:b/>
          <w:bCs/>
          <w:color w:val="000000"/>
          <w:kern w:val="0"/>
          <w:sz w:val="30"/>
          <w:szCs w:val="30"/>
          <w:lang w:eastAsia="zh-CN"/>
        </w:rPr>
        <w:t>五、</w:t>
      </w:r>
      <w:r>
        <w:rPr>
          <w:rFonts w:hint="eastAsia" w:ascii="仿宋_GB2312" w:eastAsia="仿宋_GB2312" w:cs="仿宋_GB2312"/>
          <w:b/>
          <w:bCs/>
          <w:color w:val="000000"/>
          <w:kern w:val="0"/>
          <w:sz w:val="30"/>
          <w:szCs w:val="30"/>
        </w:rPr>
        <w:t>存在的问题</w:t>
      </w:r>
    </w:p>
    <w:p>
      <w:pPr>
        <w:spacing w:line="580" w:lineRule="exact"/>
        <w:ind w:firstLine="675" w:firstLineChars="225"/>
        <w:rPr>
          <w:rFonts w:ascii="仿宋_GB2312" w:eastAsia="仿宋_GB2312" w:cs="仿宋_GB2312"/>
          <w:color w:val="000000"/>
          <w:kern w:val="0"/>
          <w:sz w:val="30"/>
          <w:szCs w:val="30"/>
        </w:rPr>
      </w:pPr>
      <w:r>
        <w:rPr>
          <w:rFonts w:hint="eastAsia" w:ascii="仿宋_GB2312" w:eastAsia="仿宋_GB2312" w:cs="仿宋_GB2312"/>
          <w:color w:val="000000"/>
          <w:kern w:val="0"/>
          <w:sz w:val="30"/>
          <w:szCs w:val="30"/>
        </w:rPr>
        <w:t>1、养殖行业风险增大。新病不断出现，老病重发新枝，导致疫病压力空前加大。</w:t>
      </w:r>
    </w:p>
    <w:p>
      <w:pPr>
        <w:spacing w:line="580" w:lineRule="exact"/>
        <w:ind w:firstLine="675" w:firstLineChars="225"/>
        <w:rPr>
          <w:rFonts w:ascii="仿宋_GB2312" w:eastAsia="仿宋_GB2312" w:cs="仿宋_GB2312"/>
          <w:color w:val="000000"/>
          <w:kern w:val="0"/>
          <w:sz w:val="30"/>
          <w:szCs w:val="30"/>
        </w:rPr>
      </w:pPr>
      <w:r>
        <w:rPr>
          <w:rFonts w:hint="eastAsia" w:ascii="仿宋_GB2312" w:eastAsia="仿宋_GB2312" w:cs="仿宋_GB2312"/>
          <w:color w:val="000000"/>
          <w:kern w:val="0"/>
          <w:sz w:val="30"/>
          <w:szCs w:val="30"/>
        </w:rPr>
        <w:t>2、行政执法难度大。</w:t>
      </w:r>
    </w:p>
    <w:p>
      <w:pPr>
        <w:spacing w:line="580" w:lineRule="exact"/>
        <w:ind w:firstLine="675" w:firstLineChars="225"/>
        <w:rPr>
          <w:rFonts w:ascii="仿宋_GB2312" w:eastAsia="仿宋_GB2312" w:cs="仿宋_GB2312"/>
          <w:color w:val="000000"/>
          <w:kern w:val="0"/>
          <w:sz w:val="30"/>
          <w:szCs w:val="30"/>
        </w:rPr>
      </w:pPr>
      <w:r>
        <w:rPr>
          <w:rFonts w:hint="eastAsia" w:ascii="仿宋_GB2312" w:eastAsia="仿宋_GB2312" w:cs="仿宋_GB2312"/>
          <w:color w:val="000000"/>
          <w:kern w:val="0"/>
          <w:sz w:val="30"/>
          <w:szCs w:val="30"/>
        </w:rPr>
        <w:t>3、经费缺口大。因历史原因，我局差额拨款、自收自支编制人员多，经费缺口大。</w:t>
      </w:r>
    </w:p>
    <w:p>
      <w:pPr>
        <w:spacing w:line="580" w:lineRule="exact"/>
        <w:ind w:firstLine="675" w:firstLineChars="225"/>
        <w:rPr>
          <w:rFonts w:ascii="仿宋_GB2312" w:eastAsia="仿宋_GB2312" w:cs="仿宋_GB2312"/>
          <w:color w:val="000000"/>
          <w:kern w:val="0"/>
          <w:sz w:val="30"/>
          <w:szCs w:val="30"/>
        </w:rPr>
      </w:pPr>
      <w:r>
        <w:rPr>
          <w:rFonts w:hint="eastAsia" w:ascii="仿宋_GB2312" w:eastAsia="仿宋_GB2312" w:cs="仿宋_GB2312"/>
          <w:color w:val="000000"/>
          <w:kern w:val="0"/>
          <w:sz w:val="30"/>
          <w:szCs w:val="30"/>
        </w:rPr>
        <w:t>4、非税收入无法准确编制预算，绩效评价工作认识有待进一步加强。</w:t>
      </w:r>
    </w:p>
    <w:p>
      <w:pPr>
        <w:ind w:right="210" w:rightChars="100"/>
      </w:pPr>
    </w:p>
    <w:sectPr>
      <w:pgSz w:w="11906" w:h="16838"/>
      <w:pgMar w:top="2098" w:right="1474" w:bottom="1985" w:left="1588" w:header="851" w:footer="1701"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Fonts w:ascii="宋体" w:hAnsi="宋体"/>
        <w:sz w:val="28"/>
        <w:szCs w:val="28"/>
      </w:rPr>
    </w:pPr>
    <w:r>
      <w:rPr>
        <w:rStyle w:val="10"/>
        <w:rFonts w:ascii="宋体" w:hAnsi="宋体"/>
        <w:sz w:val="28"/>
        <w:szCs w:val="28"/>
      </w:rPr>
      <w:fldChar w:fldCharType="begin"/>
    </w:r>
    <w:r>
      <w:rPr>
        <w:rStyle w:val="10"/>
        <w:rFonts w:ascii="宋体" w:hAnsi="宋体"/>
        <w:sz w:val="28"/>
        <w:szCs w:val="28"/>
      </w:rPr>
      <w:instrText xml:space="preserve">PAGE  </w:instrText>
    </w:r>
    <w:r>
      <w:rPr>
        <w:rStyle w:val="10"/>
        <w:rFonts w:ascii="宋体" w:hAnsi="宋体"/>
        <w:sz w:val="28"/>
        <w:szCs w:val="28"/>
      </w:rPr>
      <w:fldChar w:fldCharType="separate"/>
    </w:r>
    <w:r>
      <w:rPr>
        <w:rStyle w:val="10"/>
        <w:rFonts w:ascii="宋体" w:hAnsi="宋体"/>
        <w:sz w:val="28"/>
        <w:szCs w:val="28"/>
      </w:rPr>
      <w:t>- 16 -</w:t>
    </w:r>
    <w:r>
      <w:rPr>
        <w:rStyle w:val="10"/>
        <w:rFonts w:ascii="宋体" w:hAnsi="宋体"/>
        <w:sz w:val="28"/>
        <w:szCs w:val="28"/>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EC3D49"/>
    <w:multiLevelType w:val="singleLevel"/>
    <w:tmpl w:val="B0EC3D49"/>
    <w:lvl w:ilvl="0" w:tentative="0">
      <w:start w:val="1"/>
      <w:numFmt w:val="chineseCounting"/>
      <w:suff w:val="nothing"/>
      <w:lvlText w:val="（%1）"/>
      <w:lvlJc w:val="left"/>
      <w:pPr>
        <w:ind w:left="800" w:leftChars="0" w:firstLine="0" w:firstLineChars="0"/>
      </w:pPr>
      <w:rPr>
        <w:rFonts w:hint="eastAsia"/>
      </w:rPr>
    </w:lvl>
  </w:abstractNum>
  <w:abstractNum w:abstractNumId="1">
    <w:nsid w:val="D397F642"/>
    <w:multiLevelType w:val="singleLevel"/>
    <w:tmpl w:val="D397F642"/>
    <w:lvl w:ilvl="0" w:tentative="0">
      <w:start w:val="7"/>
      <w:numFmt w:val="decimal"/>
      <w:suff w:val="nothing"/>
      <w:lvlText w:val="%1、"/>
      <w:lvlJc w:val="left"/>
    </w:lvl>
  </w:abstractNum>
  <w:abstractNum w:abstractNumId="2">
    <w:nsid w:val="333D975F"/>
    <w:multiLevelType w:val="singleLevel"/>
    <w:tmpl w:val="333D975F"/>
    <w:lvl w:ilvl="0" w:tentative="0">
      <w:start w:val="2"/>
      <w:numFmt w:val="chineseCounting"/>
      <w:suff w:val="nothing"/>
      <w:lvlText w:val="%1、"/>
      <w:lvlJc w:val="left"/>
      <w:rPr>
        <w:rFonts w:hint="eastAsia"/>
      </w:rPr>
    </w:lvl>
  </w:abstractNum>
  <w:abstractNum w:abstractNumId="3">
    <w:nsid w:val="487EECDC"/>
    <w:multiLevelType w:val="multilevel"/>
    <w:tmpl w:val="487EECDC"/>
    <w:lvl w:ilvl="0" w:tentative="0">
      <w:start w:val="1"/>
      <w:numFmt w:val="chineseCounting"/>
      <w:suff w:val="nothing"/>
      <w:lvlText w:val="第%1章  "/>
      <w:lvlJc w:val="left"/>
      <w:pPr>
        <w:tabs>
          <w:tab w:val="left" w:pos="0"/>
        </w:tabs>
        <w:ind w:left="425" w:hanging="425"/>
      </w:pPr>
      <w:rPr>
        <w:rFonts w:hint="eastAsia" w:ascii="Times New Roman" w:hAnsi="Times New Roman" w:eastAsia="黑体" w:cs="Times New Roman"/>
        <w:sz w:val="36"/>
        <w:szCs w:val="36"/>
      </w:rPr>
    </w:lvl>
    <w:lvl w:ilvl="1" w:tentative="0">
      <w:start w:val="1"/>
      <w:numFmt w:val="decimal"/>
      <w:isLgl/>
      <w:suff w:val="space"/>
      <w:lvlText w:val="%1.%2"/>
      <w:lvlJc w:val="left"/>
      <w:pPr>
        <w:tabs>
          <w:tab w:val="left" w:pos="420"/>
        </w:tabs>
        <w:ind w:left="850" w:hanging="850"/>
      </w:pPr>
      <w:rPr>
        <w:rFonts w:hint="eastAsia" w:ascii="Times New Roman" w:hAnsi="Times New Roman" w:eastAsia="黑体" w:cs="Times New Roman"/>
        <w:sz w:val="30"/>
        <w:szCs w:val="30"/>
      </w:rPr>
    </w:lvl>
    <w:lvl w:ilvl="2" w:tentative="0">
      <w:start w:val="1"/>
      <w:numFmt w:val="decimal"/>
      <w:isLgl/>
      <w:suff w:val="space"/>
      <w:lvlText w:val="%1.%2.%3"/>
      <w:lvlJc w:val="left"/>
      <w:pPr>
        <w:tabs>
          <w:tab w:val="left" w:pos="0"/>
        </w:tabs>
        <w:ind w:left="1508" w:hanging="1508"/>
      </w:pPr>
      <w:rPr>
        <w:rFonts w:hint="eastAsia" w:ascii="Times New Roman" w:hAnsi="Times New Roman" w:eastAsia="宋体" w:cs="Times New Roman"/>
        <w:sz w:val="28"/>
        <w:szCs w:val="28"/>
      </w:rPr>
    </w:lvl>
    <w:lvl w:ilvl="3" w:tentative="0">
      <w:start w:val="1"/>
      <w:numFmt w:val="decimal"/>
      <w:pStyle w:val="2"/>
      <w:isLgl/>
      <w:suff w:val="nothing"/>
      <w:lvlText w:val="（%4）"/>
      <w:lvlJc w:val="left"/>
      <w:pPr>
        <w:tabs>
          <w:tab w:val="left" w:pos="-567"/>
        </w:tabs>
        <w:ind w:left="1486" w:hanging="919"/>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Cs w:val="0"/>
        <w:u w:val="none"/>
        <w:vertAlign w:val="baseline"/>
      </w:rPr>
    </w:lvl>
    <w:lvl w:ilvl="4" w:tentative="0">
      <w:start w:val="1"/>
      <w:numFmt w:val="decimal"/>
      <w:lvlText w:val="%1.%2.%3.%4.%5."/>
      <w:lvlJc w:val="left"/>
      <w:pPr>
        <w:ind w:left="2495" w:hanging="895"/>
      </w:pPr>
      <w:rPr>
        <w:rFonts w:hint="eastAsia"/>
      </w:rPr>
    </w:lvl>
    <w:lvl w:ilvl="5" w:tentative="0">
      <w:start w:val="1"/>
      <w:numFmt w:val="decimal"/>
      <w:lvlText w:val="%1.%2.%3.%4.%5.%6."/>
      <w:lvlJc w:val="left"/>
      <w:pPr>
        <w:ind w:left="3136" w:hanging="1136"/>
      </w:pPr>
      <w:rPr>
        <w:rFonts w:hint="eastAsia"/>
      </w:rPr>
    </w:lvl>
    <w:lvl w:ilvl="6" w:tentative="0">
      <w:start w:val="1"/>
      <w:numFmt w:val="decimal"/>
      <w:lvlText w:val="%1.%2.%3.%4.%5.%6.%7."/>
      <w:lvlJc w:val="left"/>
      <w:pPr>
        <w:ind w:left="3673" w:hanging="1273"/>
      </w:pPr>
      <w:rPr>
        <w:rFonts w:hint="eastAsia"/>
      </w:rPr>
    </w:lvl>
    <w:lvl w:ilvl="7" w:tentative="0">
      <w:start w:val="1"/>
      <w:numFmt w:val="decimal"/>
      <w:lvlText w:val="%1.%2.%3.%4.%5.%6.%7.%8."/>
      <w:lvlJc w:val="left"/>
      <w:pPr>
        <w:ind w:left="4218" w:hanging="1418"/>
      </w:pPr>
      <w:rPr>
        <w:rFonts w:hint="eastAsia"/>
      </w:rPr>
    </w:lvl>
    <w:lvl w:ilvl="8" w:tentative="0">
      <w:start w:val="1"/>
      <w:numFmt w:val="decimal"/>
      <w:lvlText w:val="%1.%2.%3.%4.%5.%6.%7.%8.%9."/>
      <w:lvlJc w:val="left"/>
      <w:pPr>
        <w:ind w:left="4648" w:hanging="1448"/>
      </w:pPr>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E4E"/>
    <w:rsid w:val="00043673"/>
    <w:rsid w:val="00046499"/>
    <w:rsid w:val="0004784E"/>
    <w:rsid w:val="00053547"/>
    <w:rsid w:val="00062EEC"/>
    <w:rsid w:val="0006715E"/>
    <w:rsid w:val="000700BE"/>
    <w:rsid w:val="000707EC"/>
    <w:rsid w:val="00076E70"/>
    <w:rsid w:val="0008086E"/>
    <w:rsid w:val="000C0EA0"/>
    <w:rsid w:val="000E1641"/>
    <w:rsid w:val="000E187E"/>
    <w:rsid w:val="000F1A10"/>
    <w:rsid w:val="00100B57"/>
    <w:rsid w:val="0011361A"/>
    <w:rsid w:val="00114A8C"/>
    <w:rsid w:val="00151A57"/>
    <w:rsid w:val="0015712D"/>
    <w:rsid w:val="00160F3B"/>
    <w:rsid w:val="00195999"/>
    <w:rsid w:val="00195AF2"/>
    <w:rsid w:val="001C0DB6"/>
    <w:rsid w:val="001C27EF"/>
    <w:rsid w:val="001D026B"/>
    <w:rsid w:val="00222DD3"/>
    <w:rsid w:val="00256CDC"/>
    <w:rsid w:val="00261F7B"/>
    <w:rsid w:val="00275E2C"/>
    <w:rsid w:val="002850ED"/>
    <w:rsid w:val="002A098E"/>
    <w:rsid w:val="002A1B49"/>
    <w:rsid w:val="002A67A3"/>
    <w:rsid w:val="002B3F1D"/>
    <w:rsid w:val="002C26E1"/>
    <w:rsid w:val="002C2D45"/>
    <w:rsid w:val="002E2194"/>
    <w:rsid w:val="002E2FC3"/>
    <w:rsid w:val="003055D2"/>
    <w:rsid w:val="0032411A"/>
    <w:rsid w:val="00336021"/>
    <w:rsid w:val="00360B49"/>
    <w:rsid w:val="00366D3D"/>
    <w:rsid w:val="00381196"/>
    <w:rsid w:val="003A2E99"/>
    <w:rsid w:val="003D5823"/>
    <w:rsid w:val="003F5B92"/>
    <w:rsid w:val="00414180"/>
    <w:rsid w:val="00423918"/>
    <w:rsid w:val="00434F00"/>
    <w:rsid w:val="00471E21"/>
    <w:rsid w:val="00474423"/>
    <w:rsid w:val="00477C33"/>
    <w:rsid w:val="004842A1"/>
    <w:rsid w:val="004B2B63"/>
    <w:rsid w:val="004C2EAB"/>
    <w:rsid w:val="004D76CB"/>
    <w:rsid w:val="004E4B88"/>
    <w:rsid w:val="004E67A5"/>
    <w:rsid w:val="005130D4"/>
    <w:rsid w:val="00527477"/>
    <w:rsid w:val="005377A9"/>
    <w:rsid w:val="00560BD3"/>
    <w:rsid w:val="0057391C"/>
    <w:rsid w:val="00574727"/>
    <w:rsid w:val="00577A7A"/>
    <w:rsid w:val="005A4414"/>
    <w:rsid w:val="005C25B9"/>
    <w:rsid w:val="005E2900"/>
    <w:rsid w:val="005E7B42"/>
    <w:rsid w:val="005E7BED"/>
    <w:rsid w:val="00603866"/>
    <w:rsid w:val="00611C0D"/>
    <w:rsid w:val="006245BF"/>
    <w:rsid w:val="006269B7"/>
    <w:rsid w:val="00652C8A"/>
    <w:rsid w:val="00653E1D"/>
    <w:rsid w:val="006733AA"/>
    <w:rsid w:val="006819E8"/>
    <w:rsid w:val="00691477"/>
    <w:rsid w:val="0069477B"/>
    <w:rsid w:val="006A17BE"/>
    <w:rsid w:val="006E452E"/>
    <w:rsid w:val="006F0B10"/>
    <w:rsid w:val="00725319"/>
    <w:rsid w:val="00731951"/>
    <w:rsid w:val="0075061C"/>
    <w:rsid w:val="00773BB2"/>
    <w:rsid w:val="007742CB"/>
    <w:rsid w:val="00784A33"/>
    <w:rsid w:val="00785F00"/>
    <w:rsid w:val="00786753"/>
    <w:rsid w:val="007B4ACB"/>
    <w:rsid w:val="007C129E"/>
    <w:rsid w:val="007C772C"/>
    <w:rsid w:val="007E43B2"/>
    <w:rsid w:val="007E4C88"/>
    <w:rsid w:val="008116C4"/>
    <w:rsid w:val="0081186A"/>
    <w:rsid w:val="008232D3"/>
    <w:rsid w:val="00853BC3"/>
    <w:rsid w:val="00854FFD"/>
    <w:rsid w:val="008630D6"/>
    <w:rsid w:val="00886C5B"/>
    <w:rsid w:val="008A23A0"/>
    <w:rsid w:val="008D28B7"/>
    <w:rsid w:val="008E4538"/>
    <w:rsid w:val="00904337"/>
    <w:rsid w:val="00923B36"/>
    <w:rsid w:val="00923DDB"/>
    <w:rsid w:val="00927ABE"/>
    <w:rsid w:val="00942D68"/>
    <w:rsid w:val="00942E90"/>
    <w:rsid w:val="00945B69"/>
    <w:rsid w:val="009773D3"/>
    <w:rsid w:val="00993293"/>
    <w:rsid w:val="009F6864"/>
    <w:rsid w:val="00A00E3C"/>
    <w:rsid w:val="00A53B16"/>
    <w:rsid w:val="00A75930"/>
    <w:rsid w:val="00A82F3A"/>
    <w:rsid w:val="00A92BDD"/>
    <w:rsid w:val="00A96E4E"/>
    <w:rsid w:val="00A973F9"/>
    <w:rsid w:val="00AA2837"/>
    <w:rsid w:val="00AA3E5E"/>
    <w:rsid w:val="00AC0F3E"/>
    <w:rsid w:val="00B33E40"/>
    <w:rsid w:val="00B4450D"/>
    <w:rsid w:val="00B47A0F"/>
    <w:rsid w:val="00B83098"/>
    <w:rsid w:val="00B92B2D"/>
    <w:rsid w:val="00B938AA"/>
    <w:rsid w:val="00BA35EE"/>
    <w:rsid w:val="00BB6083"/>
    <w:rsid w:val="00BC240C"/>
    <w:rsid w:val="00BD32A3"/>
    <w:rsid w:val="00BD5B91"/>
    <w:rsid w:val="00BF0409"/>
    <w:rsid w:val="00C03C28"/>
    <w:rsid w:val="00C06A90"/>
    <w:rsid w:val="00C2173E"/>
    <w:rsid w:val="00C420B8"/>
    <w:rsid w:val="00C5323B"/>
    <w:rsid w:val="00C533D0"/>
    <w:rsid w:val="00C73AD8"/>
    <w:rsid w:val="00CA1071"/>
    <w:rsid w:val="00CC344F"/>
    <w:rsid w:val="00CC71D0"/>
    <w:rsid w:val="00CD4EFC"/>
    <w:rsid w:val="00CD59F7"/>
    <w:rsid w:val="00CD5DCF"/>
    <w:rsid w:val="00CF2ECE"/>
    <w:rsid w:val="00CF4248"/>
    <w:rsid w:val="00D05980"/>
    <w:rsid w:val="00D15C1A"/>
    <w:rsid w:val="00D32BE3"/>
    <w:rsid w:val="00D35A8F"/>
    <w:rsid w:val="00D77BEC"/>
    <w:rsid w:val="00D87615"/>
    <w:rsid w:val="00DC17E6"/>
    <w:rsid w:val="00DC3377"/>
    <w:rsid w:val="00DD69E9"/>
    <w:rsid w:val="00DE7156"/>
    <w:rsid w:val="00DF6034"/>
    <w:rsid w:val="00DF7A05"/>
    <w:rsid w:val="00E02435"/>
    <w:rsid w:val="00E26A52"/>
    <w:rsid w:val="00E36B6C"/>
    <w:rsid w:val="00E73877"/>
    <w:rsid w:val="00E73F64"/>
    <w:rsid w:val="00EA3651"/>
    <w:rsid w:val="00EB5289"/>
    <w:rsid w:val="00EC4A69"/>
    <w:rsid w:val="00EC4E23"/>
    <w:rsid w:val="00ED2F5C"/>
    <w:rsid w:val="00ED6DD5"/>
    <w:rsid w:val="00EE2626"/>
    <w:rsid w:val="00EF2546"/>
    <w:rsid w:val="00F05BDC"/>
    <w:rsid w:val="00F219BE"/>
    <w:rsid w:val="00F3496C"/>
    <w:rsid w:val="00F43C01"/>
    <w:rsid w:val="00F6098E"/>
    <w:rsid w:val="00F83DCC"/>
    <w:rsid w:val="00FA0698"/>
    <w:rsid w:val="00FA11BF"/>
    <w:rsid w:val="00FA500A"/>
    <w:rsid w:val="00FE0362"/>
    <w:rsid w:val="00FF0B19"/>
    <w:rsid w:val="00FF31A3"/>
    <w:rsid w:val="00FF5A97"/>
    <w:rsid w:val="160C6D87"/>
    <w:rsid w:val="1BF15D4D"/>
    <w:rsid w:val="233E6308"/>
    <w:rsid w:val="2A1406A1"/>
    <w:rsid w:val="2F1A0656"/>
    <w:rsid w:val="34F160DA"/>
    <w:rsid w:val="42BA0BF0"/>
    <w:rsid w:val="5046471A"/>
    <w:rsid w:val="6F7D77E7"/>
    <w:rsid w:val="711E427D"/>
    <w:rsid w:val="778F0A61"/>
    <w:rsid w:val="77BB67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unhideWhenUsed/>
    <w:qFormat/>
    <w:uiPriority w:val="9"/>
    <w:pPr>
      <w:numPr>
        <w:ilvl w:val="3"/>
        <w:numId w:val="1"/>
      </w:numPr>
      <w:tabs>
        <w:tab w:val="left" w:pos="0"/>
      </w:tabs>
      <w:adjustRightInd w:val="0"/>
      <w:snapToGrid w:val="0"/>
      <w:ind w:left="0" w:leftChars="0" w:firstLine="200" w:firstLineChars="200"/>
      <w:outlineLvl w:val="3"/>
    </w:pPr>
    <w:rPr>
      <w:rFonts w:ascii="Times New Roman" w:hAnsi="Times New Roman"/>
      <w:bCs/>
      <w:sz w:val="28"/>
      <w:szCs w:val="28"/>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qFormat/>
    <w:uiPriority w:val="0"/>
    <w:pPr>
      <w:ind w:left="100" w:leftChars="25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jc w:val="left"/>
    </w:pPr>
    <w:rPr>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character" w:styleId="11">
    <w:name w:val="Hyperlink"/>
    <w:basedOn w:val="9"/>
    <w:qFormat/>
    <w:uiPriority w:val="99"/>
    <w:rPr>
      <w:rFonts w:cs="Times New Roman"/>
      <w:color w:val="0000FF"/>
      <w:u w:val="single"/>
    </w:rPr>
  </w:style>
  <w:style w:type="paragraph" w:customStyle="1" w:styleId="12">
    <w:name w:val="列出段落1"/>
    <w:basedOn w:val="1"/>
    <w:qFormat/>
    <w:uiPriority w:val="0"/>
    <w:pPr>
      <w:ind w:firstLine="420" w:firstLineChars="200"/>
    </w:pPr>
    <w:rPr>
      <w:rFonts w:ascii="Calibri" w:hAnsi="Calibri"/>
      <w:szCs w:val="22"/>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信念技术论坛</Company>
  <Pages>18</Pages>
  <Words>1599</Words>
  <Characters>9119</Characters>
  <Lines>75</Lines>
  <Paragraphs>21</Paragraphs>
  <TotalTime>1</TotalTime>
  <ScaleCrop>false</ScaleCrop>
  <LinksUpToDate>false</LinksUpToDate>
  <CharactersWithSpaces>10697</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2018-05-31T03:15:00Z</dcterms:created>
  <dc:creator>Administrator</dc:creator>
  <cp:lastModifiedBy>Administrator</cp:lastModifiedBy>
  <cp:lastPrinted>2017-12-04T09:37:00Z</cp:lastPrinted>
  <dcterms:modified xsi:type="dcterms:W3CDTF">2020-08-26T01:56:47Z</dcterms:modified>
  <dc:title>益赫财办〔2013〕15号</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