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880" w:firstLineChars="200"/>
        <w:jc w:val="both"/>
        <w:textAlignment w:val="auto"/>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000000"/>
          <w:sz w:val="44"/>
          <w:szCs w:val="44"/>
          <w:highlight w:val="none"/>
        </w:rPr>
        <w:t>2019年度</w:t>
      </w:r>
      <w:r>
        <w:rPr>
          <w:rFonts w:hint="eastAsia" w:ascii="方正小标宋简体" w:hAnsi="方正小标宋简体" w:eastAsia="方正小标宋简体" w:cs="方正小标宋简体"/>
          <w:color w:val="auto"/>
          <w:sz w:val="44"/>
          <w:szCs w:val="44"/>
          <w:highlight w:val="none"/>
          <w:lang w:val="zh-CN"/>
        </w:rPr>
        <w:t>益阳市沧水铺镇人民政府</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lang w:val="en-US"/>
        </w:rPr>
        <w:t>部门决算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00000"/>
          <w:kern w:val="0"/>
          <w:sz w:val="44"/>
          <w:highlight w:val="none"/>
          <w:lang w:val="en-US"/>
        </w:rPr>
      </w:pPr>
      <w:r>
        <w:rPr>
          <w:rFonts w:hint="eastAsia" w:ascii="黑体" w:hAnsi="黑体" w:eastAsia="黑体" w:cs="黑体"/>
          <w:b w:val="0"/>
          <w:bCs/>
          <w:color w:val="000000"/>
          <w:kern w:val="0"/>
          <w:sz w:val="44"/>
          <w:highlight w:val="none"/>
          <w:lang w:val="en-US"/>
        </w:rPr>
        <w:t xml:space="preserve">目 </w:t>
      </w:r>
      <w:r>
        <w:rPr>
          <w:rFonts w:hint="eastAsia" w:ascii="黑体" w:hAnsi="黑体" w:eastAsia="黑体" w:cs="黑体"/>
          <w:b w:val="0"/>
          <w:bCs/>
          <w:color w:val="000000"/>
          <w:kern w:val="0"/>
          <w:sz w:val="44"/>
          <w:highlight w:val="none"/>
          <w:lang w:val="en-US" w:eastAsia="zh-CN"/>
        </w:rPr>
        <w:t xml:space="preserve"> </w:t>
      </w:r>
      <w:r>
        <w:rPr>
          <w:rFonts w:hint="eastAsia" w:ascii="黑体" w:hAnsi="黑体" w:eastAsia="黑体" w:cs="黑体"/>
          <w:b w:val="0"/>
          <w:bCs/>
          <w:color w:val="000000"/>
          <w:kern w:val="0"/>
          <w:sz w:val="44"/>
          <w:highlight w:val="none"/>
          <w:lang w:val="en-US"/>
        </w:rPr>
        <w:t>录</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楷体_GB2312" w:hAnsi="楷体_GB2312" w:eastAsia="楷体_GB2312" w:cs="楷体_GB2312"/>
          <w:b/>
          <w:bCs w:val="0"/>
          <w:color w:val="000000"/>
          <w:kern w:val="0"/>
          <w:sz w:val="28"/>
          <w:highlight w:val="none"/>
          <w:lang w:val="en-US"/>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楷体_GB2312" w:hAnsi="楷体_GB2312" w:eastAsia="楷体_GB2312" w:cs="楷体_GB2312"/>
          <w:b/>
          <w:bCs w:val="0"/>
          <w:color w:val="000000"/>
          <w:kern w:val="0"/>
          <w:sz w:val="32"/>
          <w:szCs w:val="32"/>
          <w:highlight w:val="none"/>
          <w:lang w:val="en-US"/>
        </w:rPr>
      </w:pPr>
      <w:r>
        <w:rPr>
          <w:rFonts w:hint="eastAsia" w:ascii="楷体_GB2312" w:hAnsi="楷体_GB2312" w:eastAsia="楷体_GB2312" w:cs="楷体_GB2312"/>
          <w:b/>
          <w:bCs w:val="0"/>
          <w:color w:val="000000"/>
          <w:kern w:val="0"/>
          <w:sz w:val="32"/>
          <w:szCs w:val="32"/>
          <w:highlight w:val="none"/>
          <w:lang w:val="en-US"/>
        </w:rPr>
        <w:t>第一部分</w:t>
      </w:r>
      <w:r>
        <w:rPr>
          <w:rFonts w:hint="eastAsia" w:ascii="楷体_GB2312" w:hAnsi="楷体_GB2312" w:eastAsia="楷体_GB2312" w:cs="楷体_GB2312"/>
          <w:b/>
          <w:bCs w:val="0"/>
          <w:color w:val="000000"/>
          <w:kern w:val="0"/>
          <w:sz w:val="32"/>
          <w:szCs w:val="32"/>
          <w:highlight w:val="none"/>
          <w:lang w:val="en-US" w:eastAsia="zh-CN"/>
        </w:rPr>
        <w:t xml:space="preserve"> </w:t>
      </w:r>
      <w:r>
        <w:rPr>
          <w:rFonts w:hint="eastAsia" w:ascii="楷体_GB2312" w:hAnsi="楷体_GB2312" w:eastAsia="楷体_GB2312" w:cs="楷体_GB2312"/>
          <w:b/>
          <w:bCs w:val="0"/>
          <w:color w:val="auto"/>
          <w:sz w:val="32"/>
          <w:szCs w:val="32"/>
          <w:highlight w:val="none"/>
          <w:lang w:val="zh-CN"/>
        </w:rPr>
        <w:t>益阳市</w:t>
      </w:r>
      <w:r>
        <w:rPr>
          <w:rFonts w:hint="eastAsia" w:ascii="楷体_GB2312" w:hAnsi="楷体_GB2312" w:eastAsia="楷体_GB2312" w:cs="楷体_GB2312"/>
          <w:b/>
          <w:bCs w:val="0"/>
          <w:color w:val="auto"/>
          <w:sz w:val="32"/>
          <w:szCs w:val="32"/>
          <w:highlight w:val="none"/>
          <w:lang w:val="zh-CN" w:eastAsia="zh-CN"/>
        </w:rPr>
        <w:t>赫山区</w:t>
      </w:r>
      <w:r>
        <w:rPr>
          <w:rFonts w:hint="eastAsia" w:ascii="楷体_GB2312" w:hAnsi="楷体_GB2312" w:eastAsia="楷体_GB2312" w:cs="楷体_GB2312"/>
          <w:b/>
          <w:bCs w:val="0"/>
          <w:color w:val="auto"/>
          <w:sz w:val="32"/>
          <w:szCs w:val="32"/>
          <w:highlight w:val="none"/>
          <w:lang w:val="zh-CN"/>
        </w:rPr>
        <w:t>沧水铺镇人民政府</w:t>
      </w:r>
      <w:r>
        <w:rPr>
          <w:rFonts w:hint="eastAsia" w:ascii="楷体_GB2312" w:hAnsi="楷体_GB2312" w:eastAsia="楷体_GB2312" w:cs="楷体_GB2312"/>
          <w:b/>
          <w:bCs w:val="0"/>
          <w:color w:val="000000"/>
          <w:kern w:val="0"/>
          <w:sz w:val="32"/>
          <w:szCs w:val="32"/>
          <w:highlight w:val="none"/>
          <w:lang w:val="en-US"/>
        </w:rPr>
        <w:t>概况</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一、部门职责</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二、机构设置</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both"/>
        <w:textAlignment w:val="auto"/>
        <w:rPr>
          <w:rFonts w:hint="default" w:ascii="楷体_GB2312" w:hAnsi="楷体_GB2312" w:eastAsia="楷体_GB2312" w:cs="楷体_GB2312"/>
          <w:b/>
          <w:color w:val="000000"/>
          <w:kern w:val="0"/>
          <w:sz w:val="32"/>
          <w:szCs w:val="32"/>
          <w:highlight w:val="none"/>
          <w:lang w:val="en-US"/>
        </w:rPr>
      </w:pPr>
      <w:r>
        <w:rPr>
          <w:rFonts w:hint="eastAsia" w:ascii="楷体_GB2312" w:hAnsi="楷体_GB2312" w:eastAsia="楷体_GB2312" w:cs="楷体_GB2312"/>
          <w:b/>
          <w:color w:val="000000"/>
          <w:kern w:val="0"/>
          <w:sz w:val="32"/>
          <w:szCs w:val="32"/>
          <w:highlight w:val="none"/>
          <w:lang w:val="en-US"/>
        </w:rPr>
        <w:t>第二部分</w:t>
      </w:r>
      <w:r>
        <w:rPr>
          <w:rFonts w:hint="eastAsia" w:ascii="楷体_GB2312" w:hAnsi="楷体_GB2312" w:eastAsia="楷体_GB2312" w:cs="楷体_GB2312"/>
          <w:b/>
          <w:color w:val="000000"/>
          <w:kern w:val="0"/>
          <w:sz w:val="32"/>
          <w:szCs w:val="32"/>
          <w:highlight w:val="none"/>
          <w:lang w:val="en-US" w:eastAsia="zh-CN"/>
        </w:rPr>
        <w:t xml:space="preserve"> </w:t>
      </w:r>
      <w:r>
        <w:rPr>
          <w:rFonts w:hint="eastAsia" w:ascii="楷体_GB2312" w:hAnsi="楷体_GB2312" w:eastAsia="楷体_GB2312" w:cs="楷体_GB2312"/>
          <w:b/>
          <w:color w:val="000000"/>
          <w:kern w:val="0"/>
          <w:sz w:val="32"/>
          <w:szCs w:val="32"/>
          <w:highlight w:val="none"/>
          <w:lang w:val="zh-CN"/>
        </w:rPr>
        <w:t>益阳市</w:t>
      </w:r>
      <w:r>
        <w:rPr>
          <w:rFonts w:hint="eastAsia" w:ascii="楷体_GB2312" w:hAnsi="楷体_GB2312" w:eastAsia="楷体_GB2312" w:cs="楷体_GB2312"/>
          <w:b/>
          <w:color w:val="000000"/>
          <w:kern w:val="0"/>
          <w:sz w:val="32"/>
          <w:szCs w:val="32"/>
          <w:highlight w:val="none"/>
          <w:lang w:val="zh-CN" w:eastAsia="zh-CN"/>
        </w:rPr>
        <w:t>赫山区</w:t>
      </w:r>
      <w:r>
        <w:rPr>
          <w:rFonts w:hint="eastAsia" w:ascii="楷体_GB2312" w:hAnsi="楷体_GB2312" w:eastAsia="楷体_GB2312" w:cs="楷体_GB2312"/>
          <w:b/>
          <w:color w:val="000000"/>
          <w:kern w:val="0"/>
          <w:sz w:val="32"/>
          <w:szCs w:val="32"/>
          <w:highlight w:val="none"/>
          <w:lang w:val="zh-CN"/>
        </w:rPr>
        <w:t>沧水铺镇</w:t>
      </w:r>
      <w:r>
        <w:rPr>
          <w:rFonts w:hint="eastAsia" w:ascii="楷体_GB2312" w:hAnsi="楷体_GB2312" w:eastAsia="楷体_GB2312" w:cs="楷体_GB2312"/>
          <w:b/>
          <w:color w:val="000000"/>
          <w:kern w:val="0"/>
          <w:sz w:val="32"/>
          <w:szCs w:val="32"/>
          <w:highlight w:val="none"/>
          <w:lang w:val="en-US"/>
        </w:rPr>
        <w:t>2019年度部门决算表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一、收入支出决算总表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二、收入决算表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三、支出决算表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四、财政拨款收入支出决算总表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五、一般公共预算财政拨款支出决算表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六、一般公共预算财政拨款基本支出决算表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七、一般公共预算财政拨款“三公”经费支出决算表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八、政府性基金预算财政拨款收入支出决算表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both"/>
        <w:textAlignment w:val="auto"/>
        <w:rPr>
          <w:rFonts w:hint="default" w:ascii="楷体_GB2312" w:hAnsi="楷体_GB2312" w:eastAsia="楷体_GB2312" w:cs="楷体_GB2312"/>
          <w:b/>
          <w:color w:val="000000"/>
          <w:kern w:val="0"/>
          <w:sz w:val="32"/>
          <w:szCs w:val="32"/>
          <w:highlight w:val="none"/>
          <w:lang w:val="en-US"/>
        </w:rPr>
      </w:pPr>
      <w:r>
        <w:rPr>
          <w:rFonts w:hint="eastAsia" w:ascii="楷体_GB2312" w:hAnsi="楷体_GB2312" w:eastAsia="楷体_GB2312" w:cs="楷体_GB2312"/>
          <w:b/>
          <w:color w:val="000000"/>
          <w:kern w:val="0"/>
          <w:sz w:val="32"/>
          <w:szCs w:val="32"/>
          <w:highlight w:val="none"/>
          <w:lang w:val="en-US"/>
        </w:rPr>
        <w:t>第三部分</w:t>
      </w:r>
      <w:r>
        <w:rPr>
          <w:rFonts w:hint="eastAsia" w:ascii="楷体_GB2312" w:hAnsi="楷体_GB2312" w:eastAsia="楷体_GB2312" w:cs="楷体_GB2312"/>
          <w:b/>
          <w:color w:val="000000"/>
          <w:kern w:val="0"/>
          <w:sz w:val="32"/>
          <w:szCs w:val="32"/>
          <w:highlight w:val="none"/>
          <w:lang w:val="en-US" w:eastAsia="zh-CN"/>
        </w:rPr>
        <w:t xml:space="preserve"> </w:t>
      </w:r>
      <w:r>
        <w:rPr>
          <w:rFonts w:hint="eastAsia" w:ascii="楷体_GB2312" w:hAnsi="楷体_GB2312" w:eastAsia="楷体_GB2312" w:cs="楷体_GB2312"/>
          <w:b/>
          <w:color w:val="000000"/>
          <w:kern w:val="0"/>
          <w:sz w:val="32"/>
          <w:szCs w:val="32"/>
          <w:highlight w:val="none"/>
          <w:lang w:val="zh-CN"/>
        </w:rPr>
        <w:t>益阳市</w:t>
      </w:r>
      <w:r>
        <w:rPr>
          <w:rFonts w:hint="eastAsia" w:ascii="楷体_GB2312" w:hAnsi="楷体_GB2312" w:eastAsia="楷体_GB2312" w:cs="楷体_GB2312"/>
          <w:b/>
          <w:color w:val="000000"/>
          <w:kern w:val="0"/>
          <w:sz w:val="32"/>
          <w:szCs w:val="32"/>
          <w:highlight w:val="none"/>
          <w:lang w:val="zh-CN" w:eastAsia="zh-CN"/>
        </w:rPr>
        <w:t>赫山区</w:t>
      </w:r>
      <w:r>
        <w:rPr>
          <w:rFonts w:hint="eastAsia" w:ascii="楷体_GB2312" w:hAnsi="楷体_GB2312" w:eastAsia="楷体_GB2312" w:cs="楷体_GB2312"/>
          <w:b/>
          <w:color w:val="000000"/>
          <w:kern w:val="0"/>
          <w:sz w:val="32"/>
          <w:szCs w:val="32"/>
          <w:highlight w:val="none"/>
          <w:lang w:val="zh-CN"/>
        </w:rPr>
        <w:t>沧水铺镇</w:t>
      </w:r>
      <w:r>
        <w:rPr>
          <w:rFonts w:hint="eastAsia" w:ascii="楷体_GB2312" w:hAnsi="楷体_GB2312" w:eastAsia="楷体_GB2312" w:cs="楷体_GB2312"/>
          <w:b/>
          <w:color w:val="000000"/>
          <w:kern w:val="0"/>
          <w:sz w:val="32"/>
          <w:szCs w:val="32"/>
          <w:highlight w:val="none"/>
          <w:lang w:val="en-US"/>
        </w:rPr>
        <w:t>2019年度部门决算情况说明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一、收入支出决算总体情况说明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二、收入决算情况说明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三、支出决算情况说明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四、财政拨款收入支出决算总体情况说明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五、一般公共预算财政拨款支出决算情况说明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六、一般公共预算财政拨款基本支出决算情况说明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七、一般公共预算财政拨款三公经费支出决算情况说明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八、政府性基金预算收入支出决算情况</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九、预算绩效情况说明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default" w:ascii="仿宋_GB2312" w:hAnsi="仿宋_GB2312" w:eastAsia="仿宋_GB2312" w:cs="仿宋_GB2312"/>
          <w:color w:val="auto"/>
          <w:kern w:val="0"/>
          <w:sz w:val="32"/>
          <w:szCs w:val="32"/>
          <w:highlight w:val="none"/>
          <w:shd w:val="clear" w:color="auto" w:fill="auto"/>
          <w:lang w:val="en-US"/>
        </w:rPr>
      </w:pPr>
      <w:r>
        <w:rPr>
          <w:rFonts w:hint="eastAsia" w:ascii="仿宋_GB2312" w:hAnsi="仿宋_GB2312" w:eastAsia="仿宋_GB2312" w:cs="仿宋_GB2312"/>
          <w:color w:val="auto"/>
          <w:kern w:val="0"/>
          <w:sz w:val="32"/>
          <w:szCs w:val="32"/>
          <w:highlight w:val="none"/>
          <w:shd w:val="clear" w:color="auto" w:fill="auto"/>
          <w:lang w:val="en-US"/>
        </w:rPr>
        <w:t>十、其他重要事项情况说明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both"/>
        <w:textAlignment w:val="auto"/>
        <w:rPr>
          <w:rFonts w:hint="default" w:ascii="楷体_GB2312" w:hAnsi="楷体_GB2312" w:eastAsia="楷体_GB2312" w:cs="楷体_GB2312"/>
          <w:b/>
          <w:color w:val="000000"/>
          <w:kern w:val="0"/>
          <w:sz w:val="32"/>
          <w:szCs w:val="32"/>
          <w:highlight w:val="none"/>
          <w:lang w:val="en-US"/>
        </w:rPr>
      </w:pPr>
      <w:r>
        <w:rPr>
          <w:rFonts w:hint="eastAsia" w:ascii="楷体_GB2312" w:hAnsi="楷体_GB2312" w:eastAsia="楷体_GB2312" w:cs="楷体_GB2312"/>
          <w:b/>
          <w:color w:val="000000"/>
          <w:kern w:val="0"/>
          <w:sz w:val="32"/>
          <w:szCs w:val="32"/>
          <w:highlight w:val="none"/>
          <w:lang w:val="en-US"/>
        </w:rPr>
        <w:t>第四部分</w:t>
      </w:r>
      <w:r>
        <w:rPr>
          <w:rFonts w:hint="eastAsia" w:ascii="楷体_GB2312" w:hAnsi="楷体_GB2312" w:eastAsia="楷体_GB2312" w:cs="楷体_GB2312"/>
          <w:b/>
          <w:color w:val="000000"/>
          <w:kern w:val="0"/>
          <w:sz w:val="32"/>
          <w:szCs w:val="32"/>
          <w:highlight w:val="none"/>
          <w:lang w:val="en-US" w:eastAsia="zh-CN"/>
        </w:rPr>
        <w:t xml:space="preserve"> </w:t>
      </w:r>
      <w:r>
        <w:rPr>
          <w:rFonts w:hint="eastAsia" w:ascii="楷体_GB2312" w:hAnsi="楷体_GB2312" w:eastAsia="楷体_GB2312" w:cs="楷体_GB2312"/>
          <w:b/>
          <w:color w:val="000000"/>
          <w:kern w:val="0"/>
          <w:sz w:val="32"/>
          <w:szCs w:val="32"/>
          <w:highlight w:val="none"/>
          <w:lang w:val="en-US"/>
        </w:rPr>
        <w:t>名词解释</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both"/>
        <w:textAlignment w:val="auto"/>
        <w:rPr>
          <w:rFonts w:hint="default" w:ascii="楷体_GB2312" w:hAnsi="楷体_GB2312" w:eastAsia="楷体_GB2312" w:cs="楷体_GB2312"/>
          <w:b/>
          <w:color w:val="000000"/>
          <w:kern w:val="0"/>
          <w:sz w:val="32"/>
          <w:szCs w:val="32"/>
          <w:highlight w:val="none"/>
          <w:lang w:val="zh-CN"/>
        </w:rPr>
      </w:pPr>
      <w:r>
        <w:rPr>
          <w:rFonts w:hint="eastAsia" w:ascii="楷体_GB2312" w:hAnsi="楷体_GB2312" w:eastAsia="楷体_GB2312" w:cs="楷体_GB2312"/>
          <w:b/>
          <w:color w:val="000000"/>
          <w:kern w:val="0"/>
          <w:sz w:val="32"/>
          <w:szCs w:val="32"/>
          <w:highlight w:val="none"/>
          <w:lang w:val="en-US"/>
        </w:rPr>
        <w:t>第五部分</w:t>
      </w:r>
      <w:r>
        <w:rPr>
          <w:rFonts w:hint="eastAsia" w:ascii="楷体_GB2312" w:hAnsi="楷体_GB2312" w:eastAsia="楷体_GB2312" w:cs="楷体_GB2312"/>
          <w:b/>
          <w:color w:val="000000"/>
          <w:kern w:val="0"/>
          <w:sz w:val="32"/>
          <w:szCs w:val="32"/>
          <w:highlight w:val="none"/>
          <w:lang w:val="en-US" w:eastAsia="zh-CN"/>
        </w:rPr>
        <w:t xml:space="preserve"> </w:t>
      </w:r>
      <w:r>
        <w:rPr>
          <w:rFonts w:hint="eastAsia" w:ascii="楷体_GB2312" w:hAnsi="楷体_GB2312" w:eastAsia="楷体_GB2312" w:cs="楷体_GB2312"/>
          <w:b/>
          <w:color w:val="000000"/>
          <w:kern w:val="0"/>
          <w:sz w:val="32"/>
          <w:szCs w:val="32"/>
          <w:highlight w:val="none"/>
          <w:lang w:val="en-US"/>
        </w:rPr>
        <w:t>附件</w:t>
      </w:r>
    </w:p>
    <w:p>
      <w:pPr>
        <w:keepNext w:val="0"/>
        <w:keepLines w:val="0"/>
        <w:pageBreakBefore w:val="0"/>
        <w:widowControl w:val="0"/>
        <w:kinsoku/>
        <w:wordWrap/>
        <w:overflowPunct/>
        <w:topLinePunct w:val="0"/>
        <w:autoSpaceDE/>
        <w:autoSpaceDN/>
        <w:bidi w:val="0"/>
        <w:adjustRightInd/>
        <w:snapToGrid/>
        <w:spacing w:beforeAutospacing="0" w:line="560" w:lineRule="exact"/>
        <w:ind w:left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rPr>
      </w:pPr>
      <w:r>
        <w:rPr>
          <w:rFonts w:hint="eastAsia" w:ascii="方正小标宋简体" w:hAnsi="方正小标宋简体" w:eastAsia="方正小标宋简体" w:cs="方正小标宋简体"/>
          <w:b/>
          <w:bCs/>
          <w:color w:val="auto"/>
          <w:sz w:val="44"/>
          <w:szCs w:val="44"/>
          <w:highlight w:val="none"/>
          <w:lang w:val="en-US"/>
        </w:rPr>
        <w:br w:type="page"/>
      </w:r>
      <w:r>
        <w:rPr>
          <w:rFonts w:hint="eastAsia" w:ascii="方正小标宋简体" w:hAnsi="方正小标宋简体" w:eastAsia="方正小标宋简体" w:cs="方正小标宋简体"/>
          <w:b w:val="0"/>
          <w:bCs w:val="0"/>
          <w:color w:val="auto"/>
          <w:sz w:val="44"/>
          <w:szCs w:val="44"/>
          <w:highlight w:val="none"/>
          <w:lang w:val="en-US"/>
        </w:rPr>
        <w:t>第一部分</w:t>
      </w:r>
    </w:p>
    <w:p>
      <w:pPr>
        <w:keepNext w:val="0"/>
        <w:keepLines w:val="0"/>
        <w:pageBreakBefore w:val="0"/>
        <w:widowControl w:val="0"/>
        <w:kinsoku/>
        <w:wordWrap/>
        <w:overflowPunct/>
        <w:topLinePunct w:val="0"/>
        <w:autoSpaceDE/>
        <w:autoSpaceDN/>
        <w:bidi w:val="0"/>
        <w:adjustRightInd/>
        <w:snapToGrid/>
        <w:spacing w:beforeAutospacing="0" w:line="560" w:lineRule="exact"/>
        <w:ind w:left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rPr>
      </w:pPr>
      <w:r>
        <w:rPr>
          <w:rFonts w:hint="eastAsia" w:ascii="方正小标宋简体" w:hAnsi="方正小标宋简体" w:eastAsia="方正小标宋简体" w:cs="方正小标宋简体"/>
          <w:b w:val="0"/>
          <w:bCs w:val="0"/>
          <w:color w:val="auto"/>
          <w:sz w:val="44"/>
          <w:szCs w:val="44"/>
          <w:highlight w:val="none"/>
          <w:lang w:val="zh-CN"/>
        </w:rPr>
        <w:t>益阳市赫山区沧水铺镇人民政府</w:t>
      </w:r>
      <w:r>
        <w:rPr>
          <w:rFonts w:hint="eastAsia" w:ascii="方正小标宋简体" w:hAnsi="方正小标宋简体" w:eastAsia="方正小标宋简体" w:cs="方正小标宋简体"/>
          <w:b w:val="0"/>
          <w:bCs w:val="0"/>
          <w:color w:val="auto"/>
          <w:sz w:val="44"/>
          <w:szCs w:val="44"/>
          <w:highlight w:val="none"/>
          <w:lang w:val="en-US"/>
        </w:rPr>
        <w:t>概况</w:t>
      </w:r>
    </w:p>
    <w:p>
      <w:pPr>
        <w:keepNext w:val="0"/>
        <w:keepLines w:val="0"/>
        <w:pageBreakBefore w:val="0"/>
        <w:widowControl w:val="0"/>
        <w:kinsoku/>
        <w:wordWrap/>
        <w:overflowPunct/>
        <w:topLinePunct w:val="0"/>
        <w:autoSpaceDE/>
        <w:autoSpaceDN/>
        <w:bidi w:val="0"/>
        <w:adjustRightInd/>
        <w:snapToGrid/>
        <w:spacing w:beforeAutospacing="0" w:line="560" w:lineRule="exact"/>
        <w:ind w:leftChars="0"/>
        <w:jc w:val="center"/>
        <w:textAlignment w:val="auto"/>
        <w:rPr>
          <w:rFonts w:hint="eastAsia" w:ascii="黑体" w:hAnsi="黑体" w:eastAsia="黑体" w:cs="黑体"/>
          <w:b w:val="0"/>
          <w:bCs w:val="0"/>
          <w:color w:val="auto"/>
          <w:sz w:val="32"/>
          <w:highlight w:val="none"/>
          <w:lang w:val="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Chars="0"/>
        <w:jc w:val="both"/>
        <w:textAlignment w:val="auto"/>
        <w:rPr>
          <w:rFonts w:hint="eastAsia" w:ascii="黑体" w:hAnsi="黑体" w:eastAsia="黑体" w:cs="黑体"/>
          <w:b w:val="0"/>
          <w:bCs w:val="0"/>
          <w:color w:val="auto"/>
          <w:sz w:val="32"/>
          <w:highlight w:val="none"/>
          <w:lang w:val="zh-CN"/>
        </w:rPr>
      </w:pPr>
      <w:r>
        <w:rPr>
          <w:rFonts w:hint="eastAsia" w:ascii="黑体" w:hAnsi="黑体" w:eastAsia="黑体" w:cs="黑体"/>
          <w:b w:val="0"/>
          <w:bCs w:val="0"/>
          <w:color w:val="auto"/>
          <w:sz w:val="32"/>
          <w:highlight w:val="none"/>
          <w:lang w:val="zh-CN"/>
        </w:rPr>
        <w:t>一、部门职责</w:t>
      </w:r>
    </w:p>
    <w:p>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沧水铺镇人民政府系正科级行政机关。单位办公地址位于赫山区沧水铺云峰路。根据赫山区机构编制委员会办公室《关于印发赫山区乡镇机关智能配置、内设机构和人员编制规定的通知》文件精神，本单位主要职责：</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（1）党政综合办：</w:t>
      </w:r>
      <w:r>
        <w:rPr>
          <w:rFonts w:hint="eastAsia" w:ascii="仿宋_GB2312" w:hAnsi="仿宋_GB2312" w:eastAsia="仿宋_GB2312" w:cs="仿宋_GB2312"/>
          <w:color w:val="000000"/>
          <w:kern w:val="0"/>
          <w:sz w:val="32"/>
          <w:szCs w:val="32"/>
          <w:highlight w:val="none"/>
          <w:lang w:val="en-US" w:eastAsia="zh-CN"/>
        </w:rPr>
        <w:t>承担党委、人大、政府、人武部、上级政协交办的日常工作和社会治安综合治理、社会稳定、教育、工青妇、民族宗教及各部门、各方面的综合协调等工作，督促检查有关工作的落实。</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（2）财政所：</w:t>
      </w:r>
      <w:r>
        <w:rPr>
          <w:rFonts w:hint="eastAsia" w:ascii="仿宋_GB2312" w:hAnsi="仿宋_GB2312" w:eastAsia="仿宋_GB2312" w:cs="仿宋_GB2312"/>
          <w:color w:val="000000"/>
          <w:kern w:val="0"/>
          <w:sz w:val="32"/>
          <w:szCs w:val="32"/>
          <w:highlight w:val="none"/>
          <w:lang w:val="en-US" w:eastAsia="zh-CN"/>
        </w:rPr>
        <w:t>主要承担一般预算资金的收支管理、部门综合预算管理、非税收入的征管、国有资产管理、财政专项资金管理、财政监督、税收协管等工作。加强镇级财政的监管和管理，按计划组织、管理镇财政收入和支出，执行国家有关财经纪律和政策，保证国家财政收入的完成;做好统计工作。 </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（3）文体卫站：</w:t>
      </w:r>
      <w:r>
        <w:rPr>
          <w:rFonts w:hint="eastAsia" w:ascii="仿宋_GB2312" w:hAnsi="仿宋_GB2312" w:eastAsia="仿宋_GB2312" w:cs="仿宋_GB2312"/>
          <w:color w:val="000000"/>
          <w:kern w:val="0"/>
          <w:sz w:val="32"/>
          <w:szCs w:val="32"/>
          <w:highlight w:val="none"/>
          <w:lang w:val="en-US" w:eastAsia="zh-CN"/>
        </w:rPr>
        <w:t>抓好精神文明建设，丰富群众文化生活，提倡移风易俗，反对封建迷信，破除陈规陋习，树立社会主义新风尚。</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（4）经济发展办：</w:t>
      </w:r>
      <w:r>
        <w:rPr>
          <w:rFonts w:hint="eastAsia" w:ascii="仿宋_GB2312" w:hAnsi="仿宋_GB2312" w:eastAsia="仿宋_GB2312" w:cs="仿宋_GB2312"/>
          <w:color w:val="000000"/>
          <w:kern w:val="0"/>
          <w:sz w:val="32"/>
          <w:szCs w:val="32"/>
          <w:highlight w:val="none"/>
          <w:lang w:val="en-US" w:eastAsia="zh-CN"/>
        </w:rPr>
        <w:t>承担经济发展规划的制定和落实，一、二、三次产业的指导、管理；负责招商引资、发展乡镇工业、科技科普、安全生产及监管工作；承担农民负担监督管理、农村土地承包管理、集体资产与村级财务管理指导、农民专业合作组织管理及统计等工作；负责农村能源开发、利用与管理；协调与发展经济相关的其他工作。</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（5）民政与劳动保障办：</w:t>
      </w:r>
      <w:r>
        <w:rPr>
          <w:rFonts w:hint="eastAsia" w:ascii="仿宋_GB2312" w:hAnsi="仿宋_GB2312" w:eastAsia="仿宋_GB2312" w:cs="仿宋_GB2312"/>
          <w:color w:val="000000"/>
          <w:kern w:val="0"/>
          <w:sz w:val="32"/>
          <w:szCs w:val="32"/>
          <w:highlight w:val="none"/>
          <w:lang w:val="en-US" w:eastAsia="zh-CN"/>
        </w:rPr>
        <w:t>承担各种自然灾害应对预案的建立健全、组织救灾救济、辖区殡葬改革、婚姻管理、城乡困难人员的最低生活保障、优待抚恤、“五保户”和“三无”对象的供养；劳动力资源管理、开展职业技能培训和劳务输出、劳动争议调解、社会保险服务；承担残疾人就业、教育、康复、扶助、维权等工作。</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（6）卫计办：</w:t>
      </w:r>
      <w:r>
        <w:rPr>
          <w:rFonts w:hint="eastAsia" w:ascii="仿宋_GB2312" w:hAnsi="仿宋_GB2312" w:eastAsia="仿宋_GB2312" w:cs="仿宋_GB2312"/>
          <w:color w:val="000000"/>
          <w:kern w:val="0"/>
          <w:sz w:val="32"/>
          <w:szCs w:val="32"/>
          <w:highlight w:val="none"/>
          <w:lang w:val="en-US" w:eastAsia="zh-CN"/>
        </w:rPr>
        <w:t>负责计划生育工作的综合管理，宣传贯彻实施国家和地方的计划生育方针、政策及法律法规；负责计生数据、信息的收集、调查和统计上报，落实人口计划；负责对计划生育服务站的归口管理和对计生协会工作的指导；负责对村级计生工作管理和人员的培训。</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（7）农业综合服务站：</w:t>
      </w:r>
      <w:r>
        <w:rPr>
          <w:rFonts w:hint="eastAsia" w:ascii="仿宋_GB2312" w:hAnsi="仿宋_GB2312" w:eastAsia="仿宋_GB2312" w:cs="仿宋_GB2312"/>
          <w:color w:val="000000"/>
          <w:kern w:val="0"/>
          <w:sz w:val="32"/>
          <w:szCs w:val="32"/>
          <w:highlight w:val="none"/>
          <w:lang w:val="en-US" w:eastAsia="zh-CN"/>
        </w:rPr>
        <w:t>承担农技、农机、新技术的试验示范、培训推广和病虫害预测预报及防治指导等工作。</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i w:val="0"/>
          <w:iCs w:val="0"/>
          <w:color w:val="auto"/>
          <w:sz w:val="32"/>
          <w:highlight w:val="none"/>
          <w:lang w:val="en-US"/>
        </w:rPr>
      </w:pPr>
      <w:r>
        <w:rPr>
          <w:rFonts w:hint="eastAsia" w:ascii="黑体" w:hAnsi="黑体" w:eastAsia="黑体" w:cs="黑体"/>
          <w:b w:val="0"/>
          <w:bCs w:val="0"/>
          <w:i w:val="0"/>
          <w:iCs w:val="0"/>
          <w:color w:val="auto"/>
          <w:sz w:val="32"/>
          <w:highlight w:val="none"/>
          <w:lang w:val="en-US"/>
        </w:rPr>
        <w:t>二、机构设置</w:t>
      </w:r>
      <w:r>
        <w:rPr>
          <w:rFonts w:hint="eastAsia" w:ascii="黑体" w:hAnsi="黑体" w:eastAsia="黑体" w:cs="黑体"/>
          <w:b w:val="0"/>
          <w:bCs w:val="0"/>
          <w:i w:val="0"/>
          <w:iCs w:val="0"/>
          <w:color w:val="auto"/>
          <w:sz w:val="32"/>
          <w:highlight w:val="none"/>
          <w:lang w:val="zh-CN"/>
        </w:rPr>
        <w:t>及</w:t>
      </w:r>
      <w:r>
        <w:rPr>
          <w:rFonts w:hint="eastAsia" w:ascii="黑体" w:hAnsi="黑体" w:eastAsia="黑体" w:cs="黑体"/>
          <w:b w:val="0"/>
          <w:bCs w:val="0"/>
          <w:i w:val="0"/>
          <w:iCs w:val="0"/>
          <w:color w:val="auto"/>
          <w:sz w:val="32"/>
          <w:highlight w:val="none"/>
          <w:lang w:val="en-US"/>
        </w:rPr>
        <w:t>决算单位构成</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（一）机构设置情况</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本单位内设21个机构，其中包括行政机构3个，分别为：共产党机关、行政机关、人大机关等，事业单位19个，分别为党政综合办、财政所、卫计办、水利管理站、农业综合服务站、文体卫站、司法所、综治办、民政与劳动保障办、经济发展办、国土规划建设环保所、爱卫办、林业管理站、动物防疫站、安监站、扶贫办、公路站、农清办、食药监所等。截止2019年12月31日实有在职行政编制人员40人，在职事业编制人员45人，在职自收自支人员9人、离退休人员70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楷体_GB2312" w:hAnsi="楷体_GB2312" w:eastAsia="楷体_GB2312" w:cs="楷体_GB2312"/>
          <w:b/>
          <w:bCs/>
          <w:color w:val="000000"/>
          <w:kern w:val="0"/>
          <w:sz w:val="32"/>
          <w:szCs w:val="32"/>
          <w:highlight w:val="none"/>
          <w:lang w:val="en-US" w:eastAsia="zh-CN"/>
        </w:rPr>
      </w:pPr>
      <w:r>
        <w:rPr>
          <w:rFonts w:hint="eastAsia" w:ascii="楷体_GB2312" w:hAnsi="楷体_GB2312" w:eastAsia="楷体_GB2312" w:cs="楷体_GB2312"/>
          <w:b/>
          <w:bCs/>
          <w:color w:val="000000"/>
          <w:kern w:val="0"/>
          <w:sz w:val="32"/>
          <w:szCs w:val="32"/>
          <w:highlight w:val="none"/>
          <w:lang w:val="en-US" w:eastAsia="zh-CN"/>
        </w:rPr>
        <w:t>（二）决算单位构成</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从预算单位构成看，益阳市沧水铺镇人民政府部门决算只包含本级决算，无二级财务独立核算机构。</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仿宋_GB2312" w:hAnsi="仿宋_GB2312" w:eastAsia="仿宋_GB2312" w:cs="仿宋_GB2312"/>
          <w:color w:val="000000"/>
          <w:kern w:val="0"/>
          <w:sz w:val="32"/>
          <w:szCs w:val="32"/>
          <w:highlight w:val="none"/>
          <w:lang w:val="en-US" w:eastAsia="zh-CN"/>
        </w:rPr>
        <w:br w:type="page"/>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第二部分</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仿宋_GB2312" w:hAnsi="仿宋_GB2312" w:eastAsia="仿宋_GB2312" w:cs="仿宋_GB2312"/>
          <w:b w:val="0"/>
          <w:bCs w:val="0"/>
          <w:color w:val="auto"/>
          <w:sz w:val="44"/>
          <w:szCs w:val="44"/>
          <w:highlight w:val="none"/>
          <w:lang w:val="en-US"/>
        </w:rPr>
      </w:pPr>
      <w:r>
        <w:rPr>
          <w:rFonts w:hint="eastAsia" w:ascii="方正小标宋简体" w:hAnsi="方正小标宋简体" w:eastAsia="方正小标宋简体" w:cs="方正小标宋简体"/>
          <w:b w:val="0"/>
          <w:bCs w:val="0"/>
          <w:color w:val="auto"/>
          <w:sz w:val="44"/>
          <w:szCs w:val="44"/>
          <w:highlight w:val="none"/>
          <w:lang w:val="zh-CN"/>
        </w:rPr>
        <w:t>益阳市赫山区沧水铺镇人民政府</w:t>
      </w:r>
      <w:r>
        <w:rPr>
          <w:rFonts w:hint="eastAsia" w:ascii="方正小标宋简体" w:hAnsi="方正小标宋简体" w:eastAsia="方正小标宋简体" w:cs="方正小标宋简体"/>
          <w:b w:val="0"/>
          <w:bCs w:val="0"/>
          <w:color w:val="auto"/>
          <w:sz w:val="44"/>
          <w:szCs w:val="44"/>
          <w:highlight w:val="none"/>
          <w:lang w:val="en-US"/>
        </w:rPr>
        <w:t>2019年度部门决算表（见附表）</w:t>
      </w:r>
    </w:p>
    <w:p>
      <w:pPr>
        <w:jc w:val="center"/>
        <w:rPr>
          <w:rFonts w:hint="eastAsia" w:ascii="方正小标宋简体" w:hAnsi="方正小标宋简体" w:eastAsia="方正小标宋简体" w:cs="方正小标宋简体"/>
          <w:b w:val="0"/>
          <w:bCs w:val="0"/>
          <w:color w:val="auto"/>
          <w:sz w:val="44"/>
          <w:szCs w:val="44"/>
          <w:highlight w:val="none"/>
          <w:lang w:val="zh-CN" w:eastAsia="zh-CN"/>
        </w:rPr>
      </w:pPr>
      <w:r>
        <w:rPr>
          <w:rFonts w:hint="eastAsia" w:ascii="方正小标宋简体" w:hAnsi="方正小标宋简体" w:eastAsia="方正小标宋简体" w:cs="方正小标宋简体"/>
          <w:b w:val="0"/>
          <w:bCs w:val="0"/>
          <w:color w:val="auto"/>
          <w:sz w:val="44"/>
          <w:szCs w:val="44"/>
          <w:highlight w:val="none"/>
          <w:lang w:val="zh-CN" w:eastAsia="zh-CN"/>
        </w:rPr>
        <w:t>第三部分</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zh-CN" w:eastAsia="zh-CN"/>
        </w:rPr>
        <w:t>益阳市赫山区沧水铺镇人民政府</w:t>
      </w:r>
      <w:r>
        <w:rPr>
          <w:rFonts w:hint="eastAsia" w:ascii="方正小标宋简体" w:hAnsi="方正小标宋简体" w:eastAsia="方正小标宋简体" w:cs="方正小标宋简体"/>
          <w:b w:val="0"/>
          <w:bCs w:val="0"/>
          <w:color w:val="auto"/>
          <w:sz w:val="44"/>
          <w:szCs w:val="44"/>
          <w:highlight w:val="none"/>
          <w:lang w:val="en-US" w:eastAsia="zh-CN"/>
        </w:rPr>
        <w:t>2019年度部门决算情况说明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仿宋_GB2312" w:hAnsi="仿宋_GB2312" w:eastAsia="仿宋_GB2312" w:cs="仿宋_GB2312"/>
          <w:color w:val="auto"/>
          <w:sz w:val="32"/>
          <w:highlight w:val="none"/>
          <w:lang w:val="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color w:val="auto"/>
          <w:sz w:val="32"/>
          <w:highlight w:val="none"/>
          <w:lang w:val="en-US"/>
        </w:rPr>
      </w:pPr>
      <w:r>
        <w:rPr>
          <w:rFonts w:hint="eastAsia" w:ascii="黑体" w:hAnsi="黑体" w:eastAsia="黑体" w:cs="黑体"/>
          <w:b w:val="0"/>
          <w:bCs/>
          <w:color w:val="auto"/>
          <w:sz w:val="32"/>
          <w:highlight w:val="none"/>
          <w:lang w:val="en-US" w:eastAsia="zh-CN"/>
        </w:rPr>
        <w:t>一、</w:t>
      </w:r>
      <w:r>
        <w:rPr>
          <w:rFonts w:hint="eastAsia" w:ascii="黑体" w:hAnsi="黑体" w:eastAsia="黑体" w:cs="黑体"/>
          <w:b w:val="0"/>
          <w:bCs/>
          <w:color w:val="auto"/>
          <w:sz w:val="32"/>
          <w:highlight w:val="none"/>
          <w:lang w:val="en-US"/>
        </w:rPr>
        <w:t>收入支出决算总体情况说明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zh-CN"/>
        </w:rPr>
      </w:pPr>
      <w:r>
        <w:rPr>
          <w:rFonts w:hint="eastAsia" w:ascii="仿宋_GB2312" w:hAnsi="仿宋_GB2312" w:eastAsia="仿宋_GB2312" w:cs="仿宋_GB2312"/>
          <w:color w:val="auto"/>
          <w:sz w:val="32"/>
          <w:highlight w:val="none"/>
          <w:lang w:val="zh-CN"/>
        </w:rPr>
        <w:t>2019年度收、支总计</w:t>
      </w:r>
      <w:r>
        <w:rPr>
          <w:rFonts w:hint="eastAsia" w:ascii="仿宋_GB2312" w:hAnsi="仿宋_GB2312" w:eastAsia="仿宋_GB2312" w:cs="仿宋_GB2312"/>
          <w:color w:val="auto"/>
          <w:sz w:val="32"/>
          <w:highlight w:val="none"/>
          <w:lang w:val="en-US" w:eastAsia="zh-CN"/>
        </w:rPr>
        <w:t>8023.94</w:t>
      </w:r>
      <w:r>
        <w:rPr>
          <w:rFonts w:hint="eastAsia" w:ascii="仿宋_GB2312" w:hAnsi="仿宋_GB2312" w:eastAsia="仿宋_GB2312" w:cs="仿宋_GB2312"/>
          <w:color w:val="auto"/>
          <w:sz w:val="32"/>
          <w:highlight w:val="none"/>
          <w:lang w:val="zh-CN"/>
        </w:rPr>
        <w:t>万元，</w:t>
      </w:r>
      <w:r>
        <w:rPr>
          <w:rFonts w:hint="eastAsia" w:ascii="仿宋_GB2312" w:hAnsi="仿宋_GB2312" w:eastAsia="仿宋_GB2312" w:cs="仿宋_GB2312"/>
          <w:color w:val="auto"/>
          <w:sz w:val="32"/>
          <w:highlight w:val="none"/>
          <w:lang w:val="zh-CN" w:eastAsia="zh-CN"/>
        </w:rPr>
        <w:t>其中：收入</w:t>
      </w:r>
      <w:r>
        <w:rPr>
          <w:rFonts w:hint="eastAsia" w:ascii="仿宋_GB2312" w:hAnsi="仿宋_GB2312" w:eastAsia="仿宋_GB2312" w:cs="仿宋_GB2312"/>
          <w:color w:val="auto"/>
          <w:sz w:val="32"/>
          <w:highlight w:val="none"/>
          <w:lang w:val="en-US" w:eastAsia="zh-CN"/>
        </w:rPr>
        <w:t>3661.53万元，支出4362.41万元。</w:t>
      </w:r>
      <w:r>
        <w:rPr>
          <w:rFonts w:hint="eastAsia" w:ascii="仿宋_GB2312" w:hAnsi="仿宋_GB2312" w:eastAsia="仿宋_GB2312" w:cs="仿宋_GB2312"/>
          <w:color w:val="auto"/>
          <w:sz w:val="32"/>
          <w:highlight w:val="none"/>
          <w:lang w:val="zh-CN"/>
        </w:rPr>
        <w:t>与2018年相比，收、支总计减少850万元，减少15.87%。主要原因是</w:t>
      </w:r>
      <w:r>
        <w:rPr>
          <w:rFonts w:hint="eastAsia" w:ascii="仿宋_GB2312" w:hAnsi="仿宋_GB2312" w:eastAsia="仿宋_GB2312" w:cs="仿宋_GB2312"/>
          <w:color w:val="auto"/>
          <w:sz w:val="32"/>
          <w:highlight w:val="none"/>
          <w:lang w:val="zh-CN" w:eastAsia="zh-CN"/>
        </w:rPr>
        <w:t>城镇建设收入和支出的减少</w:t>
      </w:r>
      <w:r>
        <w:rPr>
          <w:rFonts w:hint="eastAsia" w:ascii="仿宋_GB2312" w:hAnsi="仿宋_GB2312" w:eastAsia="仿宋_GB2312" w:cs="仿宋_GB2312"/>
          <w:color w:val="auto"/>
          <w:sz w:val="32"/>
          <w:highlight w:val="none"/>
          <w:lang w:val="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sz w:val="32"/>
          <w:highlight w:val="none"/>
          <w:lang w:val="en-US"/>
        </w:rPr>
      </w:pPr>
      <w:r>
        <w:rPr>
          <w:rFonts w:hint="eastAsia" w:ascii="黑体" w:hAnsi="黑体" w:eastAsia="黑体" w:cs="黑体"/>
          <w:b w:val="0"/>
          <w:bCs w:val="0"/>
          <w:color w:val="auto"/>
          <w:sz w:val="32"/>
          <w:highlight w:val="none"/>
          <w:lang w:val="zh-CN"/>
        </w:rPr>
        <w:t>二、</w:t>
      </w:r>
      <w:r>
        <w:rPr>
          <w:rFonts w:hint="eastAsia" w:ascii="黑体" w:hAnsi="黑体" w:eastAsia="黑体" w:cs="黑体"/>
          <w:b w:val="0"/>
          <w:bCs w:val="0"/>
          <w:color w:val="auto"/>
          <w:sz w:val="32"/>
          <w:highlight w:val="none"/>
          <w:lang w:val="en-US"/>
        </w:rPr>
        <w:t>收入决算情况说明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en-US"/>
        </w:rPr>
      </w:pPr>
      <w:r>
        <w:rPr>
          <w:rFonts w:hint="eastAsia" w:ascii="仿宋_GB2312" w:hAnsi="仿宋_GB2312" w:eastAsia="仿宋_GB2312" w:cs="仿宋_GB2312"/>
          <w:color w:val="auto"/>
          <w:sz w:val="32"/>
          <w:highlight w:val="none"/>
          <w:lang w:val="en-US"/>
        </w:rPr>
        <w:t>本年收入合计3661.53万元，其中：财政拨款收入3233.79万元，占88.32%。政府性基金预算财政拨款收入427.74万元，占11.68%。</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sz w:val="32"/>
          <w:highlight w:val="none"/>
          <w:lang w:val="en-US"/>
        </w:rPr>
      </w:pPr>
      <w:r>
        <w:rPr>
          <w:rFonts w:hint="eastAsia" w:ascii="黑体" w:hAnsi="黑体" w:eastAsia="黑体" w:cs="黑体"/>
          <w:b w:val="0"/>
          <w:bCs w:val="0"/>
          <w:color w:val="auto"/>
          <w:sz w:val="32"/>
          <w:highlight w:val="none"/>
          <w:lang w:val="en-US" w:eastAsia="zh-CN"/>
        </w:rPr>
        <w:t>三、</w:t>
      </w:r>
      <w:r>
        <w:rPr>
          <w:rFonts w:hint="eastAsia" w:ascii="黑体" w:hAnsi="黑体" w:eastAsia="黑体" w:cs="黑体"/>
          <w:b w:val="0"/>
          <w:bCs w:val="0"/>
          <w:color w:val="auto"/>
          <w:sz w:val="32"/>
          <w:highlight w:val="none"/>
          <w:lang w:val="en-US"/>
        </w:rPr>
        <w:t>支出决算情况说明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szCs w:val="22"/>
          <w:highlight w:val="none"/>
          <w:lang w:val="en-US"/>
        </w:rPr>
      </w:pPr>
      <w:r>
        <w:rPr>
          <w:rFonts w:hint="eastAsia" w:ascii="仿宋_GB2312" w:hAnsi="仿宋_GB2312" w:eastAsia="仿宋_GB2312" w:cs="仿宋_GB2312"/>
          <w:color w:val="auto"/>
          <w:sz w:val="32"/>
          <w:szCs w:val="22"/>
          <w:highlight w:val="none"/>
          <w:lang w:val="en-US"/>
        </w:rPr>
        <w:t>本年支出合计4,362.41万元，其中：基本支出</w:t>
      </w:r>
      <w:r>
        <w:rPr>
          <w:rFonts w:hint="eastAsia" w:ascii="仿宋_GB2312" w:hAnsi="仿宋_GB2312" w:eastAsia="仿宋_GB2312" w:cs="仿宋_GB2312"/>
          <w:color w:val="auto"/>
          <w:sz w:val="32"/>
          <w:szCs w:val="22"/>
          <w:highlight w:val="none"/>
          <w:lang w:val="zh-CN"/>
        </w:rPr>
        <w:t>1,896.32万元，</w:t>
      </w:r>
      <w:r>
        <w:rPr>
          <w:rFonts w:hint="eastAsia" w:ascii="仿宋_GB2312" w:hAnsi="仿宋_GB2312" w:eastAsia="仿宋_GB2312" w:cs="仿宋_GB2312"/>
          <w:color w:val="auto"/>
          <w:sz w:val="32"/>
          <w:szCs w:val="22"/>
          <w:highlight w:val="none"/>
          <w:lang w:val="en-US"/>
        </w:rPr>
        <w:t>占43.47%。项目支出2466.08万元，占56.53%。</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sz w:val="32"/>
          <w:highlight w:val="none"/>
          <w:lang w:val="en-US"/>
        </w:rPr>
      </w:pPr>
      <w:r>
        <w:rPr>
          <w:rFonts w:hint="eastAsia" w:ascii="黑体" w:hAnsi="黑体" w:eastAsia="黑体" w:cs="黑体"/>
          <w:b w:val="0"/>
          <w:bCs w:val="0"/>
          <w:color w:val="auto"/>
          <w:sz w:val="32"/>
          <w:szCs w:val="22"/>
          <w:highlight w:val="none"/>
          <w:lang w:val="en-US" w:eastAsia="zh-CN"/>
        </w:rPr>
        <w:t>四、</w:t>
      </w:r>
      <w:r>
        <w:rPr>
          <w:rFonts w:hint="eastAsia" w:ascii="黑体" w:hAnsi="黑体" w:eastAsia="黑体" w:cs="黑体"/>
          <w:b w:val="0"/>
          <w:bCs w:val="0"/>
          <w:color w:val="auto"/>
          <w:sz w:val="32"/>
          <w:highlight w:val="none"/>
          <w:lang w:val="en-US"/>
        </w:rPr>
        <w:t xml:space="preserve">一般公共预算财政拨款收入支出决算总体情况说明 </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szCs w:val="22"/>
          <w:highlight w:val="none"/>
          <w:lang w:val="zh-CN"/>
        </w:rPr>
      </w:pPr>
      <w:r>
        <w:rPr>
          <w:rFonts w:hint="eastAsia" w:ascii="仿宋_GB2312" w:hAnsi="仿宋_GB2312" w:eastAsia="仿宋_GB2312" w:cs="仿宋_GB2312"/>
          <w:color w:val="auto"/>
          <w:sz w:val="32"/>
          <w:szCs w:val="22"/>
          <w:highlight w:val="none"/>
          <w:lang w:val="en-US"/>
        </w:rPr>
        <w:t>2019年度财政拨款收、支总计</w:t>
      </w:r>
      <w:r>
        <w:rPr>
          <w:rFonts w:hint="eastAsia" w:ascii="仿宋_GB2312" w:hAnsi="仿宋_GB2312" w:eastAsia="仿宋_GB2312" w:cs="仿宋_GB2312"/>
          <w:color w:val="auto"/>
          <w:sz w:val="32"/>
          <w:szCs w:val="22"/>
          <w:highlight w:val="none"/>
          <w:lang w:val="en-US" w:eastAsia="zh-CN"/>
        </w:rPr>
        <w:t>8023.94</w:t>
      </w:r>
      <w:r>
        <w:rPr>
          <w:rFonts w:hint="eastAsia" w:ascii="仿宋_GB2312" w:hAnsi="仿宋_GB2312" w:eastAsia="仿宋_GB2312" w:cs="仿宋_GB2312"/>
          <w:color w:val="auto"/>
          <w:sz w:val="32"/>
          <w:szCs w:val="22"/>
          <w:highlight w:val="none"/>
          <w:lang w:val="en-US"/>
        </w:rPr>
        <w:t>万元，</w:t>
      </w:r>
      <w:r>
        <w:rPr>
          <w:rFonts w:hint="eastAsia" w:ascii="仿宋_GB2312" w:hAnsi="仿宋_GB2312" w:eastAsia="仿宋_GB2312" w:cs="仿宋_GB2312"/>
          <w:color w:val="auto"/>
          <w:sz w:val="32"/>
          <w:szCs w:val="22"/>
          <w:highlight w:val="none"/>
          <w:lang w:val="zh-CN"/>
        </w:rPr>
        <w:t>与2018年相比，</w:t>
      </w:r>
      <w:r>
        <w:rPr>
          <w:rFonts w:hint="eastAsia" w:ascii="仿宋_GB2312" w:hAnsi="仿宋_GB2312" w:eastAsia="仿宋_GB2312" w:cs="仿宋_GB2312"/>
          <w:color w:val="auto"/>
          <w:sz w:val="32"/>
          <w:szCs w:val="22"/>
          <w:highlight w:val="none"/>
          <w:lang w:val="en-US"/>
        </w:rPr>
        <w:t>财政拨款收、支总计减少850万元，减少15.87%。</w:t>
      </w:r>
      <w:r>
        <w:rPr>
          <w:rFonts w:hint="eastAsia" w:ascii="仿宋_GB2312" w:hAnsi="仿宋_GB2312" w:eastAsia="仿宋_GB2312" w:cs="仿宋_GB2312"/>
          <w:color w:val="auto"/>
          <w:sz w:val="32"/>
          <w:szCs w:val="22"/>
          <w:highlight w:val="none"/>
          <w:lang w:val="zh-CN"/>
        </w:rPr>
        <w:t>主要原因是</w:t>
      </w:r>
      <w:r>
        <w:rPr>
          <w:rFonts w:hint="eastAsia" w:ascii="仿宋_GB2312" w:hAnsi="仿宋_GB2312" w:eastAsia="仿宋_GB2312" w:cs="仿宋_GB2312"/>
          <w:color w:val="auto"/>
          <w:sz w:val="32"/>
          <w:szCs w:val="22"/>
          <w:highlight w:val="none"/>
          <w:lang w:val="zh-CN" w:eastAsia="zh-CN"/>
        </w:rPr>
        <w:t>城镇建设收入和支出的减少</w:t>
      </w:r>
      <w:r>
        <w:rPr>
          <w:rFonts w:hint="eastAsia" w:ascii="仿宋_GB2312" w:hAnsi="仿宋_GB2312" w:eastAsia="仿宋_GB2312" w:cs="仿宋_GB2312"/>
          <w:color w:val="auto"/>
          <w:sz w:val="32"/>
          <w:szCs w:val="22"/>
          <w:highlight w:val="none"/>
          <w:lang w:val="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b w:val="0"/>
          <w:bCs w:val="0"/>
          <w:color w:val="auto"/>
          <w:sz w:val="32"/>
          <w:highlight w:val="none"/>
          <w:lang w:val="en-US"/>
        </w:rPr>
      </w:pPr>
      <w:r>
        <w:rPr>
          <w:rFonts w:hint="eastAsia" w:ascii="黑体" w:hAnsi="黑体" w:eastAsia="黑体" w:cs="黑体"/>
          <w:b w:val="0"/>
          <w:bCs w:val="0"/>
          <w:color w:val="auto"/>
          <w:sz w:val="32"/>
          <w:highlight w:val="none"/>
          <w:lang w:val="en-US" w:eastAsia="zh-CN"/>
        </w:rPr>
        <w:t>五、</w:t>
      </w:r>
      <w:r>
        <w:rPr>
          <w:rFonts w:hint="eastAsia" w:ascii="黑体" w:hAnsi="黑体" w:eastAsia="黑体" w:cs="黑体"/>
          <w:b w:val="0"/>
          <w:bCs w:val="0"/>
          <w:color w:val="auto"/>
          <w:sz w:val="32"/>
          <w:highlight w:val="none"/>
          <w:lang w:val="en-US"/>
        </w:rPr>
        <w:t>一般公共预算财政拨款支出决算情况说明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b/>
          <w:bCs w:val="0"/>
          <w:color w:val="auto"/>
          <w:sz w:val="32"/>
          <w:highlight w:val="none"/>
          <w:lang w:val="en-US"/>
        </w:rPr>
      </w:pPr>
      <w:r>
        <w:rPr>
          <w:rFonts w:hint="eastAsia" w:ascii="楷体_GB2312" w:hAnsi="楷体_GB2312" w:eastAsia="楷体_GB2312" w:cs="楷体_GB2312"/>
          <w:b/>
          <w:bCs w:val="0"/>
          <w:color w:val="auto"/>
          <w:sz w:val="32"/>
          <w:highlight w:val="none"/>
          <w:lang w:val="en-US"/>
        </w:rPr>
        <w:t>（一）</w:t>
      </w:r>
      <w:r>
        <w:rPr>
          <w:rFonts w:hint="eastAsia" w:ascii="楷体_GB2312" w:hAnsi="楷体_GB2312" w:eastAsia="楷体_GB2312" w:cs="楷体_GB2312"/>
          <w:b/>
          <w:bCs w:val="0"/>
          <w:color w:val="auto"/>
          <w:sz w:val="32"/>
          <w:szCs w:val="22"/>
          <w:highlight w:val="none"/>
          <w:lang w:val="en-US"/>
        </w:rPr>
        <w:t>一般公共预算</w:t>
      </w:r>
      <w:r>
        <w:rPr>
          <w:rFonts w:hint="eastAsia" w:ascii="楷体_GB2312" w:hAnsi="楷体_GB2312" w:eastAsia="楷体_GB2312" w:cs="楷体_GB2312"/>
          <w:b/>
          <w:bCs w:val="0"/>
          <w:color w:val="auto"/>
          <w:sz w:val="32"/>
          <w:highlight w:val="none"/>
          <w:lang w:val="zh-CN"/>
        </w:rPr>
        <w:t>财政</w:t>
      </w:r>
      <w:r>
        <w:rPr>
          <w:rFonts w:hint="eastAsia" w:ascii="楷体_GB2312" w:hAnsi="楷体_GB2312" w:eastAsia="楷体_GB2312" w:cs="楷体_GB2312"/>
          <w:b/>
          <w:bCs w:val="0"/>
          <w:color w:val="auto"/>
          <w:sz w:val="32"/>
          <w:highlight w:val="none"/>
          <w:lang w:val="en-US"/>
        </w:rPr>
        <w:t>拨款支出决算总体情况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zh-CN"/>
        </w:rPr>
      </w:pPr>
      <w:r>
        <w:rPr>
          <w:rFonts w:hint="eastAsia" w:ascii="仿宋_GB2312" w:hAnsi="仿宋_GB2312" w:eastAsia="仿宋_GB2312" w:cs="仿宋_GB2312"/>
          <w:color w:val="auto"/>
          <w:sz w:val="32"/>
          <w:highlight w:val="none"/>
          <w:lang w:val="en-US"/>
        </w:rPr>
        <w:t>2019年度</w:t>
      </w:r>
      <w:r>
        <w:rPr>
          <w:rFonts w:hint="eastAsia" w:ascii="仿宋_GB2312" w:hAnsi="仿宋_GB2312" w:eastAsia="仿宋_GB2312" w:cs="仿宋_GB2312"/>
          <w:color w:val="auto"/>
          <w:sz w:val="32"/>
          <w:szCs w:val="22"/>
          <w:highlight w:val="none"/>
          <w:lang w:val="en-US"/>
        </w:rPr>
        <w:t>一般公共预算财政拨款</w:t>
      </w:r>
      <w:r>
        <w:rPr>
          <w:rFonts w:hint="eastAsia" w:ascii="仿宋_GB2312" w:hAnsi="仿宋_GB2312" w:eastAsia="仿宋_GB2312" w:cs="仿宋_GB2312"/>
          <w:color w:val="auto"/>
          <w:sz w:val="32"/>
          <w:highlight w:val="none"/>
          <w:lang w:val="en-US"/>
        </w:rPr>
        <w:t>支出3533.79万元，占本年支出合计的81.01%。与2018年度相比，财政拨款支出减少695万元，减少16.44%,</w:t>
      </w:r>
      <w:r>
        <w:rPr>
          <w:rFonts w:hint="eastAsia" w:ascii="仿宋_GB2312" w:hAnsi="仿宋_GB2312" w:eastAsia="仿宋_GB2312" w:cs="仿宋_GB2312"/>
          <w:color w:val="auto"/>
          <w:sz w:val="32"/>
          <w:highlight w:val="none"/>
          <w:lang w:val="zh-CN"/>
        </w:rPr>
        <w:t>主要原因是</w:t>
      </w:r>
      <w:r>
        <w:rPr>
          <w:rFonts w:hint="eastAsia" w:ascii="仿宋_GB2312" w:hAnsi="仿宋_GB2312" w:eastAsia="仿宋_GB2312" w:cs="仿宋_GB2312"/>
          <w:color w:val="auto"/>
          <w:sz w:val="32"/>
          <w:highlight w:val="none"/>
          <w:lang w:val="zh-CN" w:eastAsia="zh-CN"/>
        </w:rPr>
        <w:t>城镇建设支出的减少</w:t>
      </w:r>
      <w:r>
        <w:rPr>
          <w:rFonts w:hint="eastAsia" w:ascii="仿宋_GB2312" w:hAnsi="仿宋_GB2312" w:eastAsia="仿宋_GB2312" w:cs="仿宋_GB2312"/>
          <w:color w:val="auto"/>
          <w:sz w:val="32"/>
          <w:highlight w:val="none"/>
          <w:lang w:val="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b/>
          <w:color w:val="auto"/>
          <w:sz w:val="32"/>
          <w:highlight w:val="none"/>
          <w:lang w:val="en-US"/>
        </w:rPr>
      </w:pPr>
      <w:r>
        <w:rPr>
          <w:rFonts w:hint="eastAsia" w:ascii="楷体_GB2312" w:hAnsi="楷体_GB2312" w:eastAsia="楷体_GB2312" w:cs="楷体_GB2312"/>
          <w:b/>
          <w:bCs/>
          <w:color w:val="000000"/>
          <w:kern w:val="0"/>
          <w:sz w:val="32"/>
          <w:szCs w:val="32"/>
          <w:highlight w:val="none"/>
          <w:lang w:val="zh-CN" w:eastAsia="zh-CN"/>
        </w:rPr>
        <w:t>（二）</w:t>
      </w:r>
      <w:r>
        <w:rPr>
          <w:rFonts w:hint="eastAsia" w:ascii="楷体_GB2312" w:hAnsi="楷体_GB2312" w:eastAsia="楷体_GB2312" w:cs="楷体_GB2312"/>
          <w:b/>
          <w:color w:val="auto"/>
          <w:sz w:val="32"/>
          <w:szCs w:val="22"/>
          <w:highlight w:val="none"/>
          <w:lang w:val="en-US"/>
        </w:rPr>
        <w:t>一般公共预算</w:t>
      </w:r>
      <w:r>
        <w:rPr>
          <w:rFonts w:hint="eastAsia" w:ascii="楷体_GB2312" w:hAnsi="楷体_GB2312" w:eastAsia="楷体_GB2312" w:cs="楷体_GB2312"/>
          <w:b/>
          <w:bCs/>
          <w:color w:val="000000"/>
          <w:kern w:val="0"/>
          <w:sz w:val="32"/>
          <w:szCs w:val="32"/>
          <w:highlight w:val="none"/>
          <w:lang w:val="en-US" w:eastAsia="zh-CN"/>
        </w:rPr>
        <w:t>财</w:t>
      </w:r>
      <w:r>
        <w:rPr>
          <w:rFonts w:hint="eastAsia" w:ascii="楷体_GB2312" w:hAnsi="楷体_GB2312" w:eastAsia="楷体_GB2312" w:cs="楷体_GB2312"/>
          <w:b/>
          <w:color w:val="auto"/>
          <w:sz w:val="32"/>
          <w:highlight w:val="none"/>
          <w:lang w:val="en-US"/>
        </w:rPr>
        <w:t>政拨款支出决算结构情况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en-US"/>
        </w:rPr>
      </w:pPr>
      <w:r>
        <w:rPr>
          <w:rFonts w:hint="eastAsia" w:ascii="仿宋_GB2312" w:hAnsi="仿宋_GB2312" w:eastAsia="仿宋_GB2312" w:cs="仿宋_GB2312"/>
          <w:color w:val="auto"/>
          <w:sz w:val="32"/>
          <w:highlight w:val="none"/>
          <w:lang w:val="en-US"/>
        </w:rPr>
        <w:t>2019年度</w:t>
      </w:r>
      <w:r>
        <w:rPr>
          <w:rFonts w:hint="eastAsia" w:ascii="仿宋_GB2312" w:hAnsi="仿宋_GB2312" w:eastAsia="仿宋_GB2312" w:cs="仿宋_GB2312"/>
          <w:color w:val="auto"/>
          <w:sz w:val="32"/>
          <w:szCs w:val="22"/>
          <w:highlight w:val="none"/>
          <w:lang w:val="en-US"/>
        </w:rPr>
        <w:t>一般公共预算财政拨款</w:t>
      </w:r>
      <w:r>
        <w:rPr>
          <w:rFonts w:hint="eastAsia" w:ascii="仿宋_GB2312" w:hAnsi="仿宋_GB2312" w:eastAsia="仿宋_GB2312" w:cs="仿宋_GB2312"/>
          <w:color w:val="auto"/>
          <w:sz w:val="32"/>
          <w:highlight w:val="none"/>
          <w:lang w:val="en-US"/>
        </w:rPr>
        <w:t>支出</w:t>
      </w:r>
      <w:r>
        <w:rPr>
          <w:rFonts w:hint="eastAsia" w:ascii="仿宋_GB2312" w:hAnsi="仿宋_GB2312" w:eastAsia="仿宋_GB2312" w:cs="仿宋_GB2312"/>
          <w:color w:val="000000"/>
          <w:kern w:val="0"/>
          <w:sz w:val="32"/>
          <w:highlight w:val="none"/>
          <w:lang w:val="en-US"/>
        </w:rPr>
        <w:t>3533.79万元，</w:t>
      </w:r>
      <w:r>
        <w:rPr>
          <w:rFonts w:hint="eastAsia" w:ascii="仿宋_GB2312" w:hAnsi="仿宋_GB2312" w:eastAsia="仿宋_GB2312" w:cs="仿宋_GB2312"/>
          <w:color w:val="000000"/>
          <w:kern w:val="0"/>
          <w:sz w:val="32"/>
          <w:highlight w:val="none"/>
          <w:lang w:val="zh-CN"/>
        </w:rPr>
        <w:t>主要用于以下方面：</w:t>
      </w:r>
      <w:r>
        <w:rPr>
          <w:rFonts w:hint="eastAsia" w:ascii="仿宋_GB2312" w:hAnsi="仿宋_GB2312" w:eastAsia="仿宋_GB2312" w:cs="仿宋_GB2312"/>
          <w:color w:val="000000"/>
          <w:kern w:val="0"/>
          <w:sz w:val="32"/>
          <w:highlight w:val="none"/>
          <w:lang w:val="en-US"/>
        </w:rPr>
        <w:t>一般公共服务（类）支出1589.06万元，占44.97%；</w:t>
      </w:r>
      <w:r>
        <w:rPr>
          <w:rFonts w:hint="eastAsia" w:ascii="仿宋_GB2312" w:hAnsi="仿宋_GB2312" w:eastAsia="仿宋_GB2312" w:cs="仿宋_GB2312"/>
          <w:color w:val="auto"/>
          <w:sz w:val="32"/>
          <w:highlight w:val="none"/>
          <w:lang w:val="en-US"/>
        </w:rPr>
        <w:t>科学技术（类）支出19.38万元，占0.55%；文化旅游体育与传媒（类）支出290.7万元，占8.23%；社会保障和就业（类）支出161.7万元，占4.58%；卫生健康（类）支出71.78万元，占2.03%；节能环保（类）支出51.87万元，占1.47%；城乡社区（类）支出1067.62万元，占30.21%；农林水（类）支出970.42万元，占27.46%；资源勘探信息等（类）支出3万元，占0.08%；住房保障（类）支出55.88万元，占1.58%；其他（类）支出81万元，占2.29%。</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b/>
          <w:color w:val="auto"/>
          <w:sz w:val="32"/>
          <w:highlight w:val="none"/>
          <w:lang w:val="en-US"/>
        </w:rPr>
      </w:pPr>
      <w:r>
        <w:rPr>
          <w:rFonts w:hint="eastAsia" w:ascii="楷体_GB2312" w:hAnsi="楷体_GB2312" w:eastAsia="楷体_GB2312" w:cs="楷体_GB2312"/>
          <w:b/>
          <w:bCs/>
          <w:color w:val="000000"/>
          <w:kern w:val="0"/>
          <w:sz w:val="32"/>
          <w:szCs w:val="32"/>
          <w:highlight w:val="none"/>
          <w:lang w:val="en-US" w:eastAsia="zh-CN"/>
        </w:rPr>
        <w:t>（三）</w:t>
      </w:r>
      <w:r>
        <w:rPr>
          <w:rFonts w:hint="eastAsia" w:ascii="楷体_GB2312" w:hAnsi="楷体_GB2312" w:eastAsia="楷体_GB2312" w:cs="楷体_GB2312"/>
          <w:b/>
          <w:color w:val="auto"/>
          <w:sz w:val="32"/>
          <w:szCs w:val="22"/>
          <w:highlight w:val="none"/>
          <w:lang w:val="en-US"/>
        </w:rPr>
        <w:t>一般公共预算</w:t>
      </w:r>
      <w:r>
        <w:rPr>
          <w:rFonts w:hint="eastAsia" w:ascii="楷体_GB2312" w:hAnsi="楷体_GB2312" w:eastAsia="楷体_GB2312" w:cs="楷体_GB2312"/>
          <w:b/>
          <w:color w:val="auto"/>
          <w:sz w:val="32"/>
          <w:highlight w:val="none"/>
          <w:lang w:val="en-US"/>
        </w:rPr>
        <w:t>财政拨款支出决算具体情况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highlight w:val="none"/>
          <w:lang w:val="zh-CN"/>
        </w:rPr>
      </w:pPr>
      <w:r>
        <w:rPr>
          <w:rFonts w:hint="eastAsia" w:ascii="仿宋_GB2312" w:hAnsi="仿宋_GB2312" w:eastAsia="仿宋_GB2312" w:cs="仿宋_GB2312"/>
          <w:color w:val="000000"/>
          <w:sz w:val="32"/>
          <w:highlight w:val="none"/>
          <w:lang w:val="en-US"/>
        </w:rPr>
        <w:t>2019年度财政拨款支出决算为3,533.79万元，完成年初预算的</w:t>
      </w:r>
      <w:r>
        <w:rPr>
          <w:rFonts w:hint="eastAsia" w:ascii="仿宋_GB2312" w:hAnsi="仿宋_GB2312" w:eastAsia="仿宋_GB2312" w:cs="仿宋_GB2312"/>
          <w:color w:val="000000"/>
          <w:sz w:val="32"/>
          <w:highlight w:val="none"/>
          <w:lang w:val="en-US" w:eastAsia="zh-CN"/>
        </w:rPr>
        <w:t>188.75</w:t>
      </w:r>
      <w:r>
        <w:rPr>
          <w:rFonts w:hint="eastAsia" w:ascii="仿宋_GB2312" w:hAnsi="仿宋_GB2312" w:eastAsia="仿宋_GB2312" w:cs="仿宋_GB2312"/>
          <w:color w:val="000000"/>
          <w:sz w:val="32"/>
          <w:highlight w:val="none"/>
          <w:lang w:val="en-US"/>
        </w:rPr>
        <w:t>%。其中：</w:t>
      </w:r>
      <w:r>
        <w:rPr>
          <w:rFonts w:hint="eastAsia" w:ascii="仿宋_GB2312" w:hAnsi="仿宋_GB2312" w:eastAsia="仿宋_GB2312" w:cs="仿宋_GB2312"/>
          <w:sz w:val="30"/>
          <w:highlight w:val="none"/>
        </w:rPr>
        <w:t>支</w:t>
      </w:r>
      <w:r>
        <w:rPr>
          <w:rFonts w:hint="eastAsia" w:ascii="仿宋_GB2312" w:hAnsi="仿宋_GB2312" w:eastAsia="仿宋_GB2312" w:cs="仿宋_GB2312"/>
          <w:color w:val="000000"/>
          <w:sz w:val="32"/>
          <w:highlight w:val="none"/>
          <w:lang w:val="en-US"/>
        </w:rPr>
        <w:t>出决算大于年初预算的主要原因是在执行过程中根据实际情况进行了预算调整，主要是增加了项目支出的预算金额。</w:t>
      </w:r>
      <w:r>
        <w:rPr>
          <w:rFonts w:hint="eastAsia" w:ascii="仿宋_GB2312" w:hAnsi="仿宋_GB2312" w:eastAsia="仿宋_GB2312" w:cs="仿宋_GB2312"/>
          <w:color w:val="000000"/>
          <w:sz w:val="32"/>
          <w:highlight w:val="none"/>
          <w:lang w:val="en-US" w:eastAsia="zh-CN"/>
        </w:rPr>
        <w:t>一般公共预算财政拨款基本支出1896.32元。其中：</w:t>
      </w:r>
      <w:r>
        <w:rPr>
          <w:rFonts w:hint="eastAsia" w:ascii="仿宋_GB2312" w:hAnsi="仿宋_GB2312" w:eastAsia="仿宋_GB2312" w:cs="仿宋_GB2312"/>
          <w:color w:val="000000"/>
          <w:sz w:val="32"/>
          <w:highlight w:val="none"/>
          <w:lang w:val="en-US"/>
        </w:rPr>
        <w:t>工资福利支出</w:t>
      </w:r>
      <w:r>
        <w:rPr>
          <w:rFonts w:hint="eastAsia" w:ascii="仿宋_GB2312" w:hAnsi="仿宋_GB2312" w:eastAsia="仿宋_GB2312" w:cs="仿宋_GB2312"/>
          <w:color w:val="000000"/>
          <w:sz w:val="32"/>
          <w:highlight w:val="none"/>
          <w:lang w:val="en-US" w:eastAsia="zh-CN"/>
        </w:rPr>
        <w:t>1093</w:t>
      </w:r>
      <w:r>
        <w:rPr>
          <w:rFonts w:hint="eastAsia" w:ascii="仿宋_GB2312" w:hAnsi="仿宋_GB2312" w:eastAsia="仿宋_GB2312" w:cs="仿宋_GB2312"/>
          <w:color w:val="000000"/>
          <w:sz w:val="32"/>
          <w:highlight w:val="none"/>
          <w:lang w:val="en-US"/>
        </w:rPr>
        <w:t>万元，比上年</w:t>
      </w:r>
      <w:r>
        <w:rPr>
          <w:rFonts w:hint="eastAsia" w:ascii="仿宋_GB2312" w:hAnsi="仿宋_GB2312" w:eastAsia="仿宋_GB2312" w:cs="仿宋_GB2312"/>
          <w:color w:val="000000"/>
          <w:sz w:val="32"/>
          <w:highlight w:val="none"/>
          <w:lang w:val="en-US" w:eastAsia="zh-CN"/>
        </w:rPr>
        <w:t>减少5.43</w:t>
      </w:r>
      <w:r>
        <w:rPr>
          <w:rFonts w:hint="eastAsia" w:ascii="仿宋_GB2312" w:hAnsi="仿宋_GB2312" w:eastAsia="仿宋_GB2312" w:cs="仿宋_GB2312"/>
          <w:color w:val="000000"/>
          <w:sz w:val="32"/>
          <w:highlight w:val="none"/>
          <w:lang w:val="en-US"/>
        </w:rPr>
        <w:t>%。商品和服务支出</w:t>
      </w:r>
      <w:r>
        <w:rPr>
          <w:rFonts w:hint="eastAsia" w:ascii="仿宋_GB2312" w:hAnsi="仿宋_GB2312" w:eastAsia="仿宋_GB2312" w:cs="仿宋_GB2312"/>
          <w:color w:val="000000"/>
          <w:sz w:val="32"/>
          <w:highlight w:val="none"/>
          <w:lang w:val="en-US" w:eastAsia="zh-CN"/>
        </w:rPr>
        <w:t>730.68</w:t>
      </w:r>
      <w:r>
        <w:rPr>
          <w:rFonts w:hint="eastAsia" w:ascii="仿宋_GB2312" w:hAnsi="仿宋_GB2312" w:eastAsia="仿宋_GB2312" w:cs="仿宋_GB2312"/>
          <w:color w:val="000000"/>
          <w:sz w:val="32"/>
          <w:highlight w:val="none"/>
          <w:lang w:val="en-US"/>
        </w:rPr>
        <w:t>万元，比上年</w:t>
      </w:r>
      <w:r>
        <w:rPr>
          <w:rFonts w:hint="eastAsia" w:ascii="仿宋_GB2312" w:hAnsi="仿宋_GB2312" w:eastAsia="仿宋_GB2312" w:cs="仿宋_GB2312"/>
          <w:color w:val="000000"/>
          <w:sz w:val="32"/>
          <w:highlight w:val="none"/>
          <w:lang w:val="en-US" w:eastAsia="zh-CN"/>
        </w:rPr>
        <w:t>减少48.62</w:t>
      </w:r>
      <w:r>
        <w:rPr>
          <w:rFonts w:hint="eastAsia" w:ascii="仿宋_GB2312" w:hAnsi="仿宋_GB2312" w:eastAsia="仿宋_GB2312" w:cs="仿宋_GB2312"/>
          <w:color w:val="000000"/>
          <w:sz w:val="32"/>
          <w:highlight w:val="none"/>
          <w:lang w:val="en-US"/>
        </w:rPr>
        <w:t>%。对个人和家庭的补助</w:t>
      </w:r>
      <w:r>
        <w:rPr>
          <w:rFonts w:hint="eastAsia" w:ascii="仿宋_GB2312" w:hAnsi="仿宋_GB2312" w:eastAsia="仿宋_GB2312" w:cs="仿宋_GB2312"/>
          <w:color w:val="000000"/>
          <w:sz w:val="32"/>
          <w:highlight w:val="none"/>
          <w:lang w:val="en-US" w:eastAsia="zh-CN"/>
        </w:rPr>
        <w:t>72.64</w:t>
      </w:r>
      <w:r>
        <w:rPr>
          <w:rFonts w:hint="eastAsia" w:ascii="仿宋_GB2312" w:hAnsi="仿宋_GB2312" w:eastAsia="仿宋_GB2312" w:cs="仿宋_GB2312"/>
          <w:color w:val="000000"/>
          <w:sz w:val="32"/>
          <w:highlight w:val="none"/>
          <w:lang w:val="en-US"/>
        </w:rPr>
        <w:t>万元，比上年</w:t>
      </w:r>
      <w:r>
        <w:rPr>
          <w:rFonts w:hint="eastAsia" w:ascii="仿宋_GB2312" w:hAnsi="仿宋_GB2312" w:eastAsia="仿宋_GB2312" w:cs="仿宋_GB2312"/>
          <w:color w:val="000000"/>
          <w:sz w:val="32"/>
          <w:highlight w:val="none"/>
          <w:lang w:val="en-US" w:eastAsia="zh-CN"/>
        </w:rPr>
        <w:t>增加78.15</w:t>
      </w:r>
      <w:r>
        <w:rPr>
          <w:rFonts w:hint="eastAsia" w:ascii="仿宋_GB2312" w:hAnsi="仿宋_GB2312" w:eastAsia="仿宋_GB2312" w:cs="仿宋_GB2312"/>
          <w:color w:val="000000"/>
          <w:sz w:val="32"/>
          <w:highlight w:val="none"/>
          <w:lang w:val="en-US"/>
        </w:rPr>
        <w:t>%。</w:t>
      </w:r>
      <w:r>
        <w:rPr>
          <w:rFonts w:hint="eastAsia" w:ascii="仿宋_GB2312" w:hAnsi="仿宋_GB2312" w:eastAsia="仿宋_GB2312" w:cs="仿宋_GB2312"/>
          <w:color w:val="000000"/>
          <w:sz w:val="32"/>
          <w:highlight w:val="none"/>
          <w:lang w:val="en-US" w:eastAsia="zh-CN"/>
        </w:rPr>
        <w:t>项目支出为1637.47元，其中：一般公共服务支出239万元，比上年减少5.87%。支持企业发展18.18万元，比上年增加2.33%。社会保障和就业38万元，比上年增加1.25%。生态环保支出51.87万元，比上年增加8.22%。农林水支出970.42万元，比上年增加11.02%。城乡社区支出320万元，比上年减少3.52%</w:t>
      </w:r>
      <w:bookmarkStart w:id="0" w:name="_GoBack"/>
      <w:bookmarkEnd w:id="0"/>
      <w:r>
        <w:rPr>
          <w:rFonts w:hint="eastAsia" w:ascii="仿宋_GB2312" w:hAnsi="仿宋_GB2312" w:eastAsia="仿宋_GB2312" w:cs="仿宋_GB2312"/>
          <w:color w:val="000000"/>
          <w:sz w:val="32"/>
          <w:highlight w:val="none"/>
          <w:lang w:val="en-US" w:eastAsia="zh-CN"/>
        </w:rPr>
        <w:t>。</w:t>
      </w:r>
      <w:r>
        <w:rPr>
          <w:rFonts w:hint="eastAsia" w:ascii="仿宋_GB2312" w:hAnsi="仿宋_GB2312" w:eastAsia="仿宋_GB2312" w:cs="仿宋_GB2312"/>
          <w:color w:val="000000"/>
          <w:sz w:val="32"/>
          <w:highlight w:val="none"/>
          <w:lang w:val="en-US"/>
        </w:rPr>
        <w:t xml:space="preserve">                                                                                                                                                                                                                                                                                                                                                                                                                                                                                                                                                                                                                                                                                                                                                                                                                                                                                                                                                                                                                                                                                                                                                                                                                                                                                                                                                                                                                                                                                                                                                                                                                                                                                                                                                                                                                                                                                                                                                                                                                                                                                                                                                                                                                                                                                                                                                                                                                                                                                                                                                                                                                                                                                                                                                                                                                                                                                                                                                                                                                                                                                                                                                                                                                                                                                                                                                                                                                                                                                                                                                                                                                                                                                                                                                                                                                                                                                                                                                                                                                                                                                                                                                                                                                </w:t>
      </w:r>
      <w:r>
        <w:rPr>
          <w:rFonts w:hint="eastAsia" w:ascii="仿宋_GB2312" w:hAnsi="仿宋_GB2312" w:eastAsia="仿宋_GB2312" w:cs="仿宋_GB2312"/>
          <w:color w:val="000000"/>
          <w:sz w:val="32"/>
          <w:highlight w:val="none"/>
          <w:lang w:val="en-US"/>
        </w:rPr>
        <w:t xml:space="preserve">                                                                                                                                                                                                                                                                                                                                                                                                                                                                                                                                                                                                                                                                                                                                                                                                                                                                                                                                                                                                                                                                                                                      </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color w:val="auto"/>
          <w:kern w:val="0"/>
          <w:sz w:val="32"/>
          <w:highlight w:val="none"/>
          <w:lang w:val="en-US"/>
        </w:rPr>
      </w:pPr>
      <w:r>
        <w:rPr>
          <w:rFonts w:hint="eastAsia" w:ascii="黑体" w:hAnsi="黑体" w:eastAsia="黑体" w:cs="黑体"/>
          <w:color w:val="auto"/>
          <w:kern w:val="0"/>
          <w:sz w:val="32"/>
          <w:highlight w:val="none"/>
          <w:lang w:val="en-US"/>
        </w:rPr>
        <w:t>六、一般公共预算财政拨款基本支出决算情况说明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kern w:val="0"/>
          <w:sz w:val="32"/>
          <w:highlight w:val="none"/>
          <w:lang w:val="en-US"/>
        </w:rPr>
      </w:pPr>
      <w:r>
        <w:rPr>
          <w:rFonts w:hint="eastAsia" w:ascii="仿宋_GB2312" w:hAnsi="仿宋_GB2312" w:eastAsia="仿宋_GB2312" w:cs="仿宋_GB2312"/>
          <w:color w:val="auto"/>
          <w:sz w:val="32"/>
          <w:highlight w:val="none"/>
          <w:lang w:val="zh-CN"/>
        </w:rPr>
        <w:t>2019年度</w:t>
      </w:r>
      <w:r>
        <w:rPr>
          <w:rFonts w:hint="eastAsia" w:ascii="仿宋_GB2312" w:hAnsi="仿宋_GB2312" w:eastAsia="仿宋_GB2312" w:cs="仿宋_GB2312"/>
          <w:color w:val="auto"/>
          <w:kern w:val="0"/>
          <w:sz w:val="32"/>
          <w:highlight w:val="none"/>
          <w:lang w:val="en-US"/>
        </w:rPr>
        <w:t>财政拨款基本支出1,896.32万元，其中:人员经费1,165.65万元，主要包括基本工资、津贴补贴、</w:t>
      </w:r>
      <w:r>
        <w:rPr>
          <w:rFonts w:hint="eastAsia" w:ascii="仿宋_GB2312" w:hAnsi="仿宋_GB2312" w:eastAsia="仿宋_GB2312" w:cs="仿宋_GB2312"/>
          <w:color w:val="auto"/>
          <w:kern w:val="0"/>
          <w:sz w:val="32"/>
          <w:highlight w:val="non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仿宋_GB2312"/>
          <w:color w:val="auto"/>
          <w:kern w:val="0"/>
          <w:sz w:val="32"/>
          <w:highlight w:val="none"/>
          <w:lang w:val="en-US"/>
        </w:rPr>
        <w:t>公用经费730.68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color w:val="auto"/>
          <w:sz w:val="32"/>
          <w:highlight w:val="none"/>
          <w:lang w:val="zh-CN"/>
        </w:rPr>
      </w:pPr>
      <w:r>
        <w:rPr>
          <w:rFonts w:hint="eastAsia" w:ascii="黑体" w:hAnsi="黑体" w:eastAsia="黑体" w:cs="黑体"/>
          <w:color w:val="auto"/>
          <w:sz w:val="32"/>
          <w:highlight w:val="none"/>
          <w:lang w:val="zh-CN"/>
        </w:rPr>
        <w:t>七、一般公共预算财政拨款“三公”经费支出决算情况说明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楷体_GB2312" w:hAnsi="楷体_GB2312" w:eastAsia="楷体_GB2312" w:cs="楷体_GB2312"/>
          <w:b/>
          <w:bCs/>
          <w:color w:val="000000"/>
          <w:kern w:val="0"/>
          <w:sz w:val="32"/>
          <w:szCs w:val="32"/>
          <w:highlight w:val="none"/>
          <w:lang w:val="zh-CN" w:eastAsia="zh-CN"/>
        </w:rPr>
      </w:pPr>
      <w:r>
        <w:rPr>
          <w:rFonts w:hint="eastAsia" w:ascii="楷体_GB2312" w:hAnsi="楷体_GB2312" w:eastAsia="楷体_GB2312" w:cs="楷体_GB2312"/>
          <w:b/>
          <w:bCs/>
          <w:color w:val="000000"/>
          <w:kern w:val="0"/>
          <w:sz w:val="32"/>
          <w:szCs w:val="32"/>
          <w:highlight w:val="none"/>
          <w:lang w:val="zh-CN" w:eastAsia="zh-CN"/>
        </w:rPr>
        <w:t>（一）“三公”经费财政拨款支出决算总体情况说明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zh-CN"/>
        </w:rPr>
      </w:pPr>
      <w:r>
        <w:rPr>
          <w:rFonts w:hint="eastAsia" w:ascii="仿宋_GB2312" w:hAnsi="仿宋_GB2312" w:eastAsia="仿宋_GB2312" w:cs="仿宋_GB2312"/>
          <w:color w:val="auto"/>
          <w:sz w:val="32"/>
          <w:highlight w:val="none"/>
          <w:lang w:val="en-US"/>
        </w:rPr>
        <w:t>2019年度“三公”经费财政拨款支出预算为43万元，支出决算为41.37万元,</w:t>
      </w:r>
      <w:r>
        <w:rPr>
          <w:rFonts w:hint="eastAsia" w:ascii="仿宋_GB2312" w:hAnsi="仿宋_GB2312" w:eastAsia="仿宋_GB2312" w:cs="仿宋_GB2312"/>
          <w:color w:val="auto"/>
          <w:sz w:val="32"/>
          <w:highlight w:val="none"/>
          <w:lang w:val="zh-CN"/>
        </w:rPr>
        <w:t>完成预算的96.21%，其中：无因公出国（境）费支出预算与决算。公务用车购置费及运行维护费支出预算为12万元，支出决算为10.74万元,完成预算的89.5%,决算数小于预算数的主要原因是认真贯彻落实中央“八项规定”精神和厉行节约要求，从严控制“三公”经费开支，全年实际支出比预算有所节约。公务接待费支出预算为31万元，支出决算为30.63万元,完成预算的98.81%,决算数小于预算数的主要原因是是认真贯彻落实中央“八项规定”精神和厉行节约要求，从严控制“三公”经费开支，全年实际支出比预算有所节约。与上年相比减少0.12万元，减少0.39%,减少主要原因是认真贯彻落实中央“八项规定”精神和厉行节约要求，从严控制“三公”经费开支，全年支出比上年有所压减。</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700"/>
        <w:jc w:val="both"/>
        <w:textAlignment w:val="auto"/>
        <w:rPr>
          <w:rFonts w:hint="eastAsia" w:ascii="楷体_GB2312" w:hAnsi="楷体_GB2312" w:eastAsia="楷体_GB2312" w:cs="楷体_GB2312"/>
          <w:b/>
          <w:bCs/>
          <w:color w:val="000000"/>
          <w:kern w:val="0"/>
          <w:sz w:val="32"/>
          <w:szCs w:val="32"/>
          <w:highlight w:val="none"/>
          <w:lang w:val="zh-CN" w:eastAsia="zh-CN"/>
        </w:rPr>
      </w:pPr>
      <w:r>
        <w:rPr>
          <w:rFonts w:hint="eastAsia" w:ascii="楷体_GB2312" w:hAnsi="楷体_GB2312" w:eastAsia="楷体_GB2312" w:cs="楷体_GB2312"/>
          <w:b/>
          <w:bCs/>
          <w:color w:val="000000"/>
          <w:kern w:val="0"/>
          <w:sz w:val="32"/>
          <w:szCs w:val="32"/>
          <w:highlight w:val="none"/>
          <w:lang w:val="zh-CN" w:eastAsia="zh-CN"/>
        </w:rPr>
        <w:t>（二）“三公”经费财政拨款支出决算具体情况说明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zh-CN"/>
        </w:rPr>
      </w:pPr>
      <w:r>
        <w:rPr>
          <w:rFonts w:hint="eastAsia" w:ascii="仿宋_GB2312" w:hAnsi="仿宋_GB2312" w:eastAsia="仿宋_GB2312" w:cs="仿宋_GB2312"/>
          <w:color w:val="auto"/>
          <w:sz w:val="32"/>
          <w:highlight w:val="none"/>
          <w:lang w:val="zh-CN"/>
        </w:rPr>
        <w:t>2019年度“三公”经费财政拨款支出决算中，</w:t>
      </w:r>
      <w:r>
        <w:rPr>
          <w:rFonts w:hint="eastAsia" w:ascii="仿宋_GB2312" w:hAnsi="仿宋_GB2312" w:eastAsia="仿宋_GB2312" w:cs="仿宋_GB2312"/>
          <w:color w:val="auto"/>
          <w:sz w:val="32"/>
          <w:szCs w:val="22"/>
          <w:highlight w:val="none"/>
          <w:lang w:val="zh-CN"/>
        </w:rPr>
        <w:t>无因公出国（境）费支出预算与决算。</w:t>
      </w:r>
      <w:r>
        <w:rPr>
          <w:rFonts w:hint="eastAsia" w:ascii="仿宋_GB2312" w:hAnsi="仿宋_GB2312" w:eastAsia="仿宋_GB2312" w:cs="仿宋_GB2312"/>
          <w:color w:val="auto"/>
          <w:sz w:val="32"/>
          <w:highlight w:val="none"/>
          <w:lang w:val="zh-CN"/>
        </w:rPr>
        <w:t>公务用车运行维护费决算10.74万元，占25.96%。公务接待费决算30.63万元，占74.04%。具体情况如下：</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zh-CN"/>
        </w:rPr>
      </w:pPr>
      <w:r>
        <w:rPr>
          <w:rFonts w:hint="eastAsia" w:ascii="仿宋_GB2312" w:hAnsi="仿宋_GB2312" w:eastAsia="仿宋_GB2312" w:cs="仿宋_GB2312"/>
          <w:color w:val="auto"/>
          <w:sz w:val="32"/>
          <w:highlight w:val="none"/>
          <w:lang w:val="zh-CN"/>
        </w:rPr>
        <w:t>公务用车购置及运行费预算为12万元，支出决算为10.74万元，完成预算的89.5%,主要是继续加强公务用车管理，公务用车费用有所节约。其中：公务用车运行支出10.74万元。主要是按规定保留的公务用车的燃料费、维修费、过桥过路费、保险费、安全奖励费用等支出。截至2019年12月31日，机关单位开支财政拨款的公务用车保有量为2辆。</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zh-CN"/>
        </w:rPr>
      </w:pPr>
      <w:r>
        <w:rPr>
          <w:rFonts w:hint="eastAsia" w:ascii="仿宋_GB2312" w:hAnsi="仿宋_GB2312" w:eastAsia="仿宋_GB2312" w:cs="仿宋_GB2312"/>
          <w:color w:val="auto"/>
          <w:sz w:val="32"/>
          <w:highlight w:val="none"/>
          <w:lang w:val="zh-CN"/>
        </w:rPr>
        <w:t>公务接待费预算为31万元，支出决算为30.63万元，完成预算的98.81%,主要是积极贯彻落实中央关于厉行节约的要求，从严控制公务接待行为。其中：其他国内公务接待支出30.63万元。主要用于与有关单位交流工作情况及接受相关部门检查指导工作发生的接待支出。益阳市沧水铺镇人民政府2019年共接待国内公务接待批次350个、接待人次2748人次（不包括陪同人员）。</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color w:val="auto"/>
          <w:kern w:val="0"/>
          <w:sz w:val="32"/>
          <w:highlight w:val="none"/>
          <w:lang w:val="en-US"/>
        </w:rPr>
      </w:pPr>
      <w:r>
        <w:rPr>
          <w:rFonts w:hint="eastAsia" w:ascii="黑体" w:hAnsi="黑体" w:eastAsia="黑体" w:cs="黑体"/>
          <w:color w:val="auto"/>
          <w:kern w:val="0"/>
          <w:sz w:val="32"/>
          <w:highlight w:val="none"/>
          <w:lang w:val="en-US"/>
        </w:rPr>
        <w:t>八、政府性基金预算收入支出决算情况</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en-US"/>
        </w:rPr>
      </w:pPr>
      <w:r>
        <w:rPr>
          <w:rFonts w:hint="eastAsia" w:ascii="仿宋_GB2312" w:hAnsi="仿宋_GB2312" w:eastAsia="仿宋_GB2312" w:cs="仿宋_GB2312"/>
          <w:color w:val="auto"/>
          <w:kern w:val="0"/>
          <w:sz w:val="32"/>
          <w:highlight w:val="none"/>
          <w:lang w:val="en-US"/>
        </w:rPr>
        <w:t>2019年政府性基金年初结转和结余</w:t>
      </w:r>
      <w:r>
        <w:rPr>
          <w:rFonts w:hint="eastAsia" w:ascii="仿宋_GB2312" w:hAnsi="仿宋_GB2312" w:eastAsia="仿宋_GB2312" w:cs="仿宋_GB2312"/>
          <w:color w:val="auto"/>
          <w:kern w:val="0"/>
          <w:sz w:val="32"/>
          <w:highlight w:val="none"/>
          <w:lang w:val="en-US" w:eastAsia="zh-CN"/>
        </w:rPr>
        <w:t>543</w:t>
      </w:r>
      <w:r>
        <w:rPr>
          <w:rFonts w:hint="eastAsia" w:ascii="仿宋_GB2312" w:hAnsi="仿宋_GB2312" w:eastAsia="仿宋_GB2312" w:cs="仿宋_GB2312"/>
          <w:color w:val="auto"/>
          <w:kern w:val="0"/>
          <w:sz w:val="32"/>
          <w:highlight w:val="none"/>
          <w:lang w:val="en-US"/>
        </w:rPr>
        <w:t>.94万元,2019年政府性基金本年收入427.74万元,占本年收入合计的11.68%。比上年减少48.23%，本年支出828.62万元,占本年支出合计的18.99%。比上年增加193</w:t>
      </w:r>
      <w:r>
        <w:rPr>
          <w:rFonts w:hint="eastAsia" w:ascii="仿宋_GB2312" w:hAnsi="仿宋_GB2312" w:eastAsia="仿宋_GB2312" w:cs="仿宋_GB2312"/>
          <w:color w:val="auto"/>
          <w:kern w:val="0"/>
          <w:sz w:val="32"/>
          <w:highlight w:val="none"/>
          <w:lang w:val="en-US" w:eastAsia="zh-CN"/>
        </w:rPr>
        <w:t>.58万元</w:t>
      </w:r>
      <w:r>
        <w:rPr>
          <w:rFonts w:hint="eastAsia" w:ascii="仿宋_GB2312" w:hAnsi="仿宋_GB2312" w:eastAsia="仿宋_GB2312" w:cs="仿宋_GB2312"/>
          <w:color w:val="auto"/>
          <w:kern w:val="0"/>
          <w:sz w:val="32"/>
          <w:highlight w:val="none"/>
          <w:lang w:val="en-US"/>
        </w:rPr>
        <w:t>，项目支出828.62万元,比上年增加193</w:t>
      </w:r>
      <w:r>
        <w:rPr>
          <w:rFonts w:hint="eastAsia" w:ascii="仿宋_GB2312" w:hAnsi="仿宋_GB2312" w:eastAsia="仿宋_GB2312" w:cs="仿宋_GB2312"/>
          <w:color w:val="auto"/>
          <w:kern w:val="0"/>
          <w:sz w:val="32"/>
          <w:highlight w:val="none"/>
          <w:lang w:val="en-US" w:eastAsia="zh-CN"/>
        </w:rPr>
        <w:t>.58万元</w:t>
      </w:r>
      <w:r>
        <w:rPr>
          <w:rFonts w:hint="eastAsia" w:ascii="仿宋_GB2312" w:hAnsi="仿宋_GB2312" w:eastAsia="仿宋_GB2312" w:cs="仿宋_GB2312"/>
          <w:color w:val="auto"/>
          <w:kern w:val="0"/>
          <w:sz w:val="32"/>
          <w:highlight w:val="none"/>
          <w:lang w:val="en-US"/>
        </w:rPr>
        <w:t>，</w:t>
      </w:r>
      <w:r>
        <w:rPr>
          <w:rFonts w:hint="eastAsia" w:ascii="仿宋_GB2312" w:hAnsi="仿宋_GB2312" w:eastAsia="仿宋_GB2312" w:cs="仿宋_GB2312"/>
          <w:color w:val="auto"/>
          <w:sz w:val="32"/>
          <w:szCs w:val="22"/>
          <w:highlight w:val="none"/>
          <w:lang w:val="zh-CN"/>
        </w:rPr>
        <w:t>主要原因是项目投入增加</w:t>
      </w:r>
      <w:r>
        <w:rPr>
          <w:rFonts w:hint="eastAsia" w:ascii="仿宋_GB2312" w:hAnsi="仿宋_GB2312" w:eastAsia="仿宋_GB2312" w:cs="仿宋_GB2312"/>
          <w:color w:val="auto"/>
          <w:sz w:val="32"/>
          <w:szCs w:val="22"/>
          <w:highlight w:val="none"/>
          <w:lang w:val="zh-CN" w:eastAsia="zh-CN"/>
        </w:rPr>
        <w:t>。</w:t>
      </w:r>
      <w:r>
        <w:rPr>
          <w:rFonts w:hint="eastAsia" w:ascii="仿宋_GB2312" w:hAnsi="仿宋_GB2312" w:eastAsia="仿宋_GB2312" w:cs="仿宋_GB2312"/>
          <w:color w:val="auto"/>
          <w:kern w:val="0"/>
          <w:sz w:val="32"/>
          <w:highlight w:val="none"/>
          <w:lang w:val="en-US"/>
        </w:rPr>
        <w:t>年末结转和结余143.07万元,比上年减少73.7%，</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color w:val="auto"/>
          <w:kern w:val="0"/>
          <w:sz w:val="32"/>
          <w:highlight w:val="none"/>
          <w:lang w:val="en-US"/>
        </w:rPr>
      </w:pPr>
      <w:r>
        <w:rPr>
          <w:rFonts w:hint="eastAsia" w:ascii="黑体" w:hAnsi="黑体" w:eastAsia="黑体" w:cs="黑体"/>
          <w:color w:val="auto"/>
          <w:sz w:val="32"/>
          <w:highlight w:val="none"/>
          <w:lang w:val="en-US"/>
        </w:rPr>
        <w:t>九、</w:t>
      </w:r>
      <w:r>
        <w:rPr>
          <w:rFonts w:hint="eastAsia" w:ascii="黑体" w:hAnsi="黑体" w:eastAsia="黑体" w:cs="黑体"/>
          <w:color w:val="auto"/>
          <w:kern w:val="0"/>
          <w:sz w:val="32"/>
          <w:highlight w:val="none"/>
          <w:lang w:val="en-US"/>
        </w:rPr>
        <w:t>预算绩效情况说明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b/>
          <w:bCs/>
          <w:color w:val="auto"/>
          <w:kern w:val="0"/>
          <w:sz w:val="32"/>
          <w:highlight w:val="none"/>
          <w:lang w:val="en-US"/>
        </w:rPr>
      </w:pPr>
      <w:r>
        <w:rPr>
          <w:rFonts w:hint="eastAsia" w:ascii="楷体_GB2312" w:hAnsi="楷体_GB2312" w:eastAsia="楷体_GB2312" w:cs="楷体_GB2312"/>
          <w:b/>
          <w:bCs/>
          <w:color w:val="auto"/>
          <w:kern w:val="0"/>
          <w:sz w:val="32"/>
          <w:highlight w:val="none"/>
          <w:lang w:val="en-US"/>
        </w:rPr>
        <w:t>（一）绩效管理工作开展情况</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kern w:val="0"/>
          <w:sz w:val="32"/>
          <w:highlight w:val="none"/>
          <w:lang w:val="en-US"/>
        </w:rPr>
      </w:pPr>
      <w:r>
        <w:rPr>
          <w:rFonts w:hint="eastAsia" w:ascii="仿宋_GB2312" w:hAnsi="仿宋_GB2312" w:eastAsia="仿宋_GB2312" w:cs="仿宋_GB2312"/>
          <w:color w:val="auto"/>
          <w:kern w:val="0"/>
          <w:sz w:val="32"/>
          <w:highlight w:val="none"/>
          <w:lang w:val="en-US"/>
        </w:rPr>
        <w:t>为加强财政资金管理，强化支出责任，提高财政资金的使用效益，建立科学、合理的财政支出绩效评价管理体系，根据、《益阳市赫山区人民政府关于全面推进预算绩效管理的实施意见》（益赫政发【2016】12号、《益阳市赫山区财政局关于转发《湖南省预算绩效管理工作规程（试行）的通知》（益赫财绩【201</w:t>
      </w:r>
      <w:r>
        <w:rPr>
          <w:rFonts w:hint="eastAsia" w:ascii="仿宋_GB2312" w:hAnsi="仿宋_GB2312" w:eastAsia="仿宋_GB2312" w:cs="仿宋_GB2312"/>
          <w:color w:val="auto"/>
          <w:kern w:val="0"/>
          <w:sz w:val="32"/>
          <w:highlight w:val="none"/>
          <w:lang w:val="en-US" w:eastAsia="zh-CN"/>
        </w:rPr>
        <w:t>6</w:t>
      </w:r>
      <w:r>
        <w:rPr>
          <w:rFonts w:hint="eastAsia" w:ascii="仿宋_GB2312" w:hAnsi="仿宋_GB2312" w:eastAsia="仿宋_GB2312" w:cs="仿宋_GB2312"/>
          <w:color w:val="auto"/>
          <w:kern w:val="0"/>
          <w:sz w:val="32"/>
          <w:highlight w:val="none"/>
          <w:lang w:val="en-US"/>
        </w:rPr>
        <w:t>】</w:t>
      </w:r>
      <w:r>
        <w:rPr>
          <w:rFonts w:hint="eastAsia" w:ascii="仿宋_GB2312" w:hAnsi="仿宋_GB2312" w:eastAsia="仿宋_GB2312" w:cs="仿宋_GB2312"/>
          <w:color w:val="auto"/>
          <w:kern w:val="0"/>
          <w:sz w:val="32"/>
          <w:highlight w:val="none"/>
          <w:lang w:val="en-US" w:eastAsia="zh-CN"/>
        </w:rPr>
        <w:t>85</w:t>
      </w:r>
      <w:r>
        <w:rPr>
          <w:rFonts w:hint="eastAsia" w:ascii="仿宋_GB2312" w:hAnsi="仿宋_GB2312" w:eastAsia="仿宋_GB2312" w:cs="仿宋_GB2312"/>
          <w:color w:val="auto"/>
          <w:kern w:val="0"/>
          <w:sz w:val="32"/>
          <w:highlight w:val="none"/>
          <w:lang w:val="en-US"/>
        </w:rPr>
        <w:t>号）等有关文件精神。我单位于201</w:t>
      </w:r>
      <w:r>
        <w:rPr>
          <w:rFonts w:hint="eastAsia" w:ascii="仿宋_GB2312" w:hAnsi="仿宋_GB2312" w:eastAsia="仿宋_GB2312" w:cs="仿宋_GB2312"/>
          <w:color w:val="auto"/>
          <w:kern w:val="0"/>
          <w:sz w:val="32"/>
          <w:highlight w:val="none"/>
          <w:lang w:val="en-US" w:eastAsia="zh-CN"/>
        </w:rPr>
        <w:t>9</w:t>
      </w:r>
      <w:r>
        <w:rPr>
          <w:rFonts w:hint="eastAsia" w:ascii="仿宋_GB2312" w:hAnsi="仿宋_GB2312" w:eastAsia="仿宋_GB2312" w:cs="仿宋_GB2312"/>
          <w:color w:val="auto"/>
          <w:kern w:val="0"/>
          <w:sz w:val="32"/>
          <w:highlight w:val="none"/>
          <w:lang w:val="en-US"/>
        </w:rPr>
        <w:t>年</w:t>
      </w:r>
      <w:r>
        <w:rPr>
          <w:rFonts w:hint="eastAsia" w:ascii="仿宋_GB2312" w:hAnsi="仿宋_GB2312" w:eastAsia="仿宋_GB2312" w:cs="仿宋_GB2312"/>
          <w:color w:val="auto"/>
          <w:kern w:val="0"/>
          <w:sz w:val="32"/>
          <w:highlight w:val="none"/>
          <w:lang w:val="en-US" w:eastAsia="zh-CN"/>
        </w:rPr>
        <w:t>7</w:t>
      </w:r>
      <w:r>
        <w:rPr>
          <w:rFonts w:hint="eastAsia" w:ascii="仿宋_GB2312" w:hAnsi="仿宋_GB2312" w:eastAsia="仿宋_GB2312" w:cs="仿宋_GB2312"/>
          <w:color w:val="auto"/>
          <w:kern w:val="0"/>
          <w:sz w:val="32"/>
          <w:highlight w:val="none"/>
          <w:lang w:val="en-US"/>
        </w:rPr>
        <w:t>月，组织力量对本单位的部门预算整体支出进行了绩效评价，本次评价遵循了“科学规范、公正公开、分类管理、绩效相关”的原则，运用科学、合理的绩效评价方法，对本单位201</w:t>
      </w:r>
      <w:r>
        <w:rPr>
          <w:rFonts w:hint="eastAsia" w:ascii="仿宋_GB2312" w:hAnsi="仿宋_GB2312" w:eastAsia="仿宋_GB2312" w:cs="仿宋_GB2312"/>
          <w:color w:val="auto"/>
          <w:kern w:val="0"/>
          <w:sz w:val="32"/>
          <w:highlight w:val="none"/>
          <w:lang w:val="en-US" w:eastAsia="zh-CN"/>
        </w:rPr>
        <w:t>9</w:t>
      </w:r>
      <w:r>
        <w:rPr>
          <w:rFonts w:hint="eastAsia" w:ascii="仿宋_GB2312" w:hAnsi="仿宋_GB2312" w:eastAsia="仿宋_GB2312" w:cs="仿宋_GB2312"/>
          <w:color w:val="auto"/>
          <w:kern w:val="0"/>
          <w:sz w:val="32"/>
          <w:highlight w:val="none"/>
          <w:lang w:val="en-US"/>
        </w:rPr>
        <w:t>度预算绩效情况进行客观、公正的评价。</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color w:val="auto"/>
          <w:kern w:val="0"/>
          <w:sz w:val="32"/>
          <w:highlight w:val="none"/>
          <w:lang w:val="en-US" w:eastAsia="zh-CN"/>
        </w:rPr>
      </w:pPr>
      <w:r>
        <w:rPr>
          <w:rFonts w:hint="eastAsia" w:ascii="楷体_GB2312" w:hAnsi="楷体_GB2312" w:eastAsia="楷体_GB2312" w:cs="楷体_GB2312"/>
          <w:b/>
          <w:bCs/>
          <w:color w:val="auto"/>
          <w:kern w:val="0"/>
          <w:sz w:val="32"/>
          <w:szCs w:val="22"/>
          <w:highlight w:val="none"/>
          <w:lang w:val="en-US" w:eastAsia="zh-CN"/>
        </w:rPr>
        <w:t>（二）</w:t>
      </w:r>
      <w:r>
        <w:rPr>
          <w:rFonts w:hint="eastAsia" w:ascii="楷体_GB2312" w:hAnsi="楷体_GB2312" w:eastAsia="楷体_GB2312" w:cs="楷体_GB2312"/>
          <w:b/>
          <w:bCs/>
          <w:color w:val="auto"/>
          <w:kern w:val="0"/>
          <w:sz w:val="32"/>
          <w:szCs w:val="22"/>
          <w:highlight w:val="none"/>
          <w:lang w:val="en-US"/>
        </w:rPr>
        <w:t>部门决算中项目绩效自评结果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kern w:val="0"/>
          <w:sz w:val="32"/>
          <w:highlight w:val="none"/>
          <w:lang w:val="en-US" w:eastAsia="zh-CN"/>
        </w:rPr>
      </w:pPr>
      <w:r>
        <w:rPr>
          <w:rFonts w:hint="eastAsia" w:ascii="仿宋_GB2312" w:hAnsi="仿宋_GB2312" w:eastAsia="仿宋_GB2312" w:cs="仿宋_GB2312"/>
          <w:color w:val="auto"/>
          <w:kern w:val="0"/>
          <w:sz w:val="32"/>
          <w:highlight w:val="none"/>
          <w:lang w:val="en-US" w:eastAsia="zh-CN"/>
        </w:rPr>
        <w:t>1、进一步完善农村基础设施，改善农村生态环境质量，提升农村公共服务水平，促进产业发展，持续提高居民收入、提高村民生产生活条件，利于长期发展。受益人口近1.5万人。显著提高了群众的生产生活水平。使农村展现了新面貌，焕发了新的生机和活力。普遍认为项目实施对改善村容村貌、改善生态环境，提高村民生产生活质量作用很大，干群关系得到改善，村民之间关系变得和睦，农户对公路油化建设工程的整体满意度达到了98％以上，处于优秀水平。农村基础没施环境建设得到加强，促进了农民生产生活条件的改善。人居环境得到改善，调动了广大农民建设家园的积极性。</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kern w:val="0"/>
          <w:sz w:val="32"/>
          <w:highlight w:val="none"/>
          <w:lang w:val="en-US" w:eastAsia="zh-CN"/>
        </w:rPr>
      </w:pPr>
      <w:r>
        <w:rPr>
          <w:rFonts w:hint="eastAsia" w:ascii="仿宋_GB2312" w:hAnsi="仿宋_GB2312" w:eastAsia="仿宋_GB2312" w:cs="仿宋_GB2312"/>
          <w:color w:val="auto"/>
          <w:kern w:val="0"/>
          <w:sz w:val="32"/>
          <w:highlight w:val="none"/>
          <w:lang w:val="en-US" w:eastAsia="zh-CN"/>
        </w:rPr>
        <w:t>2、促进了本村社会事业的发展和乡风文明水平的提高。推行农村财务公开，是完善村规民约一项很好措施。为广大村干部深入基层开展工作、统一农民思想、了解农民心声、化解各种矛盾提供了一个很好的平合。给农牧民提供了参政议政、当家作主的机遇，体现了村务管理民主公开，丰富了农村民主管理的内容活跃了农村集体经济共同发展的市场，提高了村民经济收入，促进了村风文明水平。</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kern w:val="0"/>
          <w:sz w:val="32"/>
          <w:highlight w:val="none"/>
          <w:lang w:val="en-US" w:eastAsia="zh-CN"/>
        </w:rPr>
      </w:pPr>
      <w:r>
        <w:rPr>
          <w:rFonts w:hint="eastAsia" w:ascii="仿宋_GB2312" w:hAnsi="仿宋_GB2312" w:eastAsia="仿宋_GB2312" w:cs="仿宋_GB2312"/>
          <w:color w:val="auto"/>
          <w:kern w:val="0"/>
          <w:sz w:val="32"/>
          <w:highlight w:val="none"/>
          <w:lang w:val="en-US" w:eastAsia="zh-CN"/>
        </w:rPr>
        <w:t>3、本项目通过统筹沟渠清淤、生态湿地、草皮绿化等工程建设，实现项目区域内山水林田草系统统筹治理，在发展经济的同时，妥善处理生态环境保护与经济发展的关系，使得项目区环境污染得到有效治理，实现项目区清洁家园、美化田园，有力的推动洞庭湖区生态环境的建设。珠波塘村洞庭湖生态经济区“五结合”专项工作的实施和该工程的投入使用，基本实现村内“渠净、水清、草绿、环境美”的目标，几十上百户的生产、生活环境得到了改善，空气得到了净化，污水不直排、沟渠不堵塞，再也闻不到以往那种恶臭气味了。同时，通过项目的实施，增强了农户的环境保护意识，让广大农户主动、积极投入环境的维护和日常管理中来，不乱丢垃圾，不乱倒污水，使之形成长效机制，大大提高了农户的幸福生活指数。</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kern w:val="0"/>
          <w:sz w:val="32"/>
          <w:highlight w:val="none"/>
          <w:lang w:val="en-US" w:eastAsia="zh-CN"/>
        </w:rPr>
      </w:pPr>
      <w:r>
        <w:rPr>
          <w:rFonts w:hint="eastAsia" w:ascii="仿宋_GB2312" w:hAnsi="仿宋_GB2312" w:eastAsia="仿宋_GB2312" w:cs="仿宋_GB2312"/>
          <w:color w:val="auto"/>
          <w:kern w:val="0"/>
          <w:sz w:val="32"/>
          <w:highlight w:val="none"/>
          <w:lang w:val="en-US" w:eastAsia="zh-CN"/>
        </w:rPr>
        <w:t>4、人民群众积极支持。由于是解决老百姓的实际问题，公路油化和“五结合”工程，从开始启动到最后完工，各村村民都表现出了极大的热情和奉献精神，有钱的出钱，有力的出力，大家积极配合工程的推进，使得工程能够按时、按质、按量的顺利完工。</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b/>
          <w:bCs/>
          <w:color w:val="auto"/>
          <w:kern w:val="0"/>
          <w:sz w:val="32"/>
          <w:szCs w:val="22"/>
          <w:highlight w:val="none"/>
          <w:lang w:val="en-US"/>
        </w:rPr>
      </w:pPr>
      <w:r>
        <w:rPr>
          <w:rFonts w:hint="eastAsia" w:ascii="楷体_GB2312" w:hAnsi="楷体_GB2312" w:eastAsia="楷体_GB2312" w:cs="楷体_GB2312"/>
          <w:b/>
          <w:bCs/>
          <w:color w:val="auto"/>
          <w:kern w:val="0"/>
          <w:sz w:val="32"/>
          <w:szCs w:val="22"/>
          <w:highlight w:val="none"/>
          <w:lang w:val="en-US"/>
        </w:rPr>
        <w:t>（三）以部门为主体开展的重点绩效评价结果</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kern w:val="0"/>
          <w:sz w:val="32"/>
          <w:highlight w:val="none"/>
          <w:lang w:val="en-US" w:eastAsia="zh-CN"/>
        </w:rPr>
      </w:pPr>
      <w:r>
        <w:rPr>
          <w:rFonts w:hint="eastAsia" w:ascii="仿宋_GB2312" w:hAnsi="仿宋_GB2312" w:eastAsia="仿宋_GB2312" w:cs="仿宋_GB2312"/>
          <w:color w:val="auto"/>
          <w:kern w:val="0"/>
          <w:sz w:val="32"/>
          <w:highlight w:val="none"/>
          <w:lang w:val="en-US" w:eastAsia="zh-CN"/>
        </w:rPr>
        <w:t>2019年度年初工作计划及重点工作目标管理符合区委、区政府总体经济和社会发展规划及职责，体现当年重点工作，资金投入相匹配，财政资金预算完成率＝（预算完成数/预算数）×100%＝100%。建立了各项财务管理制度，相关管理制度合法、合规、完整，相关管理制度得到有效执行，但也存在专项资金管理制度和厉行节约制度不健全的情况。支出大部分符合国家财经法规和财务管理制度规定以及有关专项资金管理办法的规定，资金的拨付有完整的审批过程和手续，支出一定程度上符合部门预算批复的用途，资金使用无截留、挤占、挪用、虚列支出等情况。根据区政府绩效考核文件精神，绩效目标在本年基本完成。</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黑体" w:hAnsi="黑体" w:eastAsia="黑体" w:cs="黑体"/>
          <w:color w:val="auto"/>
          <w:sz w:val="32"/>
          <w:highlight w:val="none"/>
          <w:lang w:val="en-US"/>
        </w:rPr>
      </w:pPr>
      <w:r>
        <w:rPr>
          <w:rFonts w:hint="eastAsia" w:ascii="黑体" w:hAnsi="黑体" w:eastAsia="黑体" w:cs="黑体"/>
          <w:color w:val="auto"/>
          <w:sz w:val="32"/>
          <w:highlight w:val="none"/>
          <w:lang w:val="en-US"/>
        </w:rPr>
        <w:t>其他重要事项情况说明</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b/>
          <w:bCs/>
          <w:color w:val="auto"/>
          <w:kern w:val="0"/>
          <w:sz w:val="32"/>
          <w:szCs w:val="22"/>
          <w:highlight w:val="none"/>
          <w:lang w:val="en-US"/>
        </w:rPr>
      </w:pPr>
      <w:r>
        <w:rPr>
          <w:rFonts w:hint="eastAsia" w:ascii="楷体_GB2312" w:hAnsi="楷体_GB2312" w:eastAsia="楷体_GB2312" w:cs="楷体_GB2312"/>
          <w:b/>
          <w:bCs/>
          <w:color w:val="auto"/>
          <w:kern w:val="0"/>
          <w:sz w:val="32"/>
          <w:szCs w:val="22"/>
          <w:highlight w:val="none"/>
          <w:lang w:val="en-US" w:eastAsia="zh-CN"/>
        </w:rPr>
        <w:t>（一）</w:t>
      </w:r>
      <w:r>
        <w:rPr>
          <w:rFonts w:hint="eastAsia" w:ascii="楷体_GB2312" w:hAnsi="楷体_GB2312" w:eastAsia="楷体_GB2312" w:cs="楷体_GB2312"/>
          <w:b/>
          <w:bCs/>
          <w:color w:val="auto"/>
          <w:kern w:val="0"/>
          <w:sz w:val="32"/>
          <w:szCs w:val="22"/>
          <w:highlight w:val="none"/>
          <w:lang w:val="en-US"/>
        </w:rPr>
        <w:t>机关运行经费支出情况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en-US"/>
        </w:rPr>
      </w:pPr>
      <w:r>
        <w:rPr>
          <w:rFonts w:hint="eastAsia" w:ascii="仿宋_GB2312" w:hAnsi="仿宋_GB2312" w:eastAsia="仿宋_GB2312" w:cs="仿宋_GB2312"/>
          <w:color w:val="auto"/>
          <w:sz w:val="32"/>
          <w:highlight w:val="none"/>
          <w:lang w:val="en-US"/>
        </w:rPr>
        <w:t>益阳市沧水铺镇人民政府2019年机关运行经费支出730.68万元。与年初预算数持平。</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b/>
          <w:bCs/>
          <w:color w:val="auto"/>
          <w:kern w:val="0"/>
          <w:sz w:val="32"/>
          <w:szCs w:val="22"/>
          <w:highlight w:val="none"/>
          <w:lang w:val="en-US" w:eastAsia="zh-CN"/>
        </w:rPr>
      </w:pPr>
      <w:r>
        <w:rPr>
          <w:rFonts w:hint="eastAsia" w:ascii="楷体_GB2312" w:hAnsi="楷体_GB2312" w:eastAsia="楷体_GB2312" w:cs="楷体_GB2312"/>
          <w:b/>
          <w:bCs/>
          <w:color w:val="auto"/>
          <w:kern w:val="0"/>
          <w:sz w:val="32"/>
          <w:szCs w:val="22"/>
          <w:highlight w:val="none"/>
          <w:lang w:val="en-US" w:eastAsia="zh-CN"/>
        </w:rPr>
        <w:t>（二）一般性支出情况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2019年本部门开支会议费210802元，用于召开沧水铺镇第五届人大会议、全镇党员大会等，人数为1500人次，内容为沧水铺镇2018年财政预算执行情况和2019年财政预算草案报告、沧水铺镇农村党员大会等。开支培训费14310.5元，用于贫困劳动力培训，人数为30人，内容为贫困劳动力提供工作技能培训。</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b/>
          <w:bCs/>
          <w:color w:val="auto"/>
          <w:kern w:val="0"/>
          <w:sz w:val="32"/>
          <w:szCs w:val="22"/>
          <w:highlight w:val="none"/>
          <w:lang w:val="en-US"/>
        </w:rPr>
      </w:pPr>
      <w:r>
        <w:rPr>
          <w:rFonts w:hint="eastAsia" w:ascii="楷体_GB2312" w:hAnsi="楷体_GB2312" w:eastAsia="楷体_GB2312" w:cs="楷体_GB2312"/>
          <w:b/>
          <w:bCs/>
          <w:color w:val="auto"/>
          <w:kern w:val="0"/>
          <w:sz w:val="32"/>
          <w:szCs w:val="22"/>
          <w:highlight w:val="none"/>
          <w:lang w:val="en-US" w:eastAsia="zh-CN"/>
        </w:rPr>
        <w:t>（三）</w:t>
      </w:r>
      <w:r>
        <w:rPr>
          <w:rFonts w:hint="eastAsia" w:ascii="楷体_GB2312" w:hAnsi="楷体_GB2312" w:eastAsia="楷体_GB2312" w:cs="楷体_GB2312"/>
          <w:b/>
          <w:bCs/>
          <w:color w:val="auto"/>
          <w:kern w:val="0"/>
          <w:sz w:val="32"/>
          <w:szCs w:val="22"/>
          <w:highlight w:val="none"/>
          <w:lang w:val="en-US"/>
        </w:rPr>
        <w:t>政府采购支出情情况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楷体_GB2312" w:hAnsi="楷体_GB2312" w:eastAsia="楷体_GB2312" w:cs="楷体_GB2312"/>
          <w:b/>
          <w:bCs/>
          <w:color w:val="auto"/>
          <w:kern w:val="0"/>
          <w:sz w:val="32"/>
          <w:szCs w:val="22"/>
          <w:highlight w:val="none"/>
          <w:lang w:val="en-US" w:eastAsia="zh-CN"/>
        </w:rPr>
      </w:pPr>
      <w:r>
        <w:rPr>
          <w:rFonts w:hint="eastAsia" w:ascii="仿宋_GB2312" w:hAnsi="仿宋_GB2312" w:eastAsia="仿宋_GB2312" w:cs="仿宋_GB2312"/>
          <w:color w:val="auto"/>
          <w:sz w:val="32"/>
          <w:highlight w:val="none"/>
          <w:lang w:val="en-US"/>
        </w:rPr>
        <w:t xml:space="preserve">本年度无政府采购。  </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楷体_GB2312" w:hAnsi="楷体_GB2312" w:eastAsia="楷体_GB2312" w:cs="楷体_GB2312"/>
          <w:b/>
          <w:bCs/>
          <w:color w:val="auto"/>
          <w:kern w:val="0"/>
          <w:sz w:val="32"/>
          <w:szCs w:val="22"/>
          <w:highlight w:val="none"/>
          <w:lang w:val="en-US"/>
        </w:rPr>
      </w:pPr>
      <w:r>
        <w:rPr>
          <w:rFonts w:hint="eastAsia" w:ascii="楷体_GB2312" w:hAnsi="楷体_GB2312" w:eastAsia="楷体_GB2312" w:cs="楷体_GB2312"/>
          <w:b/>
          <w:bCs/>
          <w:color w:val="auto"/>
          <w:kern w:val="0"/>
          <w:sz w:val="32"/>
          <w:szCs w:val="22"/>
          <w:highlight w:val="none"/>
          <w:lang w:val="en-US" w:eastAsia="zh-CN"/>
        </w:rPr>
        <w:t>（四）</w:t>
      </w:r>
      <w:r>
        <w:rPr>
          <w:rFonts w:hint="eastAsia" w:ascii="楷体_GB2312" w:hAnsi="楷体_GB2312" w:eastAsia="楷体_GB2312" w:cs="楷体_GB2312"/>
          <w:b/>
          <w:bCs/>
          <w:color w:val="auto"/>
          <w:kern w:val="0"/>
          <w:sz w:val="32"/>
          <w:szCs w:val="22"/>
          <w:highlight w:val="none"/>
          <w:lang w:val="en-US"/>
        </w:rPr>
        <w:t>国有资产占有情况</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en-US"/>
        </w:rPr>
      </w:pPr>
      <w:r>
        <w:rPr>
          <w:rFonts w:hint="eastAsia" w:ascii="仿宋_GB2312" w:hAnsi="仿宋_GB2312" w:eastAsia="仿宋_GB2312" w:cs="仿宋_GB2312"/>
          <w:color w:val="auto"/>
          <w:sz w:val="32"/>
          <w:highlight w:val="none"/>
          <w:lang w:val="en-US"/>
        </w:rPr>
        <w:t>截至2019年12月31日，益阳市沧水铺镇人民政府共有车辆2辆。其中：其他用车2辆，其他用车主要是用于机要通信和应急保障之外公务用途的车辆；年末无单价50万元以上通用设备，年末无单价100万元以上通用设备。</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both"/>
        <w:textAlignment w:val="auto"/>
        <w:rPr>
          <w:rFonts w:hint="eastAsia" w:ascii="仿宋_GB2312" w:hAnsi="仿宋_GB2312" w:eastAsia="仿宋_GB2312" w:cs="仿宋_GB2312"/>
          <w:color w:val="auto"/>
          <w:sz w:val="32"/>
          <w:highlight w:val="none"/>
          <w:lang w:val="en-US"/>
        </w:rPr>
      </w:pPr>
      <w:r>
        <w:rPr>
          <w:rFonts w:hint="eastAsia" w:ascii="仿宋_GB2312" w:hAnsi="仿宋_GB2312" w:eastAsia="仿宋_GB2312" w:cs="仿宋_GB2312"/>
          <w:color w:val="auto"/>
          <w:sz w:val="32"/>
          <w:highlight w:val="none"/>
          <w:lang w:val="en-US"/>
        </w:rPr>
        <w:br w:type="page"/>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sz w:val="44"/>
          <w:szCs w:val="44"/>
          <w:highlight w:val="none"/>
          <w:lang w:val="en-US"/>
        </w:rPr>
        <w:t>第四部分 名词解释</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highlight w:val="none"/>
          <w:lang w:val="en-US"/>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highlight w:val="none"/>
          <w:lang w:val="en-US"/>
        </w:rPr>
        <w:t>财政拨款收入：</w:t>
      </w:r>
      <w:r>
        <w:rPr>
          <w:rFonts w:hint="eastAsia" w:ascii="仿宋_GB2312" w:hAnsi="仿宋_GB2312" w:eastAsia="仿宋_GB2312" w:cs="仿宋_GB2312"/>
          <w:color w:val="000000"/>
          <w:kern w:val="0"/>
          <w:sz w:val="32"/>
          <w:highlight w:val="none"/>
          <w:lang w:val="en-US"/>
        </w:rPr>
        <w:t>指本级财政当年拨付的资金。</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highlight w:val="none"/>
          <w:lang w:val="en-US"/>
        </w:rPr>
        <w:t>政府性基金预算财政拨款收入</w:t>
      </w:r>
      <w:r>
        <w:rPr>
          <w:rFonts w:hint="eastAsia" w:ascii="仿宋_GB2312" w:hAnsi="仿宋_GB2312" w:eastAsia="仿宋_GB2312" w:cs="仿宋_GB2312"/>
          <w:color w:val="000000"/>
          <w:kern w:val="0"/>
          <w:sz w:val="32"/>
          <w:highlight w:val="none"/>
          <w:lang w:val="en-US"/>
        </w:rPr>
        <w:t>：指本级财政当年拨付的政府性基金预算资金。</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上年结转和结余：</w:t>
      </w:r>
      <w:r>
        <w:rPr>
          <w:rFonts w:hint="eastAsia" w:ascii="仿宋_GB2312" w:hAnsi="仿宋_GB2312" w:eastAsia="仿宋_GB2312" w:cs="仿宋_GB2312"/>
          <w:color w:val="000000"/>
          <w:kern w:val="0"/>
          <w:sz w:val="32"/>
          <w:highlight w:val="none"/>
          <w:lang w:val="en-US"/>
        </w:rPr>
        <w:t>指以前年度尚未完成、结转到本年按有关规定继续使用的资金。</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年末结转和结余资金：</w:t>
      </w:r>
      <w:r>
        <w:rPr>
          <w:rFonts w:hint="eastAsia" w:ascii="仿宋_GB2312" w:hAnsi="仿宋_GB2312" w:eastAsia="仿宋_GB2312" w:cs="仿宋_GB2312"/>
          <w:color w:val="000000"/>
          <w:kern w:val="0"/>
          <w:sz w:val="32"/>
          <w:highlight w:val="none"/>
          <w:lang w:val="en-US"/>
        </w:rPr>
        <w:t>指本年度或以前年度预算安排、因客观条件发生变化无法按原计划实施，需要延迟到以后年度按有关规定继续使用的资金。</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一般公共服务支出（类）：</w:t>
      </w:r>
      <w:r>
        <w:rPr>
          <w:rFonts w:hint="eastAsia" w:ascii="仿宋_GB2312" w:hAnsi="仿宋_GB2312" w:eastAsia="仿宋_GB2312" w:cs="仿宋_GB2312"/>
          <w:color w:val="000000"/>
          <w:kern w:val="0"/>
          <w:sz w:val="32"/>
          <w:highlight w:val="none"/>
          <w:lang w:val="en-US"/>
        </w:rPr>
        <w:t>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科学技术支出（类）：</w:t>
      </w:r>
      <w:r>
        <w:rPr>
          <w:rFonts w:hint="eastAsia" w:ascii="仿宋_GB2312" w:hAnsi="仿宋_GB2312" w:eastAsia="仿宋_GB2312" w:cs="仿宋_GB2312"/>
          <w:color w:val="000000"/>
          <w:kern w:val="0"/>
          <w:sz w:val="32"/>
          <w:highlight w:val="none"/>
          <w:lang w:val="en-US"/>
        </w:rPr>
        <w:t>是指用于科学技术方面的支出，包括保障机构正常运转、完成日常和特定的工作任务或事业发展目标的支出。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文化体育与传媒支出（类）：</w:t>
      </w:r>
      <w:r>
        <w:rPr>
          <w:rFonts w:hint="eastAsia" w:ascii="仿宋_GB2312" w:hAnsi="仿宋_GB2312" w:eastAsia="仿宋_GB2312" w:cs="仿宋_GB2312"/>
          <w:color w:val="000000"/>
          <w:kern w:val="0"/>
          <w:sz w:val="32"/>
          <w:highlight w:val="none"/>
          <w:lang w:val="en-US"/>
        </w:rPr>
        <w:t>是指用于文化、文物、体育、新闻出版广播影视等方面的支出，包括保障机构正常运转、完成日常和特定的工作任务或事业发展目标的支出。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社会保障和就业支出（类）：</w:t>
      </w:r>
      <w:r>
        <w:rPr>
          <w:rFonts w:hint="eastAsia" w:ascii="仿宋_GB2312" w:hAnsi="仿宋_GB2312" w:eastAsia="仿宋_GB2312" w:cs="仿宋_GB2312"/>
          <w:color w:val="000000"/>
          <w:kern w:val="0"/>
          <w:sz w:val="32"/>
          <w:highlight w:val="none"/>
          <w:lang w:val="en-US"/>
        </w:rPr>
        <w:t>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卫生健康支出（类）：</w:t>
      </w:r>
      <w:r>
        <w:rPr>
          <w:rFonts w:hint="eastAsia" w:ascii="仿宋_GB2312" w:hAnsi="仿宋_GB2312" w:eastAsia="仿宋_GB2312" w:cs="仿宋_GB2312"/>
          <w:color w:val="000000"/>
          <w:kern w:val="0"/>
          <w:sz w:val="32"/>
          <w:highlight w:val="none"/>
          <w:lang w:val="en-US"/>
        </w:rPr>
        <w:t>是指用于医疗卫生与计划生育方面的支出，包括保障机构正常运转、完成日常和特定的工作任务或事业发展目标的支出。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节能环保支出（类）：</w:t>
      </w:r>
      <w:r>
        <w:rPr>
          <w:rFonts w:hint="eastAsia" w:ascii="仿宋_GB2312" w:hAnsi="仿宋_GB2312" w:eastAsia="仿宋_GB2312" w:cs="仿宋_GB2312"/>
          <w:color w:val="000000"/>
          <w:kern w:val="0"/>
          <w:sz w:val="32"/>
          <w:highlight w:val="none"/>
          <w:lang w:val="en-US"/>
        </w:rPr>
        <w:t>是指用于节能环保支出，包括保障机构正常运转、完成日常和特定的工作任务或事业发展目标的支出。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城乡社区支出（类）：</w:t>
      </w:r>
      <w:r>
        <w:rPr>
          <w:rFonts w:hint="eastAsia" w:ascii="仿宋_GB2312" w:hAnsi="仿宋_GB2312" w:eastAsia="仿宋_GB2312" w:cs="仿宋_GB2312"/>
          <w:color w:val="000000"/>
          <w:kern w:val="0"/>
          <w:sz w:val="32"/>
          <w:highlight w:val="none"/>
          <w:lang w:val="en-US"/>
        </w:rPr>
        <w:t>是指用于城乡社区事务支出，包括保障机构正常运转、完成日常和特定的工作任务或事业发展目标的支出。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农林水支出（类）：</w:t>
      </w:r>
      <w:r>
        <w:rPr>
          <w:rFonts w:hint="eastAsia" w:ascii="仿宋_GB2312" w:hAnsi="仿宋_GB2312" w:eastAsia="仿宋_GB2312" w:cs="仿宋_GB2312"/>
          <w:color w:val="000000"/>
          <w:kern w:val="0"/>
          <w:sz w:val="32"/>
          <w:highlight w:val="none"/>
          <w:lang w:val="en-US"/>
        </w:rPr>
        <w:t>是指用于农林水事务支出，包括保障机构正常运转、完成日常和特定的工作任务或事业发展目标的支出。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资源勘探信息等支出（类）：</w:t>
      </w:r>
      <w:r>
        <w:rPr>
          <w:rFonts w:hint="eastAsia" w:ascii="仿宋_GB2312" w:hAnsi="仿宋_GB2312" w:eastAsia="仿宋_GB2312" w:cs="仿宋_GB2312"/>
          <w:color w:val="000000"/>
          <w:kern w:val="0"/>
          <w:sz w:val="32"/>
          <w:highlight w:val="none"/>
          <w:lang w:val="en-US"/>
        </w:rPr>
        <w:t>是指用于资源勘探、制造业、建筑业、工业信息等方面支出，包括保障机构正常运转、完成日常和特定的工作任务或事业发展目标的支出。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住房保障支出（类）：</w:t>
      </w:r>
      <w:r>
        <w:rPr>
          <w:rFonts w:hint="eastAsia" w:ascii="仿宋_GB2312" w:hAnsi="仿宋_GB2312" w:eastAsia="仿宋_GB2312" w:cs="仿宋_GB2312"/>
          <w:color w:val="000000"/>
          <w:kern w:val="0"/>
          <w:sz w:val="32"/>
          <w:highlight w:val="none"/>
          <w:lang w:val="en-US"/>
        </w:rPr>
        <w:t>是指用于住房方面的支出，包括保障机构正常运转、完成日常和特定的工作任务或事业发展目标的支出。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其他支出（类）：</w:t>
      </w:r>
      <w:r>
        <w:rPr>
          <w:rFonts w:hint="eastAsia" w:ascii="仿宋_GB2312" w:hAnsi="仿宋_GB2312" w:eastAsia="仿宋_GB2312" w:cs="仿宋_GB2312"/>
          <w:color w:val="000000"/>
          <w:kern w:val="0"/>
          <w:sz w:val="32"/>
          <w:highlight w:val="none"/>
          <w:lang w:val="en-US"/>
        </w:rPr>
        <w:t>是指用于反映除上述项目以外其他不能划分到具体功能科目中的支出项目，包括保障机构正常运转、完成日常和特定的工作任务或事业发展目标的支出。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基本支出：</w:t>
      </w:r>
      <w:r>
        <w:rPr>
          <w:rFonts w:hint="eastAsia" w:ascii="仿宋_GB2312" w:hAnsi="仿宋_GB2312" w:eastAsia="仿宋_GB2312" w:cs="仿宋_GB2312"/>
          <w:color w:val="000000"/>
          <w:kern w:val="0"/>
          <w:sz w:val="32"/>
          <w:highlight w:val="none"/>
          <w:lang w:val="en-US"/>
        </w:rPr>
        <w:t>指保障机构正常运转、完成支日常工作任务而发生的人员支出和公用支出。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项目支出：</w:t>
      </w:r>
      <w:r>
        <w:rPr>
          <w:rFonts w:hint="eastAsia" w:ascii="仿宋_GB2312" w:hAnsi="仿宋_GB2312" w:eastAsia="仿宋_GB2312" w:cs="仿宋_GB2312"/>
          <w:color w:val="000000"/>
          <w:kern w:val="0"/>
          <w:sz w:val="32"/>
          <w:highlight w:val="none"/>
          <w:lang w:val="en-US"/>
        </w:rPr>
        <w:t>指在基本支出之外为完成特定行政任务和事业发展目标所发生的支出。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“三公”经费：</w:t>
      </w:r>
      <w:r>
        <w:rPr>
          <w:rFonts w:hint="eastAsia" w:ascii="仿宋_GB2312" w:hAnsi="仿宋_GB2312" w:eastAsia="仿宋_GB2312" w:cs="仿宋_GB2312"/>
          <w:color w:val="000000"/>
          <w:kern w:val="0"/>
          <w:sz w:val="32"/>
          <w:highlight w:val="none"/>
          <w:lang w:val="en-US"/>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工资福利支出：</w:t>
      </w:r>
      <w:r>
        <w:rPr>
          <w:rFonts w:hint="eastAsia" w:ascii="仿宋_GB2312" w:hAnsi="仿宋_GB2312" w:eastAsia="仿宋_GB2312" w:cs="仿宋_GB2312"/>
          <w:color w:val="000000"/>
          <w:kern w:val="0"/>
          <w:sz w:val="32"/>
          <w:highlight w:val="none"/>
          <w:lang w:val="en-US"/>
        </w:rPr>
        <w:t>反映单位开支的在职职工和编制外长期聘用人员的各类劳动报酬，以及为上述人员缴纳的各项社会保险费等。</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基本工资：</w:t>
      </w:r>
      <w:r>
        <w:rPr>
          <w:rFonts w:hint="eastAsia" w:ascii="仿宋_GB2312" w:hAnsi="仿宋_GB2312" w:eastAsia="仿宋_GB2312" w:cs="仿宋_GB2312"/>
          <w:color w:val="000000"/>
          <w:kern w:val="0"/>
          <w:sz w:val="32"/>
          <w:highlight w:val="none"/>
          <w:lang w:val="en-US"/>
        </w:rPr>
        <w:t>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津贴补贴：</w:t>
      </w:r>
      <w:r>
        <w:rPr>
          <w:rFonts w:hint="eastAsia" w:ascii="仿宋_GB2312" w:hAnsi="仿宋_GB2312" w:eastAsia="仿宋_GB2312" w:cs="仿宋_GB2312"/>
          <w:color w:val="000000"/>
          <w:kern w:val="0"/>
          <w:sz w:val="32"/>
          <w:highlight w:val="none"/>
          <w:lang w:val="en-US"/>
        </w:rPr>
        <w:t>反映经国家批准建立的机关事业单位艰苦边远地区津贴、机关工作人员地区附加津贴、机关工作人员岗位津贴、事业单位工作人员特殊岗位津贴补贴等。</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奖金：</w:t>
      </w:r>
      <w:r>
        <w:rPr>
          <w:rFonts w:hint="eastAsia" w:ascii="仿宋_GB2312" w:hAnsi="仿宋_GB2312" w:eastAsia="仿宋_GB2312" w:cs="仿宋_GB2312"/>
          <w:color w:val="000000"/>
          <w:kern w:val="0"/>
          <w:sz w:val="32"/>
          <w:highlight w:val="none"/>
          <w:lang w:val="en-US"/>
        </w:rPr>
        <w:t>反映机关工作人员年终一次性奖金。</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绩效工资：</w:t>
      </w:r>
      <w:r>
        <w:rPr>
          <w:rFonts w:hint="eastAsia" w:ascii="仿宋_GB2312" w:hAnsi="仿宋_GB2312" w:eastAsia="仿宋_GB2312" w:cs="仿宋_GB2312"/>
          <w:color w:val="000000"/>
          <w:kern w:val="0"/>
          <w:sz w:val="32"/>
          <w:highlight w:val="none"/>
          <w:lang w:val="en-US"/>
        </w:rPr>
        <w:t>反映事业单位工作人员的绩效工资。</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机关事业单位基本养老保险缴费：</w:t>
      </w:r>
      <w:r>
        <w:rPr>
          <w:rFonts w:hint="eastAsia" w:ascii="仿宋_GB2312" w:hAnsi="仿宋_GB2312" w:eastAsia="仿宋_GB2312" w:cs="仿宋_GB2312"/>
          <w:color w:val="000000"/>
          <w:kern w:val="0"/>
          <w:sz w:val="32"/>
          <w:highlight w:val="none"/>
          <w:lang w:val="en-US"/>
        </w:rPr>
        <w:t>反映机关事业单位缴纳的基本养老保险费。由单位代扣的工作人员基本养老保险缴费，不在此科目反映。</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职业年金缴费：</w:t>
      </w:r>
      <w:r>
        <w:rPr>
          <w:rFonts w:hint="eastAsia" w:ascii="仿宋_GB2312" w:hAnsi="仿宋_GB2312" w:eastAsia="仿宋_GB2312" w:cs="仿宋_GB2312"/>
          <w:color w:val="000000"/>
          <w:kern w:val="0"/>
          <w:sz w:val="32"/>
          <w:highlight w:val="none"/>
          <w:lang w:val="en-US"/>
        </w:rPr>
        <w:t>反映机关事业单位实际缴纳的职业年金支出。由单位代扣的工作人员职业年金缴费，不在此科目反映。</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职工基本医疗保险缴费：</w:t>
      </w:r>
      <w:r>
        <w:rPr>
          <w:rFonts w:hint="eastAsia" w:ascii="仿宋_GB2312" w:hAnsi="仿宋_GB2312" w:eastAsia="仿宋_GB2312" w:cs="仿宋_GB2312"/>
          <w:color w:val="000000"/>
          <w:kern w:val="0"/>
          <w:sz w:val="32"/>
          <w:highlight w:val="none"/>
          <w:lang w:val="en-US"/>
        </w:rPr>
        <w:t>反映单位为职工缴纳的基本医疗保险费。</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公务员医疗补助缴费：</w:t>
      </w:r>
      <w:r>
        <w:rPr>
          <w:rFonts w:hint="eastAsia" w:ascii="仿宋_GB2312" w:hAnsi="仿宋_GB2312" w:eastAsia="仿宋_GB2312" w:cs="仿宋_GB2312"/>
          <w:color w:val="000000"/>
          <w:kern w:val="0"/>
          <w:sz w:val="32"/>
          <w:highlight w:val="none"/>
          <w:lang w:val="en-US"/>
        </w:rPr>
        <w:t>反映按规定可享受公务员医疗补助单位为职工缴纳的公务员医疗补助费。</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其他社会保障缴费：</w:t>
      </w:r>
      <w:r>
        <w:rPr>
          <w:rFonts w:hint="eastAsia" w:ascii="仿宋_GB2312" w:hAnsi="仿宋_GB2312" w:eastAsia="仿宋_GB2312" w:cs="仿宋_GB2312"/>
          <w:color w:val="000000"/>
          <w:kern w:val="0"/>
          <w:sz w:val="32"/>
          <w:highlight w:val="none"/>
          <w:lang w:val="en-US"/>
        </w:rPr>
        <w:t>反映单位为职工缴纳的基本医疗、失业、工伤、生育等社会保险费，残疾人就业保障金，军队（含武警）为军人缴纳的伤亡、退役医疗等社会保险费。</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住房公积金：</w:t>
      </w:r>
      <w:r>
        <w:rPr>
          <w:rFonts w:hint="eastAsia" w:ascii="仿宋_GB2312" w:hAnsi="仿宋_GB2312" w:eastAsia="仿宋_GB2312" w:cs="仿宋_GB2312"/>
          <w:color w:val="000000"/>
          <w:kern w:val="0"/>
          <w:sz w:val="32"/>
          <w:highlight w:val="none"/>
          <w:lang w:val="en-US"/>
        </w:rPr>
        <w:t>反映行政事业单位按人力资源和社会保障部、财政部规定的基本工资和津贴补贴以及规定比例为职工缴纳的住房公积金。</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其他工资福利支出：</w:t>
      </w:r>
      <w:r>
        <w:rPr>
          <w:rFonts w:hint="eastAsia" w:ascii="仿宋_GB2312" w:hAnsi="仿宋_GB2312" w:eastAsia="仿宋_GB2312" w:cs="仿宋_GB2312"/>
          <w:color w:val="000000"/>
          <w:kern w:val="0"/>
          <w:sz w:val="32"/>
          <w:highlight w:val="none"/>
          <w:lang w:val="en-US"/>
        </w:rPr>
        <w:t>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商品和服务支出：</w:t>
      </w:r>
      <w:r>
        <w:rPr>
          <w:rFonts w:hint="eastAsia" w:ascii="仿宋_GB2312" w:hAnsi="仿宋_GB2312" w:eastAsia="仿宋_GB2312" w:cs="仿宋_GB2312"/>
          <w:color w:val="000000"/>
          <w:kern w:val="0"/>
          <w:sz w:val="32"/>
          <w:highlight w:val="none"/>
          <w:lang w:val="en-US"/>
        </w:rPr>
        <w:t>反映单位购买商品和服务的支出（不包括用于购置固定资产的支出、战略性和应急储备支出）。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办公费：</w:t>
      </w:r>
      <w:r>
        <w:rPr>
          <w:rFonts w:hint="eastAsia" w:ascii="仿宋_GB2312" w:hAnsi="仿宋_GB2312" w:eastAsia="仿宋_GB2312" w:cs="仿宋_GB2312"/>
          <w:color w:val="000000"/>
          <w:kern w:val="0"/>
          <w:sz w:val="32"/>
          <w:highlight w:val="none"/>
          <w:lang w:val="en-US"/>
        </w:rPr>
        <w:t>反映单位购买按财务会计制度规定不符合固定资产确认标准的日常办公用品、书报杂志等支出。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印刷费：</w:t>
      </w:r>
      <w:r>
        <w:rPr>
          <w:rFonts w:hint="eastAsia" w:ascii="仿宋_GB2312" w:hAnsi="仿宋_GB2312" w:eastAsia="仿宋_GB2312" w:cs="仿宋_GB2312"/>
          <w:color w:val="000000"/>
          <w:kern w:val="0"/>
          <w:sz w:val="32"/>
          <w:highlight w:val="none"/>
          <w:lang w:val="en-US"/>
        </w:rPr>
        <w:t>反映单位的印刷费支出。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咨询费：</w:t>
      </w:r>
      <w:r>
        <w:rPr>
          <w:rFonts w:hint="eastAsia" w:ascii="仿宋_GB2312" w:hAnsi="仿宋_GB2312" w:eastAsia="仿宋_GB2312" w:cs="仿宋_GB2312"/>
          <w:color w:val="000000"/>
          <w:kern w:val="0"/>
          <w:sz w:val="32"/>
          <w:highlight w:val="none"/>
          <w:lang w:val="en-US"/>
        </w:rPr>
        <w:t>反映单位咨询方面的支出。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手续费：</w:t>
      </w:r>
      <w:r>
        <w:rPr>
          <w:rFonts w:hint="eastAsia" w:ascii="仿宋_GB2312" w:hAnsi="仿宋_GB2312" w:eastAsia="仿宋_GB2312" w:cs="仿宋_GB2312"/>
          <w:color w:val="000000"/>
          <w:kern w:val="0"/>
          <w:sz w:val="32"/>
          <w:highlight w:val="none"/>
          <w:lang w:val="en-US"/>
        </w:rPr>
        <w:t>反映单位支付的各类手续费支出。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水费：</w:t>
      </w:r>
      <w:r>
        <w:rPr>
          <w:rFonts w:hint="eastAsia" w:ascii="仿宋_GB2312" w:hAnsi="仿宋_GB2312" w:eastAsia="仿宋_GB2312" w:cs="仿宋_GB2312"/>
          <w:color w:val="000000"/>
          <w:kern w:val="0"/>
          <w:sz w:val="32"/>
          <w:highlight w:val="none"/>
          <w:lang w:val="en-US"/>
        </w:rPr>
        <w:t>反映单位支付的水费、污水处理费等支出。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电费：</w:t>
      </w:r>
      <w:r>
        <w:rPr>
          <w:rFonts w:hint="eastAsia" w:ascii="仿宋_GB2312" w:hAnsi="仿宋_GB2312" w:eastAsia="仿宋_GB2312" w:cs="仿宋_GB2312"/>
          <w:color w:val="000000"/>
          <w:kern w:val="0"/>
          <w:sz w:val="32"/>
          <w:highlight w:val="none"/>
          <w:lang w:val="en-US"/>
        </w:rPr>
        <w:t>反映单位的电费支出。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差旅费：</w:t>
      </w:r>
      <w:r>
        <w:rPr>
          <w:rFonts w:hint="eastAsia" w:ascii="仿宋_GB2312" w:hAnsi="仿宋_GB2312" w:eastAsia="仿宋_GB2312" w:cs="仿宋_GB2312"/>
          <w:color w:val="000000"/>
          <w:kern w:val="0"/>
          <w:sz w:val="32"/>
          <w:highlight w:val="none"/>
          <w:lang w:val="en-US"/>
        </w:rPr>
        <w:t>反映单位工作人员出差发生的城市间交通费、住宿费、伙食补贴费和市内交通费。</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维修(护)费：</w:t>
      </w:r>
      <w:r>
        <w:rPr>
          <w:rFonts w:hint="eastAsia" w:ascii="仿宋_GB2312" w:hAnsi="仿宋_GB2312" w:eastAsia="仿宋_GB2312" w:cs="仿宋_GB2312"/>
          <w:color w:val="000000"/>
          <w:kern w:val="0"/>
          <w:sz w:val="32"/>
          <w:highlight w:val="none"/>
          <w:lang w:val="en-US"/>
        </w:rPr>
        <w:t>反映单位日常开支的固定资产（不包括车船等交通工具）修理和维护费用，网络信息系统运行与维护费用，以及按规定提取的修购基金。</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租赁费：</w:t>
      </w:r>
      <w:r>
        <w:rPr>
          <w:rFonts w:hint="eastAsia" w:ascii="仿宋_GB2312" w:hAnsi="仿宋_GB2312" w:eastAsia="仿宋_GB2312" w:cs="仿宋_GB2312"/>
          <w:color w:val="000000"/>
          <w:kern w:val="0"/>
          <w:sz w:val="32"/>
          <w:highlight w:val="none"/>
          <w:lang w:val="en-US"/>
        </w:rPr>
        <w:t>反映租赁办公用房、宿舍、专用通讯网以及其他设备等方面的费用。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会议费：</w:t>
      </w:r>
      <w:r>
        <w:rPr>
          <w:rFonts w:hint="eastAsia" w:ascii="仿宋_GB2312" w:hAnsi="仿宋_GB2312" w:eastAsia="仿宋_GB2312" w:cs="仿宋_GB2312"/>
          <w:color w:val="000000"/>
          <w:kern w:val="0"/>
          <w:sz w:val="32"/>
          <w:highlight w:val="none"/>
          <w:lang w:val="en-US"/>
        </w:rPr>
        <w:t>反映会议中按规定开支的住宿费、伙食费、会议室租金、交通费、文件印刷费、医药费等。</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培训费：</w:t>
      </w:r>
      <w:r>
        <w:rPr>
          <w:rFonts w:hint="eastAsia" w:ascii="仿宋_GB2312" w:hAnsi="仿宋_GB2312" w:eastAsia="仿宋_GB2312" w:cs="仿宋_GB2312"/>
          <w:color w:val="000000"/>
          <w:kern w:val="0"/>
          <w:sz w:val="32"/>
          <w:highlight w:val="none"/>
          <w:lang w:val="en-US"/>
        </w:rPr>
        <w:t>反映除因公出国（境）培训费以外的各类培训支出。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color w:val="000000"/>
          <w:kern w:val="0"/>
          <w:sz w:val="32"/>
          <w:highlight w:val="none"/>
          <w:lang w:val="en-US"/>
        </w:rPr>
        <w:t>公务接待费：反映单位按规定开支的各类公务接待（含外宾接待）费用。</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专用材料费：</w:t>
      </w:r>
      <w:r>
        <w:rPr>
          <w:rFonts w:hint="eastAsia" w:ascii="仿宋_GB2312" w:hAnsi="仿宋_GB2312" w:eastAsia="仿宋_GB2312" w:cs="仿宋_GB2312"/>
          <w:color w:val="000000"/>
          <w:kern w:val="0"/>
          <w:sz w:val="32"/>
          <w:highlight w:val="none"/>
          <w:lang w:val="en-US"/>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劳务费：</w:t>
      </w:r>
      <w:r>
        <w:rPr>
          <w:rFonts w:hint="eastAsia" w:ascii="仿宋_GB2312" w:hAnsi="仿宋_GB2312" w:eastAsia="仿宋_GB2312" w:cs="仿宋_GB2312"/>
          <w:color w:val="000000"/>
          <w:kern w:val="0"/>
          <w:sz w:val="32"/>
          <w:highlight w:val="none"/>
          <w:lang w:val="en-US"/>
        </w:rPr>
        <w:t>反映支付给单位和个人的劳务费用，如临时聘用人员、钟点工工资，稿费、翻译费，评审费等。</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委托业务费：</w:t>
      </w:r>
      <w:r>
        <w:rPr>
          <w:rFonts w:hint="eastAsia" w:ascii="仿宋_GB2312" w:hAnsi="仿宋_GB2312" w:eastAsia="仿宋_GB2312" w:cs="仿宋_GB2312"/>
          <w:color w:val="000000"/>
          <w:kern w:val="0"/>
          <w:sz w:val="32"/>
          <w:highlight w:val="none"/>
          <w:lang w:val="en-US"/>
        </w:rPr>
        <w:t>反映因委托外单位办理业务而支付的委托业务费。</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公务用车运行维护费：</w:t>
      </w:r>
      <w:r>
        <w:rPr>
          <w:rFonts w:hint="eastAsia" w:ascii="仿宋_GB2312" w:hAnsi="仿宋_GB2312" w:eastAsia="仿宋_GB2312" w:cs="仿宋_GB2312"/>
          <w:color w:val="000000"/>
          <w:kern w:val="0"/>
          <w:sz w:val="32"/>
          <w:highlight w:val="none"/>
          <w:lang w:val="en-US"/>
        </w:rPr>
        <w:t>反映单位按规定保留的公务用车燃料费、维修费、过桥过路费、保险费、安全奖励费用等支出。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其他交通费用：</w:t>
      </w:r>
      <w:r>
        <w:rPr>
          <w:rFonts w:hint="eastAsia" w:ascii="仿宋_GB2312" w:hAnsi="仿宋_GB2312" w:eastAsia="仿宋_GB2312" w:cs="仿宋_GB2312"/>
          <w:color w:val="000000"/>
          <w:kern w:val="0"/>
          <w:sz w:val="32"/>
          <w:highlight w:val="none"/>
          <w:lang w:val="en-US"/>
        </w:rPr>
        <w:t>反映单位除公务用车运行维护费以外的其他交通费用。如公务交通补贴，租车费用、出租车费用，飞机、船舶等的燃料费、维修费、保险费等。</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其他商品和服务支出：</w:t>
      </w:r>
      <w:r>
        <w:rPr>
          <w:rFonts w:hint="eastAsia" w:ascii="仿宋_GB2312" w:hAnsi="仿宋_GB2312" w:eastAsia="仿宋_GB2312" w:cs="仿宋_GB2312"/>
          <w:color w:val="000000"/>
          <w:kern w:val="0"/>
          <w:sz w:val="32"/>
          <w:highlight w:val="none"/>
          <w:lang w:val="en-US"/>
        </w:rPr>
        <w:t>反映上述科目未包括的日常公用支出。如行政赔偿费和诉讼费、国内组织的会员费、来访费、广告宣传、其他劳务费及离休人员特需费、公用经费等。</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对个人和家庭的补助：</w:t>
      </w:r>
      <w:r>
        <w:rPr>
          <w:rFonts w:hint="eastAsia" w:ascii="仿宋_GB2312" w:hAnsi="仿宋_GB2312" w:eastAsia="仿宋_GB2312" w:cs="仿宋_GB2312"/>
          <w:color w:val="000000"/>
          <w:kern w:val="0"/>
          <w:sz w:val="32"/>
          <w:highlight w:val="none"/>
          <w:lang w:val="en-US"/>
        </w:rPr>
        <w:t>反映政府用于对个人和家庭的补助支出。</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抚恤金：</w:t>
      </w:r>
      <w:r>
        <w:rPr>
          <w:rFonts w:hint="eastAsia" w:ascii="仿宋_GB2312" w:hAnsi="仿宋_GB2312" w:eastAsia="仿宋_GB2312" w:cs="仿宋_GB2312"/>
          <w:color w:val="000000"/>
          <w:kern w:val="0"/>
          <w:sz w:val="32"/>
          <w:highlight w:val="none"/>
          <w:lang w:val="en-US"/>
        </w:rPr>
        <w:t>反映按规定开支的烈士遗属、牺牲病故人员遗属的一次性和定期抚恤金，伤残人员的抚恤金，离退休人员等其他人员的各项抚恤金。</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eastAsia="zh-CN"/>
        </w:rPr>
      </w:pPr>
      <w:r>
        <w:rPr>
          <w:rFonts w:hint="eastAsia" w:ascii="仿宋_GB2312" w:hAnsi="仿宋_GB2312" w:eastAsia="仿宋_GB2312" w:cs="仿宋_GB2312"/>
          <w:b/>
          <w:bCs/>
          <w:color w:val="000000"/>
          <w:kern w:val="0"/>
          <w:sz w:val="32"/>
          <w:szCs w:val="22"/>
          <w:highlight w:val="none"/>
          <w:lang w:val="en-US"/>
        </w:rPr>
        <w:t>生活补助：</w:t>
      </w:r>
      <w:r>
        <w:rPr>
          <w:rFonts w:hint="eastAsia" w:ascii="仿宋_GB2312" w:hAnsi="仿宋_GB2312" w:eastAsia="仿宋_GB2312" w:cs="仿宋_GB2312"/>
          <w:color w:val="000000"/>
          <w:kern w:val="0"/>
          <w:sz w:val="32"/>
          <w:highlight w:val="none"/>
          <w:lang w:val="en-US"/>
        </w:rPr>
        <w:t>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r>
        <w:rPr>
          <w:rFonts w:hint="eastAsia" w:ascii="仿宋_GB2312" w:hAnsi="仿宋_GB2312" w:eastAsia="仿宋_GB2312" w:cs="仿宋_GB2312"/>
          <w:color w:val="000000"/>
          <w:kern w:val="0"/>
          <w:sz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eastAsia="zh-CN"/>
        </w:rPr>
      </w:pPr>
      <w:r>
        <w:rPr>
          <w:rFonts w:hint="eastAsia" w:ascii="仿宋_GB2312" w:hAnsi="仿宋_GB2312" w:eastAsia="仿宋_GB2312" w:cs="仿宋_GB2312"/>
          <w:b/>
          <w:bCs/>
          <w:color w:val="000000"/>
          <w:kern w:val="0"/>
          <w:sz w:val="32"/>
          <w:szCs w:val="22"/>
          <w:highlight w:val="none"/>
          <w:lang w:val="en-US"/>
        </w:rPr>
        <w:t>救济费：</w:t>
      </w:r>
      <w:r>
        <w:rPr>
          <w:rFonts w:hint="eastAsia" w:ascii="仿宋_GB2312" w:hAnsi="仿宋_GB2312" w:eastAsia="仿宋_GB2312" w:cs="仿宋_GB2312"/>
          <w:color w:val="000000"/>
          <w:kern w:val="0"/>
          <w:sz w:val="32"/>
          <w:highlight w:val="none"/>
          <w:lang w:val="en-US"/>
        </w:rPr>
        <w:t>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r>
        <w:rPr>
          <w:rFonts w:hint="eastAsia" w:ascii="仿宋_GB2312" w:hAnsi="仿宋_GB2312" w:eastAsia="仿宋_GB2312" w:cs="仿宋_GB2312"/>
          <w:color w:val="000000"/>
          <w:kern w:val="0"/>
          <w:sz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000000"/>
          <w:kern w:val="0"/>
          <w:sz w:val="32"/>
          <w:highlight w:val="none"/>
          <w:lang w:val="en-US"/>
        </w:rPr>
      </w:pPr>
      <w:r>
        <w:rPr>
          <w:rFonts w:hint="eastAsia" w:ascii="仿宋_GB2312" w:hAnsi="仿宋_GB2312" w:eastAsia="仿宋_GB2312" w:cs="仿宋_GB2312"/>
          <w:b/>
          <w:bCs/>
          <w:color w:val="000000"/>
          <w:kern w:val="0"/>
          <w:sz w:val="32"/>
          <w:szCs w:val="22"/>
          <w:highlight w:val="none"/>
          <w:lang w:val="en-US"/>
        </w:rPr>
        <w:t>个人农业生产补贴：</w:t>
      </w:r>
      <w:r>
        <w:rPr>
          <w:rFonts w:hint="eastAsia" w:ascii="仿宋_GB2312" w:hAnsi="仿宋_GB2312" w:eastAsia="仿宋_GB2312" w:cs="仿宋_GB2312"/>
          <w:color w:val="000000"/>
          <w:kern w:val="0"/>
          <w:sz w:val="32"/>
          <w:highlight w:val="none"/>
          <w:lang w:val="en-US"/>
        </w:rPr>
        <w:t>反映各种对个人发放的生产补贴支出，如国家对农民发放的农机具购置补贴、良种补贴、粮食直补以及发放给残疾人的各种生产经营补贴等。</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FF0000"/>
          <w:kern w:val="0"/>
          <w:sz w:val="32"/>
          <w:highlight w:val="none"/>
          <w:lang w:val="en-US" w:eastAsia="zh-CN"/>
        </w:rPr>
      </w:pPr>
      <w:r>
        <w:rPr>
          <w:rFonts w:hint="eastAsia" w:ascii="仿宋_GB2312" w:hAnsi="仿宋_GB2312" w:eastAsia="仿宋_GB2312" w:cs="仿宋_GB2312"/>
          <w:b/>
          <w:bCs/>
          <w:color w:val="000000"/>
          <w:kern w:val="0"/>
          <w:sz w:val="32"/>
          <w:szCs w:val="22"/>
          <w:highlight w:val="none"/>
          <w:lang w:val="en-US"/>
        </w:rPr>
        <w:t>其他对个人和家庭的补助支出：</w:t>
      </w:r>
      <w:r>
        <w:rPr>
          <w:rFonts w:hint="eastAsia" w:ascii="仿宋_GB2312" w:hAnsi="仿宋_GB2312" w:eastAsia="仿宋_GB2312" w:cs="仿宋_GB2312"/>
          <w:color w:val="000000"/>
          <w:kern w:val="0"/>
          <w:sz w:val="32"/>
          <w:highlight w:val="none"/>
          <w:lang w:val="en-US"/>
        </w:rPr>
        <w:t>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r>
        <w:rPr>
          <w:rFonts w:hint="eastAsia" w:ascii="仿宋_GB2312" w:hAnsi="仿宋_GB2312" w:eastAsia="仿宋_GB2312" w:cs="仿宋_GB2312"/>
          <w:color w:val="auto"/>
          <w:kern w:val="0"/>
          <w:sz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3" w:firstLineChars="200"/>
        <w:jc w:val="both"/>
        <w:textAlignment w:val="auto"/>
        <w:rPr>
          <w:rFonts w:hint="eastAsia" w:ascii="仿宋_GB2312" w:hAnsi="仿宋_GB2312" w:eastAsia="仿宋_GB2312" w:cs="仿宋_GB2312"/>
          <w:color w:val="FF0000"/>
          <w:kern w:val="0"/>
          <w:sz w:val="32"/>
          <w:highlight w:val="none"/>
          <w:lang w:val="en-US" w:eastAsia="zh-CN"/>
        </w:rPr>
      </w:pPr>
      <w:r>
        <w:rPr>
          <w:rFonts w:hint="eastAsia" w:ascii="仿宋_GB2312" w:hAnsi="仿宋_GB2312" w:eastAsia="仿宋_GB2312" w:cs="仿宋_GB2312"/>
          <w:b/>
          <w:bCs/>
          <w:color w:val="000000"/>
          <w:kern w:val="0"/>
          <w:sz w:val="32"/>
          <w:highlight w:val="none"/>
          <w:lang w:val="en-US"/>
        </w:rPr>
        <w:t>机关运行经费：</w:t>
      </w:r>
      <w:r>
        <w:rPr>
          <w:rFonts w:hint="eastAsia" w:ascii="仿宋_GB2312" w:hAnsi="仿宋_GB2312" w:eastAsia="仿宋_GB2312" w:cs="仿宋_GB2312"/>
          <w:color w:val="000000"/>
          <w:kern w:val="0"/>
          <w:sz w:val="32"/>
          <w:highlight w:val="none"/>
          <w:lang w:val="en-US"/>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w:t>
      </w:r>
      <w:r>
        <w:rPr>
          <w:rFonts w:hint="eastAsia" w:ascii="仿宋_GB2312" w:hAnsi="仿宋_GB2312" w:eastAsia="仿宋_GB2312" w:cs="仿宋_GB2312"/>
          <w:color w:val="000000"/>
          <w:kern w:val="0"/>
          <w:sz w:val="32"/>
          <w:highlight w:val="none"/>
          <w:lang w:val="en-US" w:eastAsia="zh-CN"/>
        </w:rPr>
        <w:t>维护。</w:t>
      </w:r>
    </w:p>
    <w:p>
      <w:pPr>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lang w:val="en-US"/>
        </w:rPr>
      </w:pPr>
      <w:r>
        <w:rPr>
          <w:rFonts w:hint="eastAsia"/>
          <w:highlight w:val="none"/>
          <w:lang w:val="en-US"/>
        </w:rPr>
        <w:br w:type="page"/>
      </w:r>
    </w:p>
    <w:p>
      <w:pPr>
        <w:pStyle w:val="2"/>
        <w:keepNext w:val="0"/>
        <w:keepLines w:val="0"/>
        <w:pageBreakBefore w:val="0"/>
        <w:widowControl w:val="0"/>
        <w:shd w:val="clear"/>
        <w:kinsoku/>
        <w:wordWrap/>
        <w:overflowPunct/>
        <w:topLinePunct w:val="0"/>
        <w:autoSpaceDE/>
        <w:autoSpaceDN/>
        <w:bidi w:val="0"/>
        <w:adjustRightInd/>
        <w:snapToGrid/>
        <w:spacing w:before="0" w:beforeAutospacing="0" w:afterAutospacing="0" w:line="560" w:lineRule="exact"/>
        <w:ind w:leftChars="0"/>
        <w:jc w:val="center"/>
        <w:textAlignment w:val="auto"/>
        <w:rPr>
          <w:rFonts w:hint="eastAsia"/>
          <w:highlight w:val="none"/>
          <w:lang w:val="en-US"/>
        </w:rPr>
      </w:pPr>
      <w:r>
        <w:rPr>
          <w:rFonts w:hint="eastAsia"/>
          <w:highlight w:val="none"/>
          <w:lang w:val="en-US"/>
        </w:rPr>
        <w:t>第五部分 附件</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sz w:val="32"/>
          <w:highlight w:val="none"/>
          <w:lang w:val="en-US"/>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b/>
          <w:color w:val="auto"/>
          <w:sz w:val="32"/>
          <w:highlight w:val="none"/>
          <w:lang w:val="zh-CN"/>
        </w:rPr>
      </w:pPr>
      <w:r>
        <w:rPr>
          <w:rFonts w:hint="eastAsia" w:ascii="仿宋_GB2312" w:hAnsi="仿宋_GB2312" w:eastAsia="仿宋_GB2312" w:cs="仿宋_GB2312"/>
          <w:color w:val="auto"/>
          <w:sz w:val="32"/>
          <w:highlight w:val="none"/>
          <w:lang w:val="en-US"/>
        </w:rPr>
        <w:t>附件：2019年度益阳市沧水铺镇人民政府部门决算公开表格</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Chars="0" w:firstLine="420" w:firstLineChars="200"/>
        <w:jc w:val="both"/>
        <w:textAlignment w:val="auto"/>
        <w:rPr>
          <w:rFonts w:hint="eastAsia" w:ascii="仿宋_GB2312" w:hAnsi="仿宋_GB2312" w:eastAsia="仿宋_GB2312" w:cs="仿宋_GB2312"/>
          <w:highlight w:val="none"/>
        </w:rPr>
      </w:pPr>
    </w:p>
    <w:sectPr>
      <w:footerReference r:id="rId3" w:type="default"/>
      <w:pgSz w:w="11906" w:h="16838"/>
      <w:pgMar w:top="2154" w:right="1474" w:bottom="1984"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3A6553"/>
    <w:multiLevelType w:val="multilevel"/>
    <w:tmpl w:val="A83A6553"/>
    <w:lvl w:ilvl="0" w:tentative="0">
      <w:start w:val="10"/>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229AB"/>
    <w:rsid w:val="030256C3"/>
    <w:rsid w:val="079D4D39"/>
    <w:rsid w:val="0F685BD2"/>
    <w:rsid w:val="12CE2E95"/>
    <w:rsid w:val="13402929"/>
    <w:rsid w:val="189F2CE9"/>
    <w:rsid w:val="1B342504"/>
    <w:rsid w:val="1CC229AB"/>
    <w:rsid w:val="21356113"/>
    <w:rsid w:val="22122501"/>
    <w:rsid w:val="246D7A18"/>
    <w:rsid w:val="24C71D9E"/>
    <w:rsid w:val="25FB629E"/>
    <w:rsid w:val="280E3896"/>
    <w:rsid w:val="29C5416B"/>
    <w:rsid w:val="2D567462"/>
    <w:rsid w:val="2F43215A"/>
    <w:rsid w:val="31A31690"/>
    <w:rsid w:val="3285524F"/>
    <w:rsid w:val="3D684683"/>
    <w:rsid w:val="3F6D7135"/>
    <w:rsid w:val="473E5D25"/>
    <w:rsid w:val="47796BB7"/>
    <w:rsid w:val="4A02581A"/>
    <w:rsid w:val="4CD435CA"/>
    <w:rsid w:val="4D4774C4"/>
    <w:rsid w:val="4D6B2A52"/>
    <w:rsid w:val="5235247A"/>
    <w:rsid w:val="55D10E9D"/>
    <w:rsid w:val="56E13835"/>
    <w:rsid w:val="5B374DA8"/>
    <w:rsid w:val="5F9A6A88"/>
    <w:rsid w:val="612E6C45"/>
    <w:rsid w:val="6B414C43"/>
    <w:rsid w:val="70A56B9E"/>
    <w:rsid w:val="70BD6673"/>
    <w:rsid w:val="77714385"/>
    <w:rsid w:val="7D2A0EC6"/>
    <w:rsid w:val="7E45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default" w:ascii="Calibri" w:hAnsi="Calibri" w:eastAsia="宋体" w:cs="Times New Roman"/>
      <w:kern w:val="2"/>
      <w:sz w:val="21"/>
    </w:rPr>
  </w:style>
  <w:style w:type="paragraph" w:styleId="2">
    <w:name w:val="heading 1"/>
    <w:basedOn w:val="1"/>
    <w:next w:val="1"/>
    <w:qFormat/>
    <w:uiPriority w:val="0"/>
    <w:pPr>
      <w:spacing w:before="70" w:beforeAutospacing="1" w:afterAutospacing="1"/>
      <w:ind w:firstLine="0" w:firstLineChars="0"/>
      <w:jc w:val="center"/>
      <w:outlineLvl w:val="0"/>
    </w:pPr>
    <w:rPr>
      <w:rFonts w:hint="eastAsia" w:ascii="方正小标宋简体" w:hAnsi="方正小标宋简体" w:eastAsia="方正小标宋简体"/>
      <w:kern w:val="44"/>
      <w:sz w:val="44"/>
      <w:szCs w:val="48"/>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2020-08-14T07:36:00Z</dcterms:created>
  <dc:creator>Administrator</dc:creator>
  <cp:lastModifiedBy>webUser</cp:lastModifiedBy>
  <dcterms:modified xsi:type="dcterms:W3CDTF">2021-04-29T07:09:54Z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