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 w:hint="eastAsia"/>
          <w:sz w:val="32"/>
          <w:szCs w:val="32"/>
        </w:rPr>
      </w:pPr>
    </w:p>
    <w:p w:rsidR="004358AB" w:rsidRDefault="00085410" w:rsidP="00085410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益阳市赫山区2019年预备费使用情况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2019年预备费年初预算安排4500万元，年终决算安排4500万元。其中：一般公共服务支出1614万元，公共安全支出59万元，教育支出20万元，科学技术支出73万元，文化旅游体育与传媒支出412万元，社会保障和就业支出630万元，卫生健康支出218万元，节能环保支出333万元，城乡社区支出61万元，农林水支出448万元，交通运输支出74万元，资源勘探信息等支出81万元，商业服务业支出40万元，自然资源海洋气象等支出105万元，灾害防治及应急管理支出308万元，其他支出24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2020年3月30日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323B43"/>
    <w:rsid w:val="003D37D8"/>
    <w:rsid w:val="00426133"/>
    <w:rsid w:val="004358AB"/>
    <w:rsid w:val="0088620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2021-05-07T06:47:00Z</dcterms:modified>
</cp:coreProperties>
</file>