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i w:val="0"/>
          <w:iCs w:val="0"/>
          <w:sz w:val="45"/>
          <w:szCs w:val="45"/>
        </w:rPr>
      </w:pPr>
      <w:r>
        <w:rPr>
          <w:b/>
          <w:bCs/>
          <w:i w:val="0"/>
          <w:iCs w:val="0"/>
          <w:caps w:val="0"/>
          <w:color w:val="333333"/>
          <w:spacing w:val="0"/>
          <w:sz w:val="45"/>
          <w:szCs w:val="45"/>
          <w:bdr w:val="none" w:color="auto" w:sz="0" w:space="0"/>
        </w:rPr>
        <w:t>2020年赫山区人大办部门预算公开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ind w:left="0" w:right="0"/>
        <w:rPr>
          <w:rFonts w:hint="eastAsia" w:ascii="宋体" w:hAnsi="宋体" w:eastAsia="宋体" w:cs="宋体"/>
          <w:sz w:val="24"/>
          <w:szCs w:val="24"/>
        </w:rPr>
      </w:pPr>
      <w:bookmarkStart w:id="0" w:name="_GoBack"/>
      <w:bookmarkEnd w:id="0"/>
      <w:r>
        <w:rPr>
          <w:rFonts w:ascii="仿宋" w:hAnsi="仿宋" w:eastAsia="仿宋" w:cs="仿宋"/>
          <w:b w:val="0"/>
          <w:bCs w:val="0"/>
          <w:i w:val="0"/>
          <w:iCs w:val="0"/>
          <w:caps w:val="0"/>
          <w:color w:val="333333"/>
          <w:spacing w:val="0"/>
          <w:sz w:val="32"/>
          <w:szCs w:val="32"/>
          <w:bdr w:val="none" w:color="auto" w:sz="0" w:space="0"/>
        </w:rPr>
        <w:t>第一部分：赫山区人民代表大会常务委员会办公室</w:t>
      </w:r>
      <w:r>
        <w:rPr>
          <w:rFonts w:hint="eastAsia" w:ascii="仿宋" w:hAnsi="仿宋" w:eastAsia="仿宋" w:cs="仿宋"/>
          <w:b w:val="0"/>
          <w:bCs w:val="0"/>
          <w:i w:val="0"/>
          <w:iCs w:val="0"/>
          <w:caps w:val="0"/>
          <w:color w:val="333333"/>
          <w:spacing w:val="0"/>
          <w:sz w:val="32"/>
          <w:szCs w:val="32"/>
          <w:bdr w:val="none" w:color="auto" w:sz="0" w:space="0"/>
        </w:rPr>
        <w:t>2020年部门预算说明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 w:hAnsi="仿宋" w:eastAsia="仿宋" w:cs="仿宋"/>
          <w:b w:val="0"/>
          <w:bCs w:val="0"/>
          <w:i w:val="0"/>
          <w:iCs w:val="0"/>
          <w:caps w:val="0"/>
          <w:color w:val="333333"/>
          <w:spacing w:val="0"/>
          <w:sz w:val="32"/>
          <w:szCs w:val="32"/>
          <w:bdr w:val="none" w:color="auto" w:sz="0" w:space="0"/>
        </w:rPr>
        <w:t>一、部门基本概况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 w:hAnsi="仿宋" w:eastAsia="仿宋" w:cs="仿宋"/>
          <w:b w:val="0"/>
          <w:bCs w:val="0"/>
          <w:i w:val="0"/>
          <w:iCs w:val="0"/>
          <w:caps w:val="0"/>
          <w:color w:val="333333"/>
          <w:spacing w:val="0"/>
          <w:sz w:val="32"/>
          <w:szCs w:val="32"/>
          <w:bdr w:val="none" w:color="auto" w:sz="0" w:space="0"/>
        </w:rPr>
        <w:t>1.主要职能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 w:hAnsi="仿宋" w:eastAsia="仿宋" w:cs="仿宋"/>
          <w:b w:val="0"/>
          <w:bCs w:val="0"/>
          <w:i w:val="0"/>
          <w:iCs w:val="0"/>
          <w:caps w:val="0"/>
          <w:color w:val="333333"/>
          <w:spacing w:val="0"/>
          <w:sz w:val="32"/>
          <w:szCs w:val="32"/>
          <w:bdr w:val="none" w:color="auto" w:sz="0" w:space="0"/>
        </w:rPr>
        <w:t>（一）在本行政区域内，保证宪法、法律、行政法规和全国、省、市人民代表大会及其常委会决议的遵守和执行。（九）撤销所辖区乡镇人民代表大会及其主席团的不适当的决议、决定。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b w:val="0"/>
          <w:bCs w:val="0"/>
          <w:i w:val="0"/>
          <w:iCs w:val="0"/>
          <w:caps w:val="0"/>
          <w:color w:val="333333"/>
          <w:spacing w:val="0"/>
          <w:sz w:val="32"/>
          <w:szCs w:val="32"/>
          <w:bdr w:val="none" w:color="auto" w:sz="0" w:space="0"/>
        </w:rPr>
        <w:t>（二）主持区人民代表大会代表的选举。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 w:hAnsi="仿宋" w:eastAsia="仿宋" w:cs="仿宋"/>
          <w:b w:val="0"/>
          <w:bCs w:val="0"/>
          <w:i w:val="0"/>
          <w:iCs w:val="0"/>
          <w:caps w:val="0"/>
          <w:color w:val="333333"/>
          <w:spacing w:val="0"/>
          <w:sz w:val="32"/>
          <w:szCs w:val="32"/>
          <w:bdr w:val="none" w:color="auto" w:sz="0" w:space="0"/>
        </w:rPr>
        <w:t>（三）在区人民代表大会闭会期间，补选市人民代表大会出缺的代表和罢免个别由区人民代表大会选举产生的市人民代表大会代表。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 w:hAnsi="仿宋" w:eastAsia="仿宋" w:cs="仿宋"/>
          <w:b w:val="0"/>
          <w:bCs w:val="0"/>
          <w:i w:val="0"/>
          <w:iCs w:val="0"/>
          <w:caps w:val="0"/>
          <w:color w:val="333333"/>
          <w:spacing w:val="0"/>
          <w:sz w:val="32"/>
          <w:szCs w:val="32"/>
          <w:bdr w:val="none" w:color="auto" w:sz="0" w:space="0"/>
        </w:rPr>
        <w:t>（四）按照法律规定，定期召集区人民代表大会会议。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 w:hAnsi="仿宋" w:eastAsia="仿宋" w:cs="仿宋"/>
          <w:b w:val="0"/>
          <w:bCs w:val="0"/>
          <w:i w:val="0"/>
          <w:iCs w:val="0"/>
          <w:caps w:val="0"/>
          <w:color w:val="333333"/>
          <w:spacing w:val="0"/>
          <w:sz w:val="32"/>
          <w:szCs w:val="32"/>
          <w:bdr w:val="none" w:color="auto" w:sz="0" w:space="0"/>
        </w:rPr>
        <w:t>（五）讨论、决定本区政治、经济、教育、科学、文化、卫生、环境和资源保护、民政、民族等工作的重大事项。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 w:hAnsi="仿宋" w:eastAsia="仿宋" w:cs="仿宋"/>
          <w:b w:val="0"/>
          <w:bCs w:val="0"/>
          <w:i w:val="0"/>
          <w:iCs w:val="0"/>
          <w:caps w:val="0"/>
          <w:color w:val="333333"/>
          <w:spacing w:val="0"/>
          <w:sz w:val="32"/>
          <w:szCs w:val="32"/>
          <w:bdr w:val="none" w:color="auto" w:sz="0" w:space="0"/>
        </w:rPr>
        <w:t>（六）依法对本区规范性文件进行备案审查。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 w:hAnsi="仿宋" w:eastAsia="仿宋" w:cs="仿宋"/>
          <w:b w:val="0"/>
          <w:bCs w:val="0"/>
          <w:i w:val="0"/>
          <w:iCs w:val="0"/>
          <w:caps w:val="0"/>
          <w:color w:val="333333"/>
          <w:spacing w:val="0"/>
          <w:sz w:val="32"/>
          <w:szCs w:val="32"/>
          <w:bdr w:val="none" w:color="auto" w:sz="0" w:space="0"/>
        </w:rPr>
        <w:t>（七）根据区人民政府的提请，决定对本区国民经济和社会发展计划、预算的部分变更。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 w:hAnsi="仿宋" w:eastAsia="仿宋" w:cs="仿宋"/>
          <w:b w:val="0"/>
          <w:bCs w:val="0"/>
          <w:i w:val="0"/>
          <w:iCs w:val="0"/>
          <w:caps w:val="0"/>
          <w:color w:val="333333"/>
          <w:spacing w:val="0"/>
          <w:sz w:val="32"/>
          <w:szCs w:val="32"/>
          <w:bdr w:val="none" w:color="auto" w:sz="0" w:space="0"/>
        </w:rPr>
        <w:t>（八）监督区人民政府、区监察委员会、区人民法院、区人民检察院工作。联系本区的全国、省、市、区人民代表大会代表，联系指导乡镇人大工作，领导街道人大工作。受理人民群众对“一府一委两院”及其国家工作人员的建议、批评、意见和申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 w:hAnsi="仿宋" w:eastAsia="仿宋" w:cs="仿宋"/>
          <w:b w:val="0"/>
          <w:bCs w:val="0"/>
          <w:i w:val="0"/>
          <w:iCs w:val="0"/>
          <w:caps w:val="0"/>
          <w:color w:val="333333"/>
          <w:spacing w:val="0"/>
          <w:sz w:val="32"/>
          <w:szCs w:val="32"/>
          <w:bdr w:val="none" w:color="auto" w:sz="0" w:space="0"/>
        </w:rPr>
        <w:t>（十）撤销区人民政府的不适当的决定和命令。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 w:hAnsi="仿宋" w:eastAsia="仿宋" w:cs="仿宋"/>
          <w:b w:val="0"/>
          <w:bCs w:val="0"/>
          <w:i w:val="0"/>
          <w:iCs w:val="0"/>
          <w:caps w:val="0"/>
          <w:color w:val="333333"/>
          <w:spacing w:val="0"/>
          <w:sz w:val="32"/>
          <w:szCs w:val="32"/>
          <w:bdr w:val="none" w:color="auto" w:sz="0" w:space="0"/>
        </w:rPr>
        <w:t>（十一）依法任免国家机关工作人员。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 w:hAnsi="仿宋" w:eastAsia="仿宋" w:cs="仿宋"/>
          <w:b w:val="0"/>
          <w:bCs w:val="0"/>
          <w:i w:val="0"/>
          <w:iCs w:val="0"/>
          <w:caps w:val="0"/>
          <w:color w:val="333333"/>
          <w:spacing w:val="0"/>
          <w:sz w:val="32"/>
          <w:szCs w:val="32"/>
          <w:bdr w:val="none" w:color="auto" w:sz="0" w:space="0"/>
        </w:rPr>
        <w:t>（十二）其他。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0" w:afterAutospacing="0" w:line="600" w:lineRule="atLeast"/>
        <w:ind w:left="0" w:right="0" w:firstLine="351"/>
        <w:jc w:val="both"/>
        <w:rPr>
          <w:rFonts w:hint="default" w:ascii="Times New Roman" w:hAnsi="Times New Roman" w:cs="Times New Roman"/>
          <w:sz w:val="21"/>
          <w:szCs w:val="21"/>
        </w:rPr>
      </w:pPr>
      <w:r>
        <w:rPr>
          <w:rFonts w:ascii="sans-serif" w:hAnsi="sans-serif" w:eastAsia="微软雅黑" w:cs="sans-serif"/>
          <w:b w:val="0"/>
          <w:bCs w:val="0"/>
          <w:i w:val="0"/>
          <w:iCs w:val="0"/>
          <w:caps w:val="0"/>
          <w:color w:val="333333"/>
          <w:spacing w:val="0"/>
          <w:sz w:val="32"/>
          <w:szCs w:val="32"/>
          <w:bdr w:val="none" w:color="auto" w:sz="0" w:space="0"/>
          <w:shd w:val="clear" w:fill="FFFFFF"/>
        </w:rPr>
        <w:t> </w:t>
      </w:r>
      <w:r>
        <w:rPr>
          <w:rFonts w:hint="eastAsia" w:ascii="仿宋" w:hAnsi="仿宋" w:eastAsia="仿宋" w:cs="仿宋"/>
          <w:b w:val="0"/>
          <w:bCs w:val="0"/>
          <w:i w:val="0"/>
          <w:iCs w:val="0"/>
          <w:caps w:val="0"/>
          <w:color w:val="000000"/>
          <w:spacing w:val="0"/>
          <w:sz w:val="32"/>
          <w:szCs w:val="32"/>
          <w:bdr w:val="none" w:color="auto" w:sz="0" w:space="0"/>
          <w:shd w:val="clear" w:fill="FFFFFF"/>
        </w:rPr>
        <w:t>2、机构设置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 w:hAnsi="仿宋" w:eastAsia="仿宋" w:cs="仿宋"/>
          <w:b w:val="0"/>
          <w:bCs w:val="0"/>
          <w:i w:val="0"/>
          <w:iCs w:val="0"/>
          <w:caps w:val="0"/>
          <w:color w:val="333333"/>
          <w:spacing w:val="0"/>
          <w:sz w:val="32"/>
          <w:szCs w:val="32"/>
          <w:bdr w:val="none" w:color="auto" w:sz="0" w:space="0"/>
        </w:rPr>
        <w:t>赫山区人大及其常委会设下列机构：区人大常委会工作机构2个，区人大专门委员会7个。</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 w:hAnsi="仿宋" w:eastAsia="仿宋" w:cs="仿宋"/>
          <w:b w:val="0"/>
          <w:bCs w:val="0"/>
          <w:i w:val="0"/>
          <w:iCs w:val="0"/>
          <w:caps w:val="0"/>
          <w:color w:val="333333"/>
          <w:spacing w:val="0"/>
          <w:sz w:val="32"/>
          <w:szCs w:val="32"/>
          <w:bdr w:val="none" w:color="auto" w:sz="0" w:space="0"/>
          <w:shd w:val="clear" w:fill="FFFFFF"/>
        </w:rPr>
        <w:t>工作机构：办公室、联工委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 w:hAnsi="仿宋" w:eastAsia="仿宋" w:cs="仿宋"/>
          <w:b w:val="0"/>
          <w:bCs w:val="0"/>
          <w:i w:val="0"/>
          <w:iCs w:val="0"/>
          <w:caps w:val="0"/>
          <w:color w:val="333333"/>
          <w:spacing w:val="0"/>
          <w:sz w:val="32"/>
          <w:szCs w:val="32"/>
          <w:bdr w:val="none" w:color="auto" w:sz="0" w:space="0"/>
        </w:rPr>
        <w:t>专门委员会：民族华侨外事委员会、监察和司法委员会（法制委员会）、人大财政经济委员会（区人大常委会预算工作委员会）、教育科学文化卫生委员会、人大环境与资源保护委员会、农业与农村委员会、社会建设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 w:hAnsi="仿宋" w:eastAsia="仿宋" w:cs="仿宋"/>
          <w:b w:val="0"/>
          <w:bCs w:val="0"/>
          <w:i w:val="0"/>
          <w:iCs w:val="0"/>
          <w:caps w:val="0"/>
          <w:color w:val="333333"/>
          <w:spacing w:val="0"/>
          <w:sz w:val="32"/>
          <w:szCs w:val="32"/>
          <w:bdr w:val="none" w:color="auto" w:sz="0" w:space="0"/>
          <w:shd w:val="clear" w:fill="FFFFFF"/>
        </w:rPr>
        <w:t>二、部门预算单位构成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 w:hAnsi="仿宋" w:eastAsia="仿宋" w:cs="仿宋"/>
          <w:b w:val="0"/>
          <w:bCs w:val="0"/>
          <w:i w:val="0"/>
          <w:iCs w:val="0"/>
          <w:caps w:val="0"/>
          <w:color w:val="333333"/>
          <w:spacing w:val="0"/>
          <w:sz w:val="32"/>
          <w:szCs w:val="32"/>
          <w:bdr w:val="none" w:color="auto" w:sz="0" w:space="0"/>
          <w:shd w:val="clear" w:fill="FFFFFF"/>
        </w:rPr>
        <w:t>区人大常委会本级，无二级财务独立核算机构。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 w:hAnsi="仿宋" w:eastAsia="仿宋" w:cs="仿宋"/>
          <w:b w:val="0"/>
          <w:bCs w:val="0"/>
          <w:i w:val="0"/>
          <w:iCs w:val="0"/>
          <w:caps w:val="0"/>
          <w:color w:val="333333"/>
          <w:spacing w:val="0"/>
          <w:sz w:val="32"/>
          <w:szCs w:val="32"/>
          <w:bdr w:val="none" w:color="auto" w:sz="0" w:space="0"/>
          <w:shd w:val="clear" w:fill="FFFFFF"/>
        </w:rPr>
        <w:t>三、部门收支总体情况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 w:hAnsi="仿宋" w:eastAsia="仿宋" w:cs="仿宋"/>
          <w:b w:val="0"/>
          <w:bCs w:val="0"/>
          <w:i w:val="0"/>
          <w:iCs w:val="0"/>
          <w:caps w:val="0"/>
          <w:color w:val="333333"/>
          <w:spacing w:val="0"/>
          <w:sz w:val="32"/>
          <w:szCs w:val="32"/>
          <w:bdr w:val="none" w:color="auto" w:sz="0" w:space="0"/>
          <w:shd w:val="clear" w:fill="FFFFFF"/>
        </w:rPr>
        <w:t> 2020年部门预算收入包括一般公共预算收入、政府性基金收入和国有资本经营预算收入；支出包括基本支出和项目支出。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0" w:afterAutospacing="0" w:line="600" w:lineRule="atLeast"/>
        <w:ind w:left="0" w:right="0" w:firstLine="640"/>
        <w:jc w:val="both"/>
        <w:rPr>
          <w:rFonts w:hint="default" w:ascii="Times New Roman" w:hAnsi="Times New Roman" w:cs="Times New Roman"/>
          <w:sz w:val="21"/>
          <w:szCs w:val="21"/>
        </w:rPr>
      </w:pPr>
      <w:r>
        <w:rPr>
          <w:rFonts w:hint="eastAsia" w:ascii="仿宋" w:hAnsi="仿宋" w:eastAsia="仿宋" w:cs="仿宋"/>
          <w:b w:val="0"/>
          <w:bCs w:val="0"/>
          <w:i w:val="0"/>
          <w:iCs w:val="0"/>
          <w:caps w:val="0"/>
          <w:color w:val="333333"/>
          <w:spacing w:val="0"/>
          <w:sz w:val="32"/>
          <w:szCs w:val="32"/>
          <w:bdr w:val="none" w:color="auto" w:sz="0" w:space="0"/>
          <w:shd w:val="clear" w:fill="FFFFFF"/>
        </w:rPr>
        <w:t>（一）收入预算，2020年年初预算数 892.97万元，其中一般公共预算财政拨款732.45万元，政府性基金0元，非税收入0元，其他收入160.5万元，收入较去年增加 54.06万元，主要是人员增加、机构增加。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600" w:lineRule="atLeast"/>
        <w:ind w:left="0" w:right="0" w:firstLine="627"/>
        <w:jc w:val="left"/>
        <w:rPr>
          <w:rFonts w:hint="default" w:ascii="Times New Roman" w:hAnsi="Times New Roman" w:cs="Times New Roman"/>
          <w:sz w:val="21"/>
          <w:szCs w:val="21"/>
        </w:rPr>
      </w:pPr>
      <w:r>
        <w:rPr>
          <w:rFonts w:hint="eastAsia" w:ascii="仿宋" w:hAnsi="仿宋" w:eastAsia="仿宋" w:cs="仿宋"/>
          <w:b w:val="0"/>
          <w:bCs w:val="0"/>
          <w:i w:val="0"/>
          <w:iCs w:val="0"/>
          <w:caps w:val="0"/>
          <w:color w:val="333333"/>
          <w:spacing w:val="0"/>
          <w:sz w:val="32"/>
          <w:szCs w:val="32"/>
          <w:bdr w:val="none" w:color="auto" w:sz="0" w:space="0"/>
        </w:rPr>
        <w:t>（二）支出预算，2020年年初预算数 892.97万元，其中，一般公共服务 748.54万元，卫生健康支出79.25万元，住房保障支出38.28万元，社会保障26.88万元。支出较去年增 54.06万元，主要是人员增加，机构增加，新成立了社会建设委和民侨委两个专门委员会和预算联网监督中心，预算增加。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600" w:lineRule="atLeast"/>
        <w:ind w:left="0" w:right="0" w:firstLine="660"/>
        <w:jc w:val="left"/>
        <w:rPr>
          <w:rFonts w:hint="default" w:ascii="Times New Roman" w:hAnsi="Times New Roman" w:cs="Times New Roman"/>
          <w:sz w:val="21"/>
          <w:szCs w:val="21"/>
        </w:rPr>
      </w:pPr>
      <w:r>
        <w:rPr>
          <w:rFonts w:hint="eastAsia" w:ascii="仿宋" w:hAnsi="仿宋" w:eastAsia="仿宋" w:cs="仿宋"/>
          <w:b w:val="0"/>
          <w:bCs w:val="0"/>
          <w:i w:val="0"/>
          <w:iCs w:val="0"/>
          <w:caps w:val="0"/>
          <w:color w:val="333333"/>
          <w:spacing w:val="0"/>
          <w:sz w:val="32"/>
          <w:szCs w:val="32"/>
          <w:bdr w:val="none" w:color="auto" w:sz="0" w:space="0"/>
        </w:rPr>
        <w:t>四、一般公共预算拨款支出预算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600" w:lineRule="atLeast"/>
        <w:ind w:left="0" w:right="0" w:firstLine="660"/>
        <w:jc w:val="left"/>
        <w:rPr>
          <w:rFonts w:hint="default" w:ascii="Times New Roman" w:hAnsi="Times New Roman" w:cs="Times New Roman"/>
          <w:sz w:val="21"/>
          <w:szCs w:val="21"/>
        </w:rPr>
      </w:pPr>
      <w:r>
        <w:rPr>
          <w:rFonts w:hint="eastAsia" w:ascii="仿宋" w:hAnsi="仿宋" w:eastAsia="仿宋" w:cs="仿宋"/>
          <w:b w:val="0"/>
          <w:bCs w:val="0"/>
          <w:i w:val="0"/>
          <w:iCs w:val="0"/>
          <w:caps w:val="0"/>
          <w:color w:val="333333"/>
          <w:spacing w:val="0"/>
          <w:sz w:val="32"/>
          <w:szCs w:val="32"/>
          <w:bdr w:val="none" w:color="auto" w:sz="0" w:space="0"/>
        </w:rPr>
        <w:t>2020年一般公共预算财政拨款收入732.45万元，具体安排情况如下：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600" w:lineRule="atLeast"/>
        <w:ind w:left="0" w:right="0" w:firstLine="660"/>
        <w:jc w:val="left"/>
        <w:rPr>
          <w:rFonts w:hint="default" w:ascii="Times New Roman" w:hAnsi="Times New Roman" w:cs="Times New Roman"/>
          <w:sz w:val="21"/>
          <w:szCs w:val="21"/>
        </w:rPr>
      </w:pPr>
      <w:r>
        <w:rPr>
          <w:rFonts w:hint="eastAsia" w:ascii="仿宋" w:hAnsi="仿宋" w:eastAsia="仿宋" w:cs="仿宋"/>
          <w:b w:val="0"/>
          <w:bCs w:val="0"/>
          <w:i w:val="0"/>
          <w:iCs w:val="0"/>
          <w:caps w:val="0"/>
          <w:color w:val="333333"/>
          <w:spacing w:val="0"/>
          <w:sz w:val="32"/>
          <w:szCs w:val="32"/>
          <w:bdr w:val="none" w:color="auto" w:sz="0" w:space="0"/>
        </w:rPr>
        <w:t>（一）基本支出：2020年年初预算数为558.14万元，主要用于基本工资、津贴补贴等人员经费以及办公费、印刷费、水电费、办公设备购置等日常公用经费。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600" w:lineRule="atLeast"/>
        <w:ind w:left="0" w:right="0" w:firstLine="660"/>
        <w:jc w:val="left"/>
        <w:rPr>
          <w:rFonts w:hint="default" w:ascii="Times New Roman" w:hAnsi="Times New Roman" w:cs="Times New Roman"/>
          <w:sz w:val="21"/>
          <w:szCs w:val="21"/>
        </w:rPr>
      </w:pPr>
      <w:r>
        <w:rPr>
          <w:rFonts w:hint="eastAsia" w:ascii="仿宋" w:hAnsi="仿宋" w:eastAsia="仿宋" w:cs="仿宋"/>
          <w:b w:val="0"/>
          <w:bCs w:val="0"/>
          <w:i w:val="0"/>
          <w:iCs w:val="0"/>
          <w:caps w:val="0"/>
          <w:color w:val="333333"/>
          <w:spacing w:val="0"/>
          <w:sz w:val="32"/>
          <w:szCs w:val="32"/>
          <w:bdr w:val="none" w:color="auto" w:sz="0" w:space="0"/>
        </w:rPr>
        <w:t>（二）项目支出：2020年年初预算数为174.31万元，其中人大公报编制8万，市、区代表活动经费22.9万，预算审查5万，监委5万，代表建议意见批评办理12万，例会经费18万，人大常委会和委室调研经费24万，专题调研活动22万，重点调研经费8万，党建经费1万，代表报刊杂志12万，预算联网监督运行维护费30万，其他临时工工资等6.41万。主要用于市、区人大代表活动、人大主任会议和常务会议经费、专项考察支出和项目调研支出、以及预算联网监督中心运行维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600" w:lineRule="atLeast"/>
        <w:ind w:left="0" w:right="0" w:firstLine="660"/>
        <w:jc w:val="left"/>
        <w:rPr>
          <w:rFonts w:hint="default" w:ascii="Times New Roman" w:hAnsi="Times New Roman" w:cs="Times New Roman"/>
          <w:sz w:val="21"/>
          <w:szCs w:val="21"/>
        </w:rPr>
      </w:pPr>
      <w:r>
        <w:rPr>
          <w:rFonts w:hint="eastAsia" w:ascii="仿宋" w:hAnsi="仿宋" w:eastAsia="仿宋" w:cs="仿宋"/>
          <w:b w:val="0"/>
          <w:bCs w:val="0"/>
          <w:i w:val="0"/>
          <w:iCs w:val="0"/>
          <w:caps w:val="0"/>
          <w:color w:val="333333"/>
          <w:spacing w:val="0"/>
          <w:sz w:val="32"/>
          <w:szCs w:val="32"/>
          <w:bdr w:val="none" w:color="auto" w:sz="0" w:space="0"/>
        </w:rPr>
        <w:t>五、其他重要事项的情况说明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600" w:lineRule="atLeast"/>
        <w:ind w:left="0" w:right="0" w:firstLine="660"/>
        <w:jc w:val="left"/>
        <w:rPr>
          <w:rFonts w:hint="default" w:ascii="Times New Roman" w:hAnsi="Times New Roman" w:cs="Times New Roman"/>
          <w:sz w:val="21"/>
          <w:szCs w:val="21"/>
        </w:rPr>
      </w:pPr>
      <w:r>
        <w:rPr>
          <w:rFonts w:hint="eastAsia" w:ascii="仿宋" w:hAnsi="仿宋" w:eastAsia="仿宋" w:cs="仿宋"/>
          <w:b w:val="0"/>
          <w:bCs w:val="0"/>
          <w:i w:val="0"/>
          <w:iCs w:val="0"/>
          <w:caps w:val="0"/>
          <w:color w:val="333333"/>
          <w:spacing w:val="0"/>
          <w:sz w:val="32"/>
          <w:szCs w:val="32"/>
          <w:bdr w:val="none" w:color="auto" w:sz="0" w:space="0"/>
        </w:rPr>
        <w:t>1、机关运行经费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600" w:lineRule="atLeast"/>
        <w:ind w:left="0" w:right="0" w:firstLine="660"/>
        <w:jc w:val="both"/>
        <w:rPr>
          <w:rFonts w:hint="default" w:ascii="Times New Roman" w:hAnsi="Times New Roman" w:cs="Times New Roman"/>
          <w:sz w:val="21"/>
          <w:szCs w:val="21"/>
        </w:rPr>
      </w:pPr>
      <w:r>
        <w:rPr>
          <w:rFonts w:hint="eastAsia" w:ascii="仿宋" w:hAnsi="仿宋" w:eastAsia="仿宋" w:cs="仿宋"/>
          <w:b w:val="0"/>
          <w:bCs w:val="0"/>
          <w:i w:val="0"/>
          <w:iCs w:val="0"/>
          <w:caps w:val="0"/>
          <w:color w:val="333333"/>
          <w:spacing w:val="0"/>
          <w:sz w:val="32"/>
          <w:szCs w:val="32"/>
          <w:bdr w:val="none" w:color="auto" w:sz="0" w:space="0"/>
        </w:rPr>
        <w:t>2020年本级机关运行经费当年一般公共预算拨款732.45 万元，比2019年预算增加 39.94 万元，上升 5.7  %主要是增加了工作人员。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600" w:lineRule="atLeast"/>
        <w:ind w:left="0" w:right="0" w:firstLine="660"/>
        <w:jc w:val="both"/>
        <w:rPr>
          <w:rFonts w:hint="default" w:ascii="Times New Roman" w:hAnsi="Times New Roman" w:cs="Times New Roman"/>
          <w:sz w:val="21"/>
          <w:szCs w:val="21"/>
        </w:rPr>
      </w:pPr>
      <w:r>
        <w:rPr>
          <w:rFonts w:hint="eastAsia" w:ascii="仿宋" w:hAnsi="仿宋" w:eastAsia="仿宋" w:cs="仿宋"/>
          <w:b w:val="0"/>
          <w:bCs w:val="0"/>
          <w:i w:val="0"/>
          <w:iCs w:val="0"/>
          <w:caps w:val="0"/>
          <w:color w:val="333333"/>
          <w:spacing w:val="0"/>
          <w:sz w:val="32"/>
          <w:szCs w:val="32"/>
          <w:bdr w:val="none" w:color="auto" w:sz="0" w:space="0"/>
        </w:rPr>
        <w:t>2、“三公”经费预算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600" w:lineRule="atLeast"/>
        <w:ind w:left="0" w:right="0" w:firstLine="660"/>
        <w:jc w:val="both"/>
        <w:rPr>
          <w:rFonts w:hint="default" w:ascii="Times New Roman" w:hAnsi="Times New Roman" w:cs="Times New Roman"/>
          <w:sz w:val="21"/>
          <w:szCs w:val="21"/>
        </w:rPr>
      </w:pPr>
      <w:r>
        <w:rPr>
          <w:rFonts w:hint="eastAsia" w:ascii="仿宋" w:hAnsi="仿宋" w:eastAsia="仿宋" w:cs="仿宋"/>
          <w:b w:val="0"/>
          <w:bCs w:val="0"/>
          <w:i w:val="0"/>
          <w:iCs w:val="0"/>
          <w:caps w:val="0"/>
          <w:color w:val="333333"/>
          <w:spacing w:val="0"/>
          <w:sz w:val="32"/>
          <w:szCs w:val="32"/>
          <w:bdr w:val="none" w:color="auto" w:sz="0" w:space="0"/>
        </w:rPr>
        <w:t>2020年“三公”经费预算数为14.6万元，其中，公务接待费14.6万元，公务用车购置及运行费0万元（公务用车运行费 0万元），因公出国（境）费0万元。2020年“三公”经费预算与2019年持平。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600" w:lineRule="atLeast"/>
        <w:ind w:left="0" w:right="0" w:firstLine="660"/>
        <w:jc w:val="both"/>
        <w:rPr>
          <w:rFonts w:hint="default" w:ascii="Times New Roman" w:hAnsi="Times New Roman" w:cs="Times New Roman"/>
          <w:sz w:val="21"/>
          <w:szCs w:val="21"/>
        </w:rPr>
      </w:pPr>
      <w:r>
        <w:rPr>
          <w:rFonts w:hint="eastAsia" w:ascii="仿宋" w:hAnsi="仿宋" w:eastAsia="仿宋" w:cs="仿宋"/>
          <w:b w:val="0"/>
          <w:bCs w:val="0"/>
          <w:i w:val="0"/>
          <w:iCs w:val="0"/>
          <w:caps w:val="0"/>
          <w:color w:val="333333"/>
          <w:spacing w:val="0"/>
          <w:sz w:val="32"/>
          <w:szCs w:val="32"/>
          <w:bdr w:val="none" w:color="auto" w:sz="0" w:space="0"/>
        </w:rPr>
        <w:t>3、政府采购情况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600" w:lineRule="atLeast"/>
        <w:ind w:left="0" w:right="0" w:firstLine="660"/>
        <w:jc w:val="both"/>
        <w:rPr>
          <w:rFonts w:hint="default" w:ascii="Times New Roman" w:hAnsi="Times New Roman" w:cs="Times New Roman"/>
          <w:sz w:val="21"/>
          <w:szCs w:val="21"/>
        </w:rPr>
      </w:pPr>
      <w:r>
        <w:rPr>
          <w:rFonts w:hint="eastAsia" w:ascii="仿宋" w:hAnsi="仿宋" w:eastAsia="仿宋" w:cs="仿宋"/>
          <w:b w:val="0"/>
          <w:bCs w:val="0"/>
          <w:i w:val="0"/>
          <w:iCs w:val="0"/>
          <w:caps w:val="0"/>
          <w:color w:val="333333"/>
          <w:spacing w:val="0"/>
          <w:sz w:val="32"/>
          <w:szCs w:val="32"/>
          <w:bdr w:val="none" w:color="auto" w:sz="0" w:space="0"/>
        </w:rPr>
        <w:t>2020年区人大办无政府采购预算。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600" w:lineRule="atLeast"/>
        <w:ind w:left="0" w:right="0" w:firstLine="660"/>
        <w:jc w:val="both"/>
        <w:rPr>
          <w:rFonts w:hint="default" w:ascii="Times New Roman" w:hAnsi="Times New Roman" w:cs="Times New Roman"/>
          <w:sz w:val="21"/>
          <w:szCs w:val="21"/>
        </w:rPr>
      </w:pPr>
      <w:r>
        <w:rPr>
          <w:rFonts w:hint="eastAsia" w:ascii="仿宋" w:hAnsi="仿宋" w:eastAsia="仿宋" w:cs="仿宋"/>
          <w:b w:val="0"/>
          <w:bCs w:val="0"/>
          <w:i w:val="0"/>
          <w:iCs w:val="0"/>
          <w:caps w:val="0"/>
          <w:color w:val="333333"/>
          <w:spacing w:val="0"/>
          <w:sz w:val="32"/>
          <w:szCs w:val="32"/>
          <w:bdr w:val="none" w:color="auto" w:sz="0" w:space="0"/>
        </w:rPr>
        <w:t>4、国有资产占用使用情况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600" w:lineRule="atLeast"/>
        <w:ind w:left="0" w:right="0" w:firstLine="660"/>
        <w:jc w:val="both"/>
        <w:rPr>
          <w:rFonts w:hint="default" w:ascii="Times New Roman" w:hAnsi="Times New Roman" w:cs="Times New Roman"/>
          <w:sz w:val="21"/>
          <w:szCs w:val="21"/>
        </w:rPr>
      </w:pPr>
      <w:r>
        <w:rPr>
          <w:rFonts w:hint="eastAsia" w:ascii="仿宋" w:hAnsi="仿宋" w:eastAsia="仿宋" w:cs="仿宋"/>
          <w:b w:val="0"/>
          <w:bCs w:val="0"/>
          <w:i w:val="0"/>
          <w:iCs w:val="0"/>
          <w:caps w:val="0"/>
          <w:color w:val="333333"/>
          <w:spacing w:val="0"/>
          <w:sz w:val="32"/>
          <w:szCs w:val="32"/>
          <w:bdr w:val="none" w:color="auto" w:sz="0" w:space="0"/>
        </w:rPr>
        <w:t>截至2019年12月31日，本部门共有车辆0辆。单位价值50万元以上通用设备0台，单位价值100万元以上专用设备0台。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600" w:lineRule="atLeast"/>
        <w:ind w:left="0" w:right="0" w:firstLine="660"/>
        <w:jc w:val="both"/>
        <w:rPr>
          <w:rFonts w:hint="default" w:ascii="Times New Roman" w:hAnsi="Times New Roman" w:cs="Times New Roman"/>
          <w:sz w:val="21"/>
          <w:szCs w:val="21"/>
        </w:rPr>
      </w:pPr>
      <w:r>
        <w:rPr>
          <w:rFonts w:hint="eastAsia" w:ascii="仿宋" w:hAnsi="仿宋" w:eastAsia="仿宋" w:cs="仿宋"/>
          <w:b w:val="0"/>
          <w:bCs w:val="0"/>
          <w:i w:val="0"/>
          <w:iCs w:val="0"/>
          <w:caps w:val="0"/>
          <w:color w:val="333333"/>
          <w:spacing w:val="0"/>
          <w:sz w:val="32"/>
          <w:szCs w:val="32"/>
          <w:bdr w:val="none" w:color="auto" w:sz="0" w:space="0"/>
        </w:rPr>
        <w:t>2020年部门预算预计采购车辆0辆，未安排50万元以上通用设备，及价值100万元以上专用设备。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600" w:lineRule="atLeast"/>
        <w:ind w:left="0" w:right="0" w:firstLine="660"/>
        <w:jc w:val="both"/>
        <w:rPr>
          <w:rFonts w:hint="default" w:ascii="Times New Roman" w:hAnsi="Times New Roman" w:cs="Times New Roman"/>
          <w:sz w:val="21"/>
          <w:szCs w:val="21"/>
        </w:rPr>
      </w:pPr>
      <w:r>
        <w:rPr>
          <w:rFonts w:hint="eastAsia" w:ascii="仿宋" w:hAnsi="仿宋" w:eastAsia="仿宋" w:cs="仿宋"/>
          <w:b w:val="0"/>
          <w:bCs w:val="0"/>
          <w:i w:val="0"/>
          <w:iCs w:val="0"/>
          <w:caps w:val="0"/>
          <w:color w:val="333333"/>
          <w:spacing w:val="0"/>
          <w:sz w:val="32"/>
          <w:szCs w:val="32"/>
          <w:bdr w:val="none" w:color="auto" w:sz="0" w:space="0"/>
        </w:rPr>
        <w:t>5、预算绩效目标情况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600" w:lineRule="atLeast"/>
        <w:ind w:left="0" w:right="0" w:firstLine="660"/>
        <w:jc w:val="both"/>
        <w:rPr>
          <w:rFonts w:hint="default" w:ascii="Times New Roman" w:hAnsi="Times New Roman" w:cs="Times New Roman"/>
          <w:sz w:val="21"/>
          <w:szCs w:val="21"/>
        </w:rPr>
      </w:pPr>
      <w:r>
        <w:rPr>
          <w:rFonts w:hint="eastAsia" w:ascii="仿宋" w:hAnsi="仿宋" w:eastAsia="仿宋" w:cs="仿宋"/>
          <w:b w:val="0"/>
          <w:bCs w:val="0"/>
          <w:i w:val="0"/>
          <w:iCs w:val="0"/>
          <w:caps w:val="0"/>
          <w:color w:val="333333"/>
          <w:spacing w:val="0"/>
          <w:sz w:val="32"/>
          <w:szCs w:val="32"/>
          <w:bdr w:val="none" w:color="auto" w:sz="0" w:space="0"/>
        </w:rPr>
        <w:t>2020年区人大办单位整体支出绩效目标892.97万元，其中：基本支出718.61万元，项目支出174.36万元。全部实行整体绩效目标管理，涉及一般公共预算当年拨款892.97万元。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600" w:lineRule="atLeast"/>
        <w:ind w:left="0" w:right="0" w:firstLine="660"/>
        <w:jc w:val="both"/>
        <w:rPr>
          <w:rFonts w:hint="default" w:ascii="Times New Roman" w:hAnsi="Times New Roman" w:cs="Times New Roman"/>
          <w:sz w:val="21"/>
          <w:szCs w:val="21"/>
        </w:rPr>
      </w:pPr>
      <w:r>
        <w:rPr>
          <w:rFonts w:hint="eastAsia" w:ascii="仿宋" w:hAnsi="仿宋" w:eastAsia="仿宋" w:cs="仿宋"/>
          <w:b w:val="0"/>
          <w:bCs w:val="0"/>
          <w:i w:val="0"/>
          <w:iCs w:val="0"/>
          <w:caps w:val="0"/>
          <w:color w:val="333333"/>
          <w:spacing w:val="0"/>
          <w:sz w:val="32"/>
          <w:szCs w:val="32"/>
          <w:bdr w:val="none" w:color="auto" w:sz="0" w:space="0"/>
        </w:rPr>
        <w:t>2020年区人大办单位项目支出绩效目标30万元，主要用于预算联网监督中心项目支出，实行整体绩效目标管理，涉及一般公共预算当年拨款30万元。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600" w:lineRule="atLeast"/>
        <w:ind w:left="0" w:right="0" w:firstLine="660"/>
        <w:jc w:val="both"/>
        <w:rPr>
          <w:rFonts w:hint="default" w:ascii="Times New Roman" w:hAnsi="Times New Roman" w:cs="Times New Roman"/>
          <w:sz w:val="21"/>
          <w:szCs w:val="21"/>
        </w:rPr>
      </w:pPr>
      <w:r>
        <w:rPr>
          <w:rFonts w:hint="eastAsia" w:ascii="仿宋" w:hAnsi="仿宋" w:eastAsia="仿宋" w:cs="仿宋"/>
          <w:b w:val="0"/>
          <w:bCs w:val="0"/>
          <w:i w:val="0"/>
          <w:iCs w:val="0"/>
          <w:caps w:val="0"/>
          <w:color w:val="333333"/>
          <w:spacing w:val="0"/>
          <w:sz w:val="32"/>
          <w:szCs w:val="32"/>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600" w:lineRule="atLeast"/>
        <w:ind w:left="0" w:right="0"/>
        <w:jc w:val="both"/>
        <w:rPr>
          <w:rFonts w:hint="default" w:ascii="Times New Roman" w:hAnsi="Times New Roman" w:cs="Times New Roman"/>
          <w:sz w:val="21"/>
          <w:szCs w:val="21"/>
        </w:rPr>
      </w:pPr>
      <w:r>
        <w:rPr>
          <w:rFonts w:hint="eastAsia" w:ascii="仿宋" w:hAnsi="仿宋" w:eastAsia="仿宋" w:cs="仿宋"/>
          <w:b w:val="0"/>
          <w:bCs w:val="0"/>
          <w:i w:val="0"/>
          <w:iCs w:val="0"/>
          <w:caps w:val="0"/>
          <w:color w:val="333333"/>
          <w:spacing w:val="0"/>
          <w:sz w:val="32"/>
          <w:szCs w:val="32"/>
          <w:bdr w:val="none" w:color="auto" w:sz="0" w:space="0"/>
        </w:rPr>
        <w:t>六、名词解释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600" w:lineRule="atLeast"/>
        <w:ind w:left="0" w:right="0" w:firstLine="660"/>
        <w:jc w:val="both"/>
        <w:rPr>
          <w:rFonts w:hint="default" w:ascii="Times New Roman" w:hAnsi="Times New Roman" w:cs="Times New Roman"/>
          <w:sz w:val="21"/>
          <w:szCs w:val="21"/>
        </w:rPr>
      </w:pPr>
      <w:r>
        <w:rPr>
          <w:rFonts w:hint="eastAsia" w:ascii="仿宋" w:hAnsi="仿宋" w:eastAsia="仿宋" w:cs="仿宋"/>
          <w:b w:val="0"/>
          <w:bCs w:val="0"/>
          <w:i w:val="0"/>
          <w:iCs w:val="0"/>
          <w:caps w:val="0"/>
          <w:color w:val="333333"/>
          <w:spacing w:val="0"/>
          <w:sz w:val="32"/>
          <w:szCs w:val="32"/>
          <w:bdr w:val="none" w:color="auto" w:sz="0" w:space="0"/>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600" w:lineRule="atLeast"/>
        <w:ind w:left="0" w:right="0" w:firstLine="660"/>
        <w:jc w:val="both"/>
        <w:rPr>
          <w:rFonts w:hint="default" w:ascii="Times New Roman" w:hAnsi="Times New Roman" w:cs="Times New Roman"/>
          <w:sz w:val="21"/>
          <w:szCs w:val="21"/>
        </w:rPr>
      </w:pPr>
      <w:r>
        <w:rPr>
          <w:rFonts w:hint="eastAsia" w:ascii="仿宋" w:hAnsi="仿宋" w:eastAsia="仿宋" w:cs="仿宋"/>
          <w:b w:val="0"/>
          <w:bCs w:val="0"/>
          <w:i w:val="0"/>
          <w:iCs w:val="0"/>
          <w:caps w:val="0"/>
          <w:color w:val="333333"/>
          <w:spacing w:val="0"/>
          <w:sz w:val="32"/>
          <w:szCs w:val="32"/>
          <w:bdr w:val="none" w:color="auto" w:sz="0" w:space="0"/>
        </w:rPr>
        <w:t>2、“三公”经费：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700" w:lineRule="atLeast"/>
        <w:ind w:left="0" w:right="0"/>
        <w:jc w:val="left"/>
        <w:textAlignment w:val="center"/>
        <w:rPr>
          <w:rFonts w:hint="default" w:ascii="Times New Roman" w:hAnsi="Times New Roman" w:cs="Times New Roman"/>
          <w:sz w:val="21"/>
          <w:szCs w:val="21"/>
        </w:rPr>
      </w:pPr>
      <w:r>
        <w:rPr>
          <w:rFonts w:hint="eastAsia" w:ascii="仿宋" w:hAnsi="仿宋" w:eastAsia="仿宋" w:cs="仿宋"/>
          <w:b w:val="0"/>
          <w:bCs w:val="0"/>
          <w:i w:val="0"/>
          <w:iCs w:val="0"/>
          <w:caps w:val="0"/>
          <w:color w:val="000000"/>
          <w:spacing w:val="0"/>
          <w:sz w:val="32"/>
          <w:szCs w:val="3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700" w:lineRule="atLeast"/>
        <w:ind w:left="0" w:right="0"/>
        <w:jc w:val="left"/>
        <w:textAlignment w:val="center"/>
        <w:rPr>
          <w:rFonts w:hint="default" w:ascii="Times New Roman" w:hAnsi="Times New Roman" w:cs="Times New Roman"/>
          <w:sz w:val="21"/>
          <w:szCs w:val="21"/>
        </w:rPr>
      </w:pPr>
      <w:r>
        <w:rPr>
          <w:rFonts w:hint="eastAsia" w:ascii="仿宋" w:hAnsi="仿宋" w:eastAsia="仿宋" w:cs="仿宋"/>
          <w:b w:val="0"/>
          <w:bCs w:val="0"/>
          <w:i w:val="0"/>
          <w:iCs w:val="0"/>
          <w:caps w:val="0"/>
          <w:color w:val="000000"/>
          <w:spacing w:val="0"/>
          <w:sz w:val="32"/>
          <w:szCs w:val="32"/>
          <w:bdr w:val="none" w:color="auto" w:sz="0" w:space="0"/>
          <w:shd w:val="clear" w:fill="FFFFFF"/>
        </w:rPr>
        <w:t>第二部分：2019年部门预算需公开的表格情况</w:t>
      </w:r>
      <w:r>
        <w:rPr>
          <w:rFonts w:hint="default" w:ascii="sans-serif" w:hAnsi="sans-serif" w:eastAsia="微软雅黑" w:cs="sans-serif"/>
          <w:b w:val="0"/>
          <w:bCs w:val="0"/>
          <w:i w:val="0"/>
          <w:iCs w:val="0"/>
          <w:caps w:val="0"/>
          <w:color w:val="000000"/>
          <w:spacing w:val="0"/>
          <w:sz w:val="32"/>
          <w:szCs w:val="3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700" w:lineRule="atLeast"/>
        <w:ind w:left="0" w:right="0"/>
        <w:jc w:val="left"/>
        <w:textAlignment w:val="center"/>
        <w:rPr>
          <w:rFonts w:hint="default" w:ascii="Times New Roman" w:hAnsi="Times New Roman" w:cs="Times New Roman"/>
          <w:sz w:val="21"/>
          <w:szCs w:val="21"/>
        </w:rPr>
      </w:pPr>
      <w:r>
        <w:rPr>
          <w:rFonts w:hint="eastAsia" w:ascii="仿宋" w:hAnsi="仿宋" w:eastAsia="仿宋" w:cs="仿宋"/>
          <w:b w:val="0"/>
          <w:bCs w:val="0"/>
          <w:i w:val="0"/>
          <w:iCs w:val="0"/>
          <w:caps w:val="0"/>
          <w:color w:val="000000"/>
          <w:spacing w:val="0"/>
          <w:sz w:val="32"/>
          <w:szCs w:val="32"/>
          <w:bdr w:val="none" w:color="auto" w:sz="0" w:space="0"/>
          <w:shd w:val="clear" w:fill="FFFFFF"/>
        </w:rPr>
        <w:t>1、部门收入总表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700" w:lineRule="atLeast"/>
        <w:ind w:left="0" w:right="0"/>
        <w:jc w:val="left"/>
        <w:textAlignment w:val="center"/>
        <w:rPr>
          <w:rFonts w:hint="default" w:ascii="Times New Roman" w:hAnsi="Times New Roman" w:cs="Times New Roman"/>
          <w:sz w:val="21"/>
          <w:szCs w:val="21"/>
        </w:rPr>
      </w:pPr>
      <w:r>
        <w:rPr>
          <w:rFonts w:hint="eastAsia" w:ascii="仿宋" w:hAnsi="仿宋" w:eastAsia="仿宋" w:cs="仿宋"/>
          <w:b w:val="0"/>
          <w:bCs w:val="0"/>
          <w:i w:val="0"/>
          <w:iCs w:val="0"/>
          <w:caps w:val="0"/>
          <w:color w:val="000000"/>
          <w:spacing w:val="0"/>
          <w:sz w:val="32"/>
          <w:szCs w:val="32"/>
          <w:bdr w:val="none" w:color="auto" w:sz="0" w:space="0"/>
          <w:shd w:val="clear" w:fill="FFFFFF"/>
        </w:rPr>
        <w:t>2、部门收入总体情况表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700" w:lineRule="atLeast"/>
        <w:ind w:left="0" w:right="0"/>
        <w:jc w:val="left"/>
        <w:textAlignment w:val="center"/>
        <w:rPr>
          <w:rFonts w:hint="default" w:ascii="Times New Roman" w:hAnsi="Times New Roman" w:cs="Times New Roman"/>
          <w:sz w:val="21"/>
          <w:szCs w:val="21"/>
        </w:rPr>
      </w:pPr>
      <w:r>
        <w:rPr>
          <w:rFonts w:hint="eastAsia" w:ascii="仿宋" w:hAnsi="仿宋" w:eastAsia="仿宋" w:cs="仿宋"/>
          <w:b w:val="0"/>
          <w:bCs w:val="0"/>
          <w:i w:val="0"/>
          <w:iCs w:val="0"/>
          <w:caps w:val="0"/>
          <w:color w:val="000000"/>
          <w:spacing w:val="0"/>
          <w:sz w:val="32"/>
          <w:szCs w:val="32"/>
          <w:bdr w:val="none" w:color="auto" w:sz="0" w:space="0"/>
          <w:shd w:val="clear" w:fill="FFFFFF"/>
        </w:rPr>
        <w:t>3、部门支出总体情况表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700" w:lineRule="atLeast"/>
        <w:ind w:left="0" w:right="0"/>
        <w:jc w:val="left"/>
        <w:textAlignment w:val="center"/>
        <w:rPr>
          <w:rFonts w:hint="default" w:ascii="Times New Roman" w:hAnsi="Times New Roman" w:cs="Times New Roman"/>
          <w:sz w:val="21"/>
          <w:szCs w:val="21"/>
        </w:rPr>
      </w:pPr>
      <w:r>
        <w:rPr>
          <w:rFonts w:hint="eastAsia" w:ascii="仿宋" w:hAnsi="仿宋" w:eastAsia="仿宋" w:cs="仿宋"/>
          <w:b w:val="0"/>
          <w:bCs w:val="0"/>
          <w:i w:val="0"/>
          <w:iCs w:val="0"/>
          <w:caps w:val="0"/>
          <w:color w:val="000000"/>
          <w:spacing w:val="0"/>
          <w:sz w:val="32"/>
          <w:szCs w:val="32"/>
          <w:bdr w:val="none" w:color="auto" w:sz="0" w:space="0"/>
          <w:shd w:val="clear" w:fill="FFFFFF"/>
        </w:rPr>
        <w:t>4、财政拨款收支总体情况表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700" w:lineRule="atLeast"/>
        <w:ind w:left="0" w:right="0"/>
        <w:jc w:val="left"/>
        <w:textAlignment w:val="center"/>
        <w:rPr>
          <w:rFonts w:hint="default" w:ascii="Times New Roman" w:hAnsi="Times New Roman" w:cs="Times New Roman"/>
          <w:sz w:val="21"/>
          <w:szCs w:val="21"/>
        </w:rPr>
      </w:pPr>
      <w:r>
        <w:rPr>
          <w:rFonts w:hint="eastAsia" w:ascii="仿宋" w:hAnsi="仿宋" w:eastAsia="仿宋" w:cs="仿宋"/>
          <w:b w:val="0"/>
          <w:bCs w:val="0"/>
          <w:i w:val="0"/>
          <w:iCs w:val="0"/>
          <w:caps w:val="0"/>
          <w:color w:val="000000"/>
          <w:spacing w:val="0"/>
          <w:sz w:val="32"/>
          <w:szCs w:val="32"/>
          <w:bdr w:val="none" w:color="auto" w:sz="0" w:space="0"/>
          <w:shd w:val="clear" w:fill="FFFFFF"/>
        </w:rPr>
        <w:t>5、一般公共预算支出情况表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700" w:lineRule="atLeast"/>
        <w:ind w:left="0" w:right="0"/>
        <w:jc w:val="left"/>
        <w:textAlignment w:val="center"/>
        <w:rPr>
          <w:rFonts w:hint="default" w:ascii="Times New Roman" w:hAnsi="Times New Roman" w:cs="Times New Roman"/>
          <w:sz w:val="21"/>
          <w:szCs w:val="21"/>
        </w:rPr>
      </w:pPr>
      <w:r>
        <w:rPr>
          <w:rFonts w:hint="eastAsia" w:ascii="仿宋" w:hAnsi="仿宋" w:eastAsia="仿宋" w:cs="仿宋"/>
          <w:b w:val="0"/>
          <w:bCs w:val="0"/>
          <w:i w:val="0"/>
          <w:iCs w:val="0"/>
          <w:caps w:val="0"/>
          <w:color w:val="000000"/>
          <w:spacing w:val="0"/>
          <w:sz w:val="32"/>
          <w:szCs w:val="32"/>
          <w:bdr w:val="none" w:color="auto" w:sz="0" w:space="0"/>
          <w:shd w:val="clear" w:fill="FFFFFF"/>
        </w:rPr>
        <w:t>6、一般公共预算基本支出情况纵向表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700" w:lineRule="atLeast"/>
        <w:ind w:left="0" w:right="0"/>
        <w:jc w:val="left"/>
        <w:textAlignment w:val="center"/>
        <w:rPr>
          <w:rFonts w:hint="default" w:ascii="Times New Roman" w:hAnsi="Times New Roman" w:cs="Times New Roman"/>
          <w:sz w:val="21"/>
          <w:szCs w:val="21"/>
        </w:rPr>
      </w:pPr>
      <w:r>
        <w:rPr>
          <w:rFonts w:hint="eastAsia" w:ascii="仿宋" w:hAnsi="仿宋" w:eastAsia="仿宋" w:cs="仿宋"/>
          <w:b w:val="0"/>
          <w:bCs w:val="0"/>
          <w:i w:val="0"/>
          <w:iCs w:val="0"/>
          <w:caps w:val="0"/>
          <w:color w:val="000000"/>
          <w:spacing w:val="0"/>
          <w:sz w:val="32"/>
          <w:szCs w:val="32"/>
          <w:bdr w:val="none" w:color="auto" w:sz="0" w:space="0"/>
          <w:shd w:val="clear" w:fill="FFFFFF"/>
        </w:rPr>
        <w:t>7、一般公共预算基本支出情况横向表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700" w:lineRule="atLeast"/>
        <w:ind w:left="0" w:right="0"/>
        <w:jc w:val="left"/>
        <w:textAlignment w:val="center"/>
        <w:rPr>
          <w:rFonts w:hint="default" w:ascii="Times New Roman" w:hAnsi="Times New Roman" w:cs="Times New Roman"/>
          <w:sz w:val="21"/>
          <w:szCs w:val="21"/>
        </w:rPr>
      </w:pPr>
      <w:r>
        <w:rPr>
          <w:rFonts w:hint="eastAsia" w:ascii="仿宋" w:hAnsi="仿宋" w:eastAsia="仿宋" w:cs="仿宋"/>
          <w:b w:val="0"/>
          <w:bCs w:val="0"/>
          <w:i w:val="0"/>
          <w:iCs w:val="0"/>
          <w:caps w:val="0"/>
          <w:color w:val="000000"/>
          <w:spacing w:val="0"/>
          <w:sz w:val="32"/>
          <w:szCs w:val="32"/>
          <w:bdr w:val="none" w:color="auto" w:sz="0" w:space="0"/>
          <w:shd w:val="clear" w:fill="FFFFFF"/>
        </w:rPr>
        <w:t>8、政府性基金预算支出情况表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700" w:lineRule="atLeast"/>
        <w:ind w:left="0" w:right="0"/>
        <w:jc w:val="left"/>
        <w:textAlignment w:val="center"/>
        <w:rPr>
          <w:rFonts w:hint="default" w:ascii="Times New Roman" w:hAnsi="Times New Roman" w:cs="Times New Roman"/>
          <w:sz w:val="21"/>
          <w:szCs w:val="21"/>
        </w:rPr>
      </w:pPr>
      <w:r>
        <w:rPr>
          <w:rFonts w:hint="eastAsia" w:ascii="仿宋" w:hAnsi="仿宋" w:eastAsia="仿宋" w:cs="仿宋"/>
          <w:b w:val="0"/>
          <w:bCs w:val="0"/>
          <w:i w:val="0"/>
          <w:iCs w:val="0"/>
          <w:caps w:val="0"/>
          <w:color w:val="000000"/>
          <w:spacing w:val="0"/>
          <w:sz w:val="32"/>
          <w:szCs w:val="32"/>
          <w:bdr w:val="none" w:color="auto" w:sz="0" w:space="0"/>
          <w:shd w:val="clear" w:fill="FFFFFF"/>
        </w:rPr>
        <w:t>9、三公经费统计表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700" w:lineRule="atLeast"/>
        <w:ind w:left="0" w:right="0"/>
        <w:jc w:val="left"/>
        <w:textAlignment w:val="center"/>
        <w:rPr>
          <w:rFonts w:hint="default" w:ascii="Times New Roman" w:hAnsi="Times New Roman" w:cs="Times New Roman"/>
          <w:sz w:val="21"/>
          <w:szCs w:val="21"/>
        </w:rPr>
      </w:pPr>
      <w:r>
        <w:rPr>
          <w:rFonts w:hint="eastAsia" w:ascii="仿宋" w:hAnsi="仿宋" w:eastAsia="仿宋" w:cs="仿宋"/>
          <w:b w:val="0"/>
          <w:bCs w:val="0"/>
          <w:i w:val="0"/>
          <w:iCs w:val="0"/>
          <w:caps w:val="0"/>
          <w:color w:val="000000"/>
          <w:spacing w:val="0"/>
          <w:sz w:val="32"/>
          <w:szCs w:val="32"/>
          <w:bdr w:val="none" w:color="auto" w:sz="0" w:space="0"/>
          <w:shd w:val="clear" w:fill="FFFFFF"/>
        </w:rPr>
        <w:t>10.</w:t>
      </w:r>
      <w:r>
        <w:rPr>
          <w:rFonts w:hint="default" w:ascii="sans-serif" w:hAnsi="sans-serif" w:eastAsia="微软雅黑" w:cs="sans-serif"/>
          <w:b w:val="0"/>
          <w:bCs w:val="0"/>
          <w:i w:val="0"/>
          <w:iCs w:val="0"/>
          <w:caps w:val="0"/>
          <w:color w:val="000000"/>
          <w:spacing w:val="0"/>
          <w:sz w:val="32"/>
          <w:szCs w:val="32"/>
          <w:bdr w:val="none" w:color="auto" w:sz="0" w:space="0"/>
          <w:shd w:val="clear" w:fill="FFFFFF"/>
        </w:rPr>
        <w:t> </w:t>
      </w:r>
      <w:r>
        <w:rPr>
          <w:rFonts w:hint="eastAsia" w:ascii="仿宋" w:hAnsi="仿宋" w:eastAsia="仿宋" w:cs="仿宋"/>
          <w:b w:val="0"/>
          <w:bCs w:val="0"/>
          <w:i w:val="0"/>
          <w:iCs w:val="0"/>
          <w:caps w:val="0"/>
          <w:color w:val="000000"/>
          <w:spacing w:val="0"/>
          <w:sz w:val="32"/>
          <w:szCs w:val="32"/>
          <w:bdr w:val="none" w:color="auto" w:sz="0" w:space="0"/>
          <w:shd w:val="clear" w:fill="FFFFFF"/>
        </w:rPr>
        <w:t>政府采购预算表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700" w:lineRule="atLeast"/>
        <w:ind w:left="0" w:right="0"/>
        <w:jc w:val="left"/>
        <w:textAlignment w:val="center"/>
        <w:rPr>
          <w:rFonts w:hint="default" w:ascii="Times New Roman" w:hAnsi="Times New Roman" w:cs="Times New Roman"/>
          <w:sz w:val="21"/>
          <w:szCs w:val="21"/>
        </w:rPr>
      </w:pPr>
      <w:r>
        <w:rPr>
          <w:rFonts w:hint="eastAsia" w:ascii="仿宋" w:hAnsi="仿宋" w:eastAsia="仿宋" w:cs="仿宋"/>
          <w:b w:val="0"/>
          <w:bCs w:val="0"/>
          <w:i w:val="0"/>
          <w:iCs w:val="0"/>
          <w:caps w:val="0"/>
          <w:color w:val="000000"/>
          <w:spacing w:val="0"/>
          <w:sz w:val="32"/>
          <w:szCs w:val="32"/>
          <w:bdr w:val="none" w:color="auto" w:sz="0" w:space="0"/>
          <w:shd w:val="clear" w:fill="FFFFFF"/>
        </w:rPr>
        <w:t>11.</w:t>
      </w:r>
      <w:r>
        <w:rPr>
          <w:rFonts w:hint="default" w:ascii="sans-serif" w:hAnsi="sans-serif" w:eastAsia="微软雅黑" w:cs="sans-serif"/>
          <w:b w:val="0"/>
          <w:bCs w:val="0"/>
          <w:i w:val="0"/>
          <w:iCs w:val="0"/>
          <w:caps w:val="0"/>
          <w:color w:val="000000"/>
          <w:spacing w:val="0"/>
          <w:sz w:val="32"/>
          <w:szCs w:val="32"/>
          <w:bdr w:val="none" w:color="auto" w:sz="0" w:space="0"/>
          <w:shd w:val="clear" w:fill="FFFFFF"/>
        </w:rPr>
        <w:t> </w:t>
      </w:r>
      <w:r>
        <w:rPr>
          <w:rFonts w:hint="eastAsia" w:ascii="仿宋" w:hAnsi="仿宋" w:eastAsia="仿宋" w:cs="仿宋"/>
          <w:b w:val="0"/>
          <w:bCs w:val="0"/>
          <w:i w:val="0"/>
          <w:iCs w:val="0"/>
          <w:caps w:val="0"/>
          <w:color w:val="000000"/>
          <w:spacing w:val="0"/>
          <w:sz w:val="32"/>
          <w:szCs w:val="32"/>
          <w:bdr w:val="none" w:color="auto" w:sz="0" w:space="0"/>
          <w:shd w:val="clear" w:fill="FFFFFF"/>
        </w:rPr>
        <w:t>部门整体支出绩效目标申报表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700" w:lineRule="atLeast"/>
        <w:ind w:left="0" w:right="0"/>
        <w:jc w:val="left"/>
        <w:textAlignment w:val="center"/>
        <w:rPr>
          <w:rFonts w:hint="default" w:ascii="Times New Roman" w:hAnsi="Times New Roman" w:cs="Times New Roman"/>
          <w:sz w:val="21"/>
          <w:szCs w:val="21"/>
        </w:rPr>
      </w:pPr>
      <w:r>
        <w:rPr>
          <w:rFonts w:hint="eastAsia" w:ascii="仿宋" w:hAnsi="仿宋" w:eastAsia="仿宋" w:cs="仿宋"/>
          <w:b w:val="0"/>
          <w:bCs w:val="0"/>
          <w:i w:val="0"/>
          <w:iCs w:val="0"/>
          <w:caps w:val="0"/>
          <w:color w:val="000000"/>
          <w:spacing w:val="0"/>
          <w:sz w:val="32"/>
          <w:szCs w:val="32"/>
          <w:bdr w:val="none" w:color="auto" w:sz="0" w:space="0"/>
          <w:shd w:val="clear" w:fill="FFFFFF"/>
        </w:rPr>
        <w:t>12、单位项目绩效目标申报表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600" w:lineRule="atLeast"/>
        <w:ind w:left="0" w:right="0"/>
        <w:jc w:val="both"/>
        <w:rPr>
          <w:rFonts w:hint="default" w:ascii="Times New Roman" w:hAnsi="Times New Roman" w:cs="Times New Roman"/>
          <w:sz w:val="21"/>
          <w:szCs w:val="21"/>
        </w:rPr>
      </w:pPr>
      <w:r>
        <w:rPr>
          <w:rFonts w:hint="eastAsia" w:ascii="仿宋" w:hAnsi="仿宋" w:eastAsia="仿宋" w:cs="仿宋"/>
          <w:b w:val="0"/>
          <w:bCs w:val="0"/>
          <w:i w:val="0"/>
          <w:iCs w:val="0"/>
          <w:caps w:val="0"/>
          <w:color w:val="333333"/>
          <w:spacing w:val="0"/>
          <w:sz w:val="32"/>
          <w:szCs w:val="32"/>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600" w:lineRule="atLeast"/>
        <w:ind w:left="0" w:right="0"/>
        <w:jc w:val="left"/>
        <w:rPr>
          <w:rFonts w:hint="default" w:ascii="Times New Roman" w:hAnsi="Times New Roman" w:cs="Times New Roman"/>
          <w:sz w:val="21"/>
          <w:szCs w:val="21"/>
        </w:rPr>
      </w:pPr>
      <w:r>
        <w:rPr>
          <w:rFonts w:hint="eastAsia" w:ascii="仿宋" w:hAnsi="仿宋" w:eastAsia="仿宋" w:cs="仿宋"/>
          <w:b w:val="0"/>
          <w:bCs w:val="0"/>
          <w:i w:val="0"/>
          <w:iCs w:val="0"/>
          <w:caps w:val="0"/>
          <w:color w:val="333333"/>
          <w:spacing w:val="0"/>
          <w:sz w:val="32"/>
          <w:szCs w:val="32"/>
          <w:bdr w:val="none" w:color="auto" w:sz="0" w:space="0"/>
        </w:rPr>
        <w:t> </w:t>
      </w:r>
      <w:r>
        <w:rPr>
          <w:rFonts w:hint="eastAsia" w:ascii="仿宋" w:hAnsi="仿宋" w:eastAsia="仿宋" w:cs="仿宋"/>
          <w:b w:val="0"/>
          <w:bCs w:val="0"/>
          <w:i w:val="0"/>
          <w:iCs w:val="0"/>
          <w:caps w:val="0"/>
          <w:color w:val="333333"/>
          <w:spacing w:val="0"/>
          <w:sz w:val="32"/>
          <w:szCs w:val="32"/>
          <w:bdr w:val="none" w:color="auto" w:sz="0" w:space="0"/>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仿宋" w:hAnsi="仿宋" w:eastAsia="仿宋" w:cs="仿宋"/>
          <w:b w:val="0"/>
          <w:bCs w:val="0"/>
          <w:i w:val="0"/>
          <w:iCs w:val="0"/>
          <w:caps w:val="0"/>
          <w:color w:val="333333"/>
          <w:spacing w:val="0"/>
          <w:sz w:val="32"/>
          <w:szCs w:val="32"/>
          <w:u w:val="none"/>
          <w:bdr w:val="none" w:color="auto" w:sz="0" w:space="0"/>
        </w:rPr>
        <w:fldChar w:fldCharType="begin"/>
      </w:r>
      <w:r>
        <w:rPr>
          <w:rFonts w:hint="eastAsia" w:ascii="仿宋" w:hAnsi="仿宋" w:eastAsia="仿宋" w:cs="仿宋"/>
          <w:b w:val="0"/>
          <w:bCs w:val="0"/>
          <w:i w:val="0"/>
          <w:iCs w:val="0"/>
          <w:caps w:val="0"/>
          <w:color w:val="333333"/>
          <w:spacing w:val="0"/>
          <w:sz w:val="32"/>
          <w:szCs w:val="32"/>
          <w:u w:val="none"/>
          <w:bdr w:val="none" w:color="auto" w:sz="0" w:space="0"/>
        </w:rPr>
        <w:instrText xml:space="preserve"> HYPERLINK "http://www.hnhs.gov.cn/uploadfiles/202001/20200117111305284.xls" \t "http://www.hnhs.gov.cn/23247/23248/24248/24249/24251/24271/24292/_blank" </w:instrText>
      </w:r>
      <w:r>
        <w:rPr>
          <w:rFonts w:hint="eastAsia" w:ascii="仿宋" w:hAnsi="仿宋" w:eastAsia="仿宋" w:cs="仿宋"/>
          <w:b w:val="0"/>
          <w:bCs w:val="0"/>
          <w:i w:val="0"/>
          <w:iCs w:val="0"/>
          <w:caps w:val="0"/>
          <w:color w:val="333333"/>
          <w:spacing w:val="0"/>
          <w:sz w:val="32"/>
          <w:szCs w:val="32"/>
          <w:u w:val="none"/>
          <w:bdr w:val="none" w:color="auto" w:sz="0" w:space="0"/>
        </w:rPr>
        <w:fldChar w:fldCharType="separate"/>
      </w:r>
      <w:r>
        <w:rPr>
          <w:rStyle w:val="6"/>
          <w:rFonts w:hint="eastAsia" w:ascii="仿宋" w:hAnsi="仿宋" w:eastAsia="仿宋" w:cs="仿宋"/>
          <w:b w:val="0"/>
          <w:bCs w:val="0"/>
          <w:i w:val="0"/>
          <w:iCs w:val="0"/>
          <w:caps w:val="0"/>
          <w:color w:val="333333"/>
          <w:spacing w:val="0"/>
          <w:sz w:val="32"/>
          <w:szCs w:val="32"/>
          <w:u w:val="none"/>
          <w:bdr w:val="none" w:color="auto" w:sz="0" w:space="0"/>
        </w:rPr>
        <w:t>赫山区2020年单位预算公开表_(800002)益阳市赫山区人民代表大会常务委员会办公室.xls</w:t>
      </w:r>
      <w:r>
        <w:rPr>
          <w:rFonts w:hint="eastAsia" w:ascii="仿宋" w:hAnsi="仿宋" w:eastAsia="仿宋" w:cs="仿宋"/>
          <w:b w:val="0"/>
          <w:bCs w:val="0"/>
          <w:i w:val="0"/>
          <w:iCs w:val="0"/>
          <w:caps w:val="0"/>
          <w:color w:val="333333"/>
          <w:spacing w:val="0"/>
          <w:sz w:val="32"/>
          <w:szCs w:val="32"/>
          <w:u w:val="none"/>
          <w:bdr w:val="none" w:color="auto" w:sz="0" w:space="0"/>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C17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2021-05-06T09:39:49Z</dcterms:created>
  <dc:creator>Administrator</dc:creator>
  <cp:lastModifiedBy>晚夏</cp:lastModifiedBy>
  <dcterms:modified xsi:type="dcterms:W3CDTF">2021-05-06T09:41:17Z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2B1E33FBCAF14537ABC23021ED26497B</vt:lpwstr>
  </property>
</Properties>
</file>