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益阳市赫山区科学技术协会</w:t>
      </w:r>
    </w:p>
    <w:p>
      <w:pPr>
        <w:spacing w:line="8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2020年度部门预算公开目录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440" w:lineRule="exact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第一部分：赫山区科学技术协会（本级）2020年度部门预算说明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一、部门基本情况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1、职能职责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2、机构设置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二、部门预算单位构成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三、部门收支总体情况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四、一般公共预算拨款支出预算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五、其他重要事项的情况说明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六、名词解释</w:t>
      </w:r>
    </w:p>
    <w:p>
      <w:pPr>
        <w:spacing w:line="440" w:lineRule="exact"/>
        <w:ind w:firstLine="643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/>
          <w:b/>
          <w:sz w:val="32"/>
          <w:szCs w:val="32"/>
        </w:rPr>
        <w:t>第二部分：赫山区科学技术协会（本级）2020年度部门预算公开的表格情况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1、部门收支总体情况表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2、部门收入总体情况表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3、部门支出总体情况表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4、财政拨款收支总体情况表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5、一般公共预算支出情况表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6、一般公共预算基本支出情况表(纵向)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7、一般公共预算基本支出情况表(横向)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8、政府性基金预算支出情况表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9、“三公”经费支出情况表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政府采购预算表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11、部门整体支出绩效目标申报表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、单位项目支出绩效目标申报表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13、重点项目支出绩效目标申报表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2"/>
      </w:pPr>
    </w:p>
    <w:p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赫山区科学技术协会</w:t>
      </w:r>
    </w:p>
    <w:p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2020年部门预算公开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643" w:firstLineChars="20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第一部分：赫山区科学技术协会（本级）2020年度部门预算说明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一、部门基本情况</w:t>
      </w:r>
    </w:p>
    <w:p>
      <w:pPr>
        <w:spacing w:line="640" w:lineRule="exact"/>
        <w:ind w:firstLine="640"/>
        <w:rPr>
          <w:rFonts w:ascii="仿宋" w:hAnsi="仿宋" w:eastAsia="仿宋" w:cs="仿宋"/>
          <w:b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white"/>
        </w:rPr>
        <w:t>1、职能职责</w:t>
      </w:r>
    </w:p>
    <w:p>
      <w:pPr>
        <w:spacing w:line="640" w:lineRule="exact"/>
        <w:ind w:firstLine="640"/>
        <w:rPr>
          <w:rFonts w:ascii="仿宋" w:hAnsi="仿宋" w:eastAsia="仿宋" w:cs="仿宋"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sz w:val="30"/>
          <w:szCs w:val="30"/>
          <w:highlight w:val="white"/>
        </w:rPr>
        <w:t>（1）拟订本区的科普工作规划，推动本区科普工作发展。</w:t>
      </w:r>
    </w:p>
    <w:p>
      <w:pPr>
        <w:spacing w:line="640" w:lineRule="exact"/>
        <w:ind w:firstLine="640"/>
        <w:rPr>
          <w:rFonts w:ascii="仿宋" w:hAnsi="仿宋" w:eastAsia="仿宋" w:cs="仿宋"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sz w:val="30"/>
          <w:szCs w:val="30"/>
          <w:highlight w:val="white"/>
        </w:rPr>
        <w:t>（2）负责实施科教兴国战略和可持续发展战略，加强科学技术普及工作，提高公民的科学文化素质，推动经济发展和社会进步。</w:t>
      </w:r>
    </w:p>
    <w:p>
      <w:pPr>
        <w:spacing w:line="640" w:lineRule="exact"/>
        <w:ind w:firstLine="640"/>
        <w:rPr>
          <w:rFonts w:ascii="仿宋" w:hAnsi="仿宋" w:eastAsia="仿宋" w:cs="仿宋"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sz w:val="30"/>
          <w:szCs w:val="30"/>
          <w:highlight w:val="white"/>
        </w:rPr>
        <w:t>（3）联系科技工作者，反映科技工作者的意见和要求，维护科技工作者的合法权益；开展评选表彰优秀科技工作者和科普工作先进单位、优秀科普工作者的工作。</w:t>
      </w:r>
    </w:p>
    <w:p>
      <w:pPr>
        <w:spacing w:line="640" w:lineRule="exact"/>
        <w:ind w:firstLine="640"/>
        <w:rPr>
          <w:rFonts w:ascii="仿宋" w:hAnsi="仿宋" w:eastAsia="仿宋" w:cs="仿宋"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sz w:val="30"/>
          <w:szCs w:val="30"/>
          <w:highlight w:val="white"/>
        </w:rPr>
        <w:t>（</w:t>
      </w:r>
      <w:r>
        <w:rPr>
          <w:rFonts w:ascii="仿宋" w:hAnsi="仿宋" w:eastAsia="仿宋" w:cs="仿宋"/>
          <w:sz w:val="30"/>
          <w:szCs w:val="30"/>
          <w:highlight w:val="white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white"/>
        </w:rPr>
        <w:t>）组织科技工作者开展科技咨询、科学论证和献计献策活动，促进科学技术成果的转化。</w:t>
      </w:r>
    </w:p>
    <w:p>
      <w:pPr>
        <w:spacing w:line="640" w:lineRule="exact"/>
        <w:ind w:firstLine="640"/>
        <w:rPr>
          <w:rFonts w:ascii="仿宋" w:hAnsi="仿宋" w:eastAsia="仿宋" w:cs="仿宋"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sz w:val="30"/>
          <w:szCs w:val="30"/>
          <w:highlight w:val="white"/>
        </w:rPr>
        <w:t>（5）组织开展科学普及活动和青少年科技教育活动，弘扬科学精神，捍卫科学尊严。</w:t>
      </w:r>
    </w:p>
    <w:p>
      <w:pPr>
        <w:spacing w:line="640" w:lineRule="exact"/>
        <w:ind w:firstLine="640"/>
        <w:rPr>
          <w:rFonts w:ascii="仿宋" w:hAnsi="仿宋" w:eastAsia="仿宋" w:cs="仿宋"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sz w:val="30"/>
          <w:szCs w:val="30"/>
          <w:highlight w:val="white"/>
        </w:rPr>
        <w:t>（6）组织开展民间科技交流与合作，组织开展学术交流活动，活跃学术思想，促进学科发展和科技创新。</w:t>
      </w:r>
    </w:p>
    <w:p>
      <w:pPr>
        <w:spacing w:line="64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white"/>
        </w:rPr>
        <w:t>（7）对我区科技类社会团体及有关学会（协会、研究会）进行监督管理；对基层科协工作进行业务指导。</w:t>
      </w:r>
    </w:p>
    <w:p>
      <w:pPr>
        <w:spacing w:line="640" w:lineRule="exact"/>
        <w:ind w:firstLine="640"/>
        <w:rPr>
          <w:rFonts w:ascii="仿宋" w:hAnsi="仿宋" w:eastAsia="仿宋" w:cs="仿宋"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sz w:val="30"/>
          <w:szCs w:val="30"/>
        </w:rPr>
        <w:t>（8）完成区委、区政府交办的其他任务。</w:t>
      </w:r>
    </w:p>
    <w:p>
      <w:pPr>
        <w:spacing w:line="640" w:lineRule="exact"/>
        <w:ind w:firstLine="640"/>
        <w:rPr>
          <w:rFonts w:ascii="仿宋" w:hAnsi="仿宋" w:eastAsia="仿宋" w:cs="仿宋"/>
          <w:b/>
          <w:sz w:val="30"/>
          <w:szCs w:val="30"/>
          <w:highlight w:val="white"/>
        </w:rPr>
      </w:pPr>
      <w:r>
        <w:rPr>
          <w:rFonts w:ascii="仿宋" w:hAnsi="仿宋" w:eastAsia="仿宋" w:cs="仿宋"/>
          <w:b/>
          <w:sz w:val="30"/>
          <w:szCs w:val="30"/>
          <w:highlight w:val="white"/>
        </w:rPr>
        <w:t>2</w:t>
      </w:r>
      <w:r>
        <w:rPr>
          <w:rFonts w:hint="eastAsia" w:ascii="仿宋" w:hAnsi="仿宋" w:eastAsia="仿宋" w:cs="仿宋"/>
          <w:b/>
          <w:sz w:val="30"/>
          <w:szCs w:val="30"/>
          <w:highlight w:val="white"/>
        </w:rPr>
        <w:t>、机构设置</w:t>
      </w:r>
    </w:p>
    <w:p>
      <w:pPr>
        <w:spacing w:line="640" w:lineRule="exact"/>
        <w:ind w:firstLine="640"/>
        <w:rPr>
          <w:rFonts w:ascii="仿宋" w:hAnsi="仿宋" w:eastAsia="仿宋" w:cs="仿宋"/>
          <w:color w:val="000000"/>
          <w:sz w:val="30"/>
          <w:szCs w:val="30"/>
          <w:highlight w:val="whit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white"/>
          <w:lang w:val="zh-CN"/>
        </w:rPr>
        <w:t>益阳市赫山区</w:t>
      </w:r>
      <w:r>
        <w:rPr>
          <w:rFonts w:hint="eastAsia" w:ascii="仿宋" w:hAnsi="仿宋" w:eastAsia="仿宋" w:cs="仿宋"/>
          <w:color w:val="000000"/>
          <w:sz w:val="30"/>
          <w:szCs w:val="30"/>
          <w:highlight w:val="white"/>
        </w:rPr>
        <w:t>科学技术协会属群众团体单位，财务隶属于区级财政；设办公室、普及部学会部2个内设机构，一个二级机构——益阳市赫山区科技创新创业服务中心（未独立核算）。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二、部门预算单位构成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纳入20</w:t>
      </w:r>
      <w:r>
        <w:rPr>
          <w:rFonts w:ascii="仿宋" w:hAnsi="仿宋" w:eastAsia="仿宋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年部门预算编制范围的是只有本级，</w:t>
      </w:r>
      <w:r>
        <w:rPr>
          <w:rFonts w:ascii="仿宋" w:hAnsi="仿宋" w:eastAsia="仿宋"/>
          <w:sz w:val="30"/>
          <w:szCs w:val="30"/>
        </w:rPr>
        <w:t>没有其他二级预算单位，因此，纳入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20年部门预算编制范围的只有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赫山区科学技术协会部门本级。</w:t>
      </w:r>
    </w:p>
    <w:p>
      <w:pPr>
        <w:spacing w:line="6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三、部门收支总体情况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2020年部门预算公包括本级预算。收入既包括一般公共预算收入、政府性基金收入和国有资本经营预算收入，其他收入等收入；支出既包括保障本级机关基本运行的经费。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收入预算，2020年年初预算数97.14万元，其中，一般公共预算拨款93.27万元，政府性基金预算拨款0万元，国有资本经营预算拨款0万元，纳入专户管理的非税收入0万元，其他收入3.87万元。收入较去年减少7.3万元，主要是人员异动，人员经费减少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支出预算，2020年年初预算数97.14万元，其中，一般公共服务1万元，公共安全0万元，教育0万元，科学技术72.09万元，社会保障就业支出10.87万元，卫生健康支出7.94万元，住房保障支出5.24万元。支出较去年减少7.3万元，主要是人员异动，人员经费减少。</w:t>
      </w:r>
    </w:p>
    <w:p>
      <w:pPr>
        <w:pStyle w:val="2"/>
      </w:pPr>
    </w:p>
    <w:p>
      <w:pPr>
        <w:spacing w:line="64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四、一般公共预算拨款支出预算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2020年一般公共预算拨款收入93.27万元，具体安排情况如下：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基本支出：2020年年初预算数为78.14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（二）项目支出：2020年年初预算数为19万元，主要用于全区科普知识宣传、印刷科普宣传资料、科普惠农兴村计划和科普益民计划、全民科学素质计划行动等等项目的工作经费。</w:t>
      </w:r>
    </w:p>
    <w:p>
      <w:pPr>
        <w:spacing w:line="64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五、其他重要事项的情况说明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1、机关运行经费</w:t>
      </w:r>
    </w:p>
    <w:p>
      <w:pPr>
        <w:spacing w:line="6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2020年</w:t>
      </w:r>
      <w:r>
        <w:rPr>
          <w:rFonts w:eastAsia="仿宋_GB2312"/>
          <w:sz w:val="30"/>
          <w:szCs w:val="30"/>
        </w:rPr>
        <w:t>机关运行经费当年一般公共预算拨款</w:t>
      </w:r>
      <w:r>
        <w:rPr>
          <w:rFonts w:hint="eastAsia" w:eastAsia="仿宋_GB2312"/>
          <w:sz w:val="30"/>
          <w:szCs w:val="30"/>
        </w:rPr>
        <w:t>8.8</w:t>
      </w:r>
      <w:r>
        <w:rPr>
          <w:rFonts w:eastAsia="仿宋_GB2312"/>
          <w:sz w:val="30"/>
          <w:szCs w:val="30"/>
        </w:rPr>
        <w:t>万元，比</w:t>
      </w:r>
      <w:r>
        <w:rPr>
          <w:rFonts w:hint="eastAsia" w:eastAsia="仿宋_GB2312"/>
          <w:sz w:val="30"/>
          <w:szCs w:val="30"/>
        </w:rPr>
        <w:t>2019</w:t>
      </w:r>
      <w:r>
        <w:rPr>
          <w:rFonts w:eastAsia="仿宋_GB2312"/>
          <w:sz w:val="30"/>
          <w:szCs w:val="30"/>
        </w:rPr>
        <w:t>年预算</w:t>
      </w:r>
      <w:r>
        <w:rPr>
          <w:rFonts w:hint="eastAsia" w:eastAsia="仿宋_GB2312"/>
          <w:sz w:val="30"/>
          <w:szCs w:val="30"/>
        </w:rPr>
        <w:t>增加0.58</w:t>
      </w:r>
      <w:r>
        <w:rPr>
          <w:rFonts w:eastAsia="仿宋_GB2312"/>
          <w:sz w:val="30"/>
          <w:szCs w:val="30"/>
        </w:rPr>
        <w:t>万元，</w:t>
      </w:r>
      <w:r>
        <w:rPr>
          <w:rFonts w:hint="eastAsia" w:eastAsia="仿宋_GB2312"/>
          <w:sz w:val="30"/>
          <w:szCs w:val="30"/>
        </w:rPr>
        <w:t>上升7%</w:t>
      </w:r>
      <w:r>
        <w:rPr>
          <w:rFonts w:eastAsia="仿宋_GB2312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2、“三公”经费预算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2020年“三公”经费预算数为1万元，其中，公务接待费1万元，公务用车购置及运行费1万元（其中，公务用车购置费0 万元，公务用车运行费 0万元），因公出国（境）费 0万元。2020年“三公”经费预算与2019年持平。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3、政府采购情况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2020年赫山区科学技术协会政府采购预算总额0万元。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4.国有资产占用使用情况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截至2019年12月31日，本部门没有有车辆及单位价值50万元以上通用设备，也没有1</w:t>
      </w:r>
      <w:r>
        <w:rPr>
          <w:rFonts w:ascii="仿宋" w:hAnsi="仿宋" w:eastAsia="仿宋"/>
          <w:sz w:val="30"/>
          <w:szCs w:val="30"/>
        </w:rPr>
        <w:t>00</w:t>
      </w:r>
      <w:r>
        <w:rPr>
          <w:rFonts w:hint="eastAsia" w:ascii="仿宋" w:hAnsi="仿宋" w:eastAsia="仿宋"/>
          <w:sz w:val="30"/>
          <w:szCs w:val="30"/>
        </w:rPr>
        <w:t>万以上的设备。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5.预算绩效目标情况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2020年区科协整体支出绩效目标97.14万元，其中：基本支出78.14万元，项目支出19万元。全部实行整体支出绩效目标管理，涉及一般公共预算当年拨款93.27万元。</w:t>
      </w:r>
    </w:p>
    <w:p>
      <w:pPr>
        <w:spacing w:line="64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六、名词解释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640" w:lineRule="exact"/>
        <w:ind w:firstLine="602" w:firstLineChars="200"/>
        <w:rPr>
          <w:rFonts w:ascii="宋体" w:hAnsi="宋体" w:eastAsia="宋体"/>
          <w:b/>
          <w:sz w:val="30"/>
          <w:szCs w:val="30"/>
        </w:rPr>
      </w:pPr>
    </w:p>
    <w:p>
      <w:pPr>
        <w:spacing w:line="640" w:lineRule="exact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第二部分：赫山区科学技术协会（本级）2020年度部门预算公开的表格情况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1、部门收支总体情况表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2、部门收入总体情况表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3、部门支出总体情况表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4、财政拨款收支总体情况表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5、一般公共预算支出情况表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6、一般公共预算基本支出情况表(纵向)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7、一般公共预算基本支出情况表(横向)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8、政府性基金预算支出情况表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9、“三公”经费支出情况表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政府采购预算表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11、部门整体支出绩效目标申报表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、单位项目支出绩效目标申报表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13、重点项目支出绩效目标申报表</w:t>
      </w:r>
    </w:p>
    <w:p>
      <w:pPr>
        <w:spacing w:line="480" w:lineRule="exact"/>
        <w:ind w:firstLine="300" w:firstLineChars="100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附件：2020年部门预算公开的表格情况.xls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left="6000" w:hanging="6000" w:hangingChars="2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益阳市赫山区科学技术协会                               2020年 1 月 15 日 </w:t>
      </w:r>
      <w:r>
        <w:rPr>
          <w:rFonts w:ascii="仿宋" w:hAnsi="仿宋" w:eastAsia="仿宋"/>
          <w:sz w:val="30"/>
          <w:szCs w:val="30"/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28945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F0"/>
    <w:rsid w:val="00027F1E"/>
    <w:rsid w:val="0006563E"/>
    <w:rsid w:val="00083FD6"/>
    <w:rsid w:val="000D7BF0"/>
    <w:rsid w:val="00123BBA"/>
    <w:rsid w:val="0018631D"/>
    <w:rsid w:val="001C11F6"/>
    <w:rsid w:val="0023294C"/>
    <w:rsid w:val="00264FF1"/>
    <w:rsid w:val="003034F8"/>
    <w:rsid w:val="00312F1F"/>
    <w:rsid w:val="0034017C"/>
    <w:rsid w:val="00496AF0"/>
    <w:rsid w:val="004D5043"/>
    <w:rsid w:val="004E1C03"/>
    <w:rsid w:val="004F054A"/>
    <w:rsid w:val="00516C83"/>
    <w:rsid w:val="005B04B2"/>
    <w:rsid w:val="006054D4"/>
    <w:rsid w:val="00787E80"/>
    <w:rsid w:val="00827D00"/>
    <w:rsid w:val="008647DB"/>
    <w:rsid w:val="008F6011"/>
    <w:rsid w:val="00965C7A"/>
    <w:rsid w:val="009F48A8"/>
    <w:rsid w:val="00A761CA"/>
    <w:rsid w:val="00B103E5"/>
    <w:rsid w:val="00BA5317"/>
    <w:rsid w:val="00BA7DFB"/>
    <w:rsid w:val="00CC4DAB"/>
    <w:rsid w:val="00D026C5"/>
    <w:rsid w:val="00D13E23"/>
    <w:rsid w:val="00D9795A"/>
    <w:rsid w:val="00DE13F3"/>
    <w:rsid w:val="00E01B92"/>
    <w:rsid w:val="00E47B6F"/>
    <w:rsid w:val="00E558FC"/>
    <w:rsid w:val="00EC16A2"/>
    <w:rsid w:val="00EC34B3"/>
    <w:rsid w:val="00ED239B"/>
    <w:rsid w:val="00FA4341"/>
    <w:rsid w:val="00FD352B"/>
    <w:rsid w:val="00FF2145"/>
    <w:rsid w:val="03485B68"/>
    <w:rsid w:val="37C00E32"/>
    <w:rsid w:val="6BAA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宋体" w:hAnsi="宋体" w:eastAsia="方正小标宋_GBK" w:cs="Courier New"/>
      <w:szCs w:val="21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417</Words>
  <Characters>2381</Characters>
  <Lines>19</Lines>
  <Paragraphs>5</Paragraphs>
  <TotalTime>0</TotalTime>
  <ScaleCrop>false</ScaleCrop>
  <LinksUpToDate>false</LinksUpToDate>
  <CharactersWithSpaces>2793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2019-12-31T07:43:00Z</dcterms:created>
  <dc:creator>Administrator</dc:creator>
  <cp:lastModifiedBy>Administrator</cp:lastModifiedBy>
  <cp:lastPrinted>2019-12-31T07:37:00Z</cp:lastPrinted>
  <dcterms:modified xsi:type="dcterms:W3CDTF">2021-05-08T06:57:22Z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99A20978BC0C445497844497DDF1489C</vt:lpwstr>
  </property>
</Properties>
</file>