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黑体" w:hAnsi="黑体" w:eastAsia="黑体" w:cs="黑体"/>
          <w:sz w:val="44"/>
          <w:szCs w:val="44"/>
        </w:rPr>
      </w:pPr>
      <w:bookmarkStart w:id="0" w:name="OLE_LINK1"/>
      <w:r>
        <w:rPr>
          <w:rFonts w:hint="eastAsia" w:ascii="黑体" w:hAnsi="黑体" w:eastAsia="黑体" w:cs="黑体"/>
          <w:sz w:val="44"/>
          <w:szCs w:val="44"/>
          <w:lang w:eastAsia="zh-CN"/>
        </w:rPr>
        <w:t>益阳市赫山区司法局</w:t>
      </w:r>
      <w:r>
        <w:rPr>
          <w:rFonts w:hint="eastAsia" w:ascii="黑体" w:hAnsi="黑体" w:eastAsia="黑体" w:cs="黑体"/>
          <w:sz w:val="44"/>
          <w:szCs w:val="44"/>
        </w:rPr>
        <w:t>2020年部门预算公开</w:t>
      </w:r>
    </w:p>
    <w:p>
      <w:pPr>
        <w:spacing w:line="520" w:lineRule="exact"/>
        <w:jc w:val="center"/>
        <w:rPr>
          <w:rFonts w:hint="eastAsia" w:ascii="仿宋" w:hAnsi="仿宋" w:eastAsia="仿宋" w:cs="仿宋"/>
          <w:sz w:val="32"/>
          <w:szCs w:val="32"/>
        </w:rPr>
      </w:pPr>
      <w:r>
        <w:rPr>
          <w:rFonts w:hint="eastAsia" w:ascii="仿宋" w:hAnsi="仿宋" w:eastAsia="仿宋" w:cs="仿宋"/>
          <w:sz w:val="32"/>
          <w:szCs w:val="32"/>
        </w:rPr>
        <w:t>目录</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第一部分</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益阳市赫山区司法局</w:t>
      </w:r>
      <w:r>
        <w:rPr>
          <w:rFonts w:hint="eastAsia" w:ascii="仿宋" w:hAnsi="仿宋" w:eastAsia="仿宋" w:cs="仿宋"/>
          <w:sz w:val="32"/>
          <w:szCs w:val="32"/>
        </w:rPr>
        <w:t>2020年部门预算说明</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一、部门基本情况</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1、职能职责</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2、机构设置</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二、部门预算单位构成</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三、部门收支总体情况</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四、一般公共预算拨款支出预算</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五、其他重要事项的情况说明</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六、名词解释</w:t>
      </w:r>
    </w:p>
    <w:p>
      <w:pPr>
        <w:spacing w:line="520" w:lineRule="exact"/>
        <w:ind w:firstLine="640" w:firstLineChars="200"/>
        <w:rPr>
          <w:rFonts w:hint="eastAsia" w:ascii="仿宋" w:hAnsi="仿宋" w:eastAsia="仿宋" w:cs="仿宋"/>
          <w:sz w:val="32"/>
          <w:szCs w:val="32"/>
        </w:rPr>
      </w:pP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第二部分</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益阳市赫山区司法局</w:t>
      </w:r>
      <w:r>
        <w:rPr>
          <w:rFonts w:hint="eastAsia" w:ascii="仿宋" w:hAnsi="仿宋" w:eastAsia="仿宋" w:cs="仿宋"/>
          <w:sz w:val="32"/>
          <w:szCs w:val="32"/>
        </w:rPr>
        <w:t>2020年部门预算公开的表格情况</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1、部门收支总体情况表</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2、部门收入总体情况表</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3、部门支出总体情况表</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4、财政拨款收支总体情况表</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5、一般公共预算支出情况表</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6、一般公共预算基本支出情况表(纵向)</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7、一般公共预算基本支出情况表（横向）</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8、政府性基金预算支出情况表</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9、一般公共预算“三公”经费支出情况表</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10、政府采购预算表</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11、部门整体支出绩效目标申报表</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12、单位项目支出绩效目标申报表</w:t>
      </w:r>
    </w:p>
    <w:p>
      <w:pPr>
        <w:spacing w:line="520" w:lineRule="exact"/>
        <w:jc w:val="center"/>
        <w:rPr>
          <w:rFonts w:hint="eastAsia" w:ascii="黑体" w:hAnsi="黑体" w:eastAsia="黑体" w:cs="黑体"/>
          <w:sz w:val="44"/>
          <w:szCs w:val="44"/>
          <w:lang w:eastAsia="zh-CN"/>
        </w:rPr>
      </w:pPr>
    </w:p>
    <w:p>
      <w:pPr>
        <w:spacing w:line="520" w:lineRule="exact"/>
        <w:jc w:val="center"/>
        <w:rPr>
          <w:rFonts w:hint="eastAsia" w:ascii="黑体" w:hAnsi="黑体" w:eastAsia="黑体" w:cs="黑体"/>
          <w:sz w:val="44"/>
          <w:szCs w:val="44"/>
          <w:lang w:eastAsia="zh-CN"/>
        </w:rPr>
      </w:pPr>
    </w:p>
    <w:p>
      <w:pPr>
        <w:spacing w:line="520" w:lineRule="exact"/>
        <w:jc w:val="center"/>
        <w:rPr>
          <w:rFonts w:hint="eastAsia" w:ascii="黑体" w:hAnsi="黑体" w:eastAsia="黑体" w:cs="黑体"/>
          <w:sz w:val="44"/>
          <w:szCs w:val="44"/>
          <w:lang w:eastAsia="zh-CN"/>
        </w:rPr>
      </w:pPr>
    </w:p>
    <w:p>
      <w:pPr>
        <w:spacing w:line="520" w:lineRule="exact"/>
        <w:jc w:val="center"/>
        <w:rPr>
          <w:rFonts w:hint="eastAsia" w:ascii="黑体" w:hAnsi="黑体" w:eastAsia="黑体" w:cs="黑体"/>
          <w:sz w:val="44"/>
          <w:szCs w:val="44"/>
          <w:lang w:eastAsia="zh-CN"/>
        </w:rPr>
      </w:pPr>
    </w:p>
    <w:p>
      <w:pPr>
        <w:spacing w:line="520" w:lineRule="exact"/>
        <w:jc w:val="center"/>
        <w:rPr>
          <w:rFonts w:hint="eastAsia" w:ascii="黑体" w:hAnsi="黑体" w:eastAsia="黑体" w:cs="黑体"/>
          <w:sz w:val="44"/>
          <w:szCs w:val="44"/>
          <w:lang w:eastAsia="zh-CN"/>
        </w:rPr>
      </w:pPr>
    </w:p>
    <w:p>
      <w:pPr>
        <w:spacing w:line="520" w:lineRule="exact"/>
        <w:jc w:val="center"/>
        <w:rPr>
          <w:rFonts w:hint="eastAsia" w:ascii="黑体" w:hAnsi="黑体" w:eastAsia="黑体" w:cs="黑体"/>
          <w:sz w:val="44"/>
          <w:szCs w:val="44"/>
          <w:lang w:eastAsia="zh-CN"/>
        </w:rPr>
      </w:pPr>
    </w:p>
    <w:p>
      <w:pPr>
        <w:spacing w:line="520" w:lineRule="exact"/>
        <w:jc w:val="center"/>
        <w:rPr>
          <w:rFonts w:hint="eastAsia" w:ascii="黑体" w:hAnsi="黑体" w:eastAsia="黑体" w:cs="黑体"/>
          <w:sz w:val="44"/>
          <w:szCs w:val="44"/>
          <w:lang w:eastAsia="zh-CN"/>
        </w:rPr>
      </w:pPr>
    </w:p>
    <w:p>
      <w:pPr>
        <w:spacing w:line="520" w:lineRule="exact"/>
        <w:jc w:val="center"/>
        <w:rPr>
          <w:rFonts w:hint="eastAsia" w:ascii="黑体" w:hAnsi="黑体" w:eastAsia="黑体" w:cs="黑体"/>
          <w:sz w:val="44"/>
          <w:szCs w:val="44"/>
          <w:lang w:eastAsia="zh-CN"/>
        </w:rPr>
      </w:pPr>
    </w:p>
    <w:p>
      <w:pPr>
        <w:spacing w:line="520" w:lineRule="exact"/>
        <w:jc w:val="center"/>
        <w:rPr>
          <w:rFonts w:hint="eastAsia" w:ascii="黑体" w:hAnsi="黑体" w:eastAsia="黑体" w:cs="黑体"/>
          <w:sz w:val="44"/>
          <w:szCs w:val="44"/>
          <w:lang w:eastAsia="zh-CN"/>
        </w:rPr>
      </w:pPr>
    </w:p>
    <w:p>
      <w:pPr>
        <w:spacing w:line="520" w:lineRule="exact"/>
        <w:jc w:val="center"/>
        <w:rPr>
          <w:rFonts w:hint="eastAsia" w:ascii="黑体" w:hAnsi="黑体" w:eastAsia="黑体" w:cs="黑体"/>
          <w:sz w:val="44"/>
          <w:szCs w:val="44"/>
          <w:lang w:eastAsia="zh-CN"/>
        </w:rPr>
      </w:pPr>
    </w:p>
    <w:p>
      <w:pPr>
        <w:spacing w:line="520" w:lineRule="exact"/>
        <w:jc w:val="center"/>
        <w:rPr>
          <w:rFonts w:hint="eastAsia" w:ascii="黑体" w:hAnsi="黑体" w:eastAsia="黑体" w:cs="黑体"/>
          <w:sz w:val="44"/>
          <w:szCs w:val="44"/>
          <w:lang w:eastAsia="zh-CN"/>
        </w:rPr>
      </w:pPr>
    </w:p>
    <w:p>
      <w:pPr>
        <w:spacing w:line="520" w:lineRule="exact"/>
        <w:jc w:val="center"/>
        <w:rPr>
          <w:rFonts w:hint="eastAsia" w:ascii="黑体" w:hAnsi="黑体" w:eastAsia="黑体" w:cs="黑体"/>
          <w:sz w:val="44"/>
          <w:szCs w:val="44"/>
          <w:lang w:eastAsia="zh-CN"/>
        </w:rPr>
      </w:pPr>
    </w:p>
    <w:p>
      <w:pPr>
        <w:spacing w:line="520" w:lineRule="exact"/>
        <w:jc w:val="center"/>
        <w:rPr>
          <w:rFonts w:hint="eastAsia" w:ascii="黑体" w:hAnsi="黑体" w:eastAsia="黑体" w:cs="黑体"/>
          <w:sz w:val="44"/>
          <w:szCs w:val="44"/>
          <w:lang w:eastAsia="zh-CN"/>
        </w:rPr>
      </w:pPr>
    </w:p>
    <w:p>
      <w:pPr>
        <w:spacing w:line="520" w:lineRule="exact"/>
        <w:jc w:val="center"/>
        <w:rPr>
          <w:rFonts w:hint="eastAsia" w:ascii="黑体" w:hAnsi="黑体" w:eastAsia="黑体" w:cs="黑体"/>
          <w:sz w:val="44"/>
          <w:szCs w:val="44"/>
          <w:lang w:eastAsia="zh-CN"/>
        </w:rPr>
      </w:pPr>
    </w:p>
    <w:p>
      <w:pPr>
        <w:spacing w:line="520" w:lineRule="exact"/>
        <w:jc w:val="center"/>
        <w:rPr>
          <w:rFonts w:hint="eastAsia" w:ascii="黑体" w:hAnsi="黑体" w:eastAsia="黑体" w:cs="黑体"/>
          <w:sz w:val="44"/>
          <w:szCs w:val="44"/>
          <w:lang w:eastAsia="zh-CN"/>
        </w:rPr>
      </w:pPr>
    </w:p>
    <w:p>
      <w:pPr>
        <w:spacing w:line="520" w:lineRule="exact"/>
        <w:jc w:val="center"/>
        <w:rPr>
          <w:rFonts w:hint="eastAsia" w:ascii="黑体" w:hAnsi="黑体" w:eastAsia="黑体" w:cs="黑体"/>
          <w:sz w:val="44"/>
          <w:szCs w:val="44"/>
          <w:lang w:eastAsia="zh-CN"/>
        </w:rPr>
      </w:pPr>
    </w:p>
    <w:p>
      <w:pPr>
        <w:spacing w:line="520" w:lineRule="exact"/>
        <w:jc w:val="center"/>
        <w:rPr>
          <w:rFonts w:hint="eastAsia" w:ascii="黑体" w:hAnsi="黑体" w:eastAsia="黑体" w:cs="黑体"/>
          <w:sz w:val="44"/>
          <w:szCs w:val="44"/>
          <w:lang w:eastAsia="zh-CN"/>
        </w:rPr>
      </w:pPr>
    </w:p>
    <w:p>
      <w:pPr>
        <w:spacing w:line="520" w:lineRule="exact"/>
        <w:jc w:val="center"/>
        <w:rPr>
          <w:rFonts w:hint="eastAsia" w:ascii="黑体" w:hAnsi="黑体" w:eastAsia="黑体" w:cs="黑体"/>
          <w:sz w:val="44"/>
          <w:szCs w:val="44"/>
          <w:lang w:eastAsia="zh-CN"/>
        </w:rPr>
      </w:pPr>
    </w:p>
    <w:p>
      <w:pPr>
        <w:spacing w:line="520" w:lineRule="exact"/>
        <w:jc w:val="center"/>
        <w:rPr>
          <w:rFonts w:hint="eastAsia" w:ascii="黑体" w:hAnsi="黑体" w:eastAsia="黑体" w:cs="黑体"/>
          <w:sz w:val="44"/>
          <w:szCs w:val="44"/>
          <w:lang w:eastAsia="zh-CN"/>
        </w:rPr>
      </w:pPr>
    </w:p>
    <w:p>
      <w:pPr>
        <w:spacing w:line="520" w:lineRule="exact"/>
        <w:jc w:val="center"/>
        <w:rPr>
          <w:rFonts w:hint="eastAsia" w:ascii="黑体" w:hAnsi="黑体" w:eastAsia="黑体" w:cs="黑体"/>
          <w:sz w:val="44"/>
          <w:szCs w:val="44"/>
          <w:lang w:eastAsia="zh-CN"/>
        </w:rPr>
      </w:pPr>
    </w:p>
    <w:p>
      <w:pPr>
        <w:spacing w:line="520" w:lineRule="exact"/>
        <w:jc w:val="center"/>
        <w:rPr>
          <w:rFonts w:hint="eastAsia" w:ascii="黑体" w:hAnsi="黑体" w:eastAsia="黑体" w:cs="黑体"/>
          <w:sz w:val="44"/>
          <w:szCs w:val="44"/>
          <w:lang w:eastAsia="zh-CN"/>
        </w:rPr>
      </w:pPr>
    </w:p>
    <w:p>
      <w:pPr>
        <w:spacing w:line="520" w:lineRule="exact"/>
        <w:jc w:val="center"/>
        <w:rPr>
          <w:rFonts w:hint="eastAsia" w:ascii="黑体" w:hAnsi="黑体" w:eastAsia="黑体" w:cs="黑体"/>
          <w:sz w:val="44"/>
          <w:szCs w:val="44"/>
          <w:lang w:eastAsia="zh-CN"/>
        </w:rPr>
      </w:pPr>
    </w:p>
    <w:p>
      <w:pPr>
        <w:spacing w:line="520" w:lineRule="exact"/>
        <w:jc w:val="center"/>
        <w:rPr>
          <w:rFonts w:hint="eastAsia" w:ascii="黑体" w:hAnsi="黑体" w:eastAsia="黑体" w:cs="黑体"/>
          <w:sz w:val="44"/>
          <w:szCs w:val="44"/>
        </w:rPr>
      </w:pPr>
      <w:r>
        <w:rPr>
          <w:rFonts w:hint="eastAsia" w:ascii="黑体" w:hAnsi="黑体" w:eastAsia="黑体" w:cs="黑体"/>
          <w:sz w:val="44"/>
          <w:szCs w:val="44"/>
          <w:lang w:eastAsia="zh-CN"/>
        </w:rPr>
        <w:t>益阳市赫山区司法局</w:t>
      </w:r>
      <w:r>
        <w:rPr>
          <w:rFonts w:hint="eastAsia" w:ascii="黑体" w:hAnsi="黑体" w:eastAsia="黑体" w:cs="黑体"/>
          <w:sz w:val="44"/>
          <w:szCs w:val="44"/>
        </w:rPr>
        <w:t>2020年部门预算公开</w:t>
      </w:r>
    </w:p>
    <w:p>
      <w:pPr>
        <w:spacing w:line="520" w:lineRule="exact"/>
        <w:rPr>
          <w:rFonts w:hint="eastAsia" w:ascii="仿宋" w:hAnsi="仿宋" w:eastAsia="仿宋" w:cs="仿宋"/>
          <w:sz w:val="32"/>
          <w:szCs w:val="32"/>
        </w:rPr>
      </w:pP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第一部分</w:t>
      </w:r>
      <w:r>
        <w:rPr>
          <w:rFonts w:hint="eastAsia" w:ascii="仿宋" w:hAnsi="仿宋" w:eastAsia="仿宋" w:cs="仿宋"/>
          <w:sz w:val="32"/>
          <w:szCs w:val="32"/>
          <w:lang w:val="en-US" w:eastAsia="zh-CN"/>
        </w:rPr>
        <w:t xml:space="preserve">  </w:t>
      </w:r>
      <w:bookmarkStart w:id="1" w:name="_GoBack"/>
      <w:bookmarkEnd w:id="1"/>
      <w:r>
        <w:rPr>
          <w:rFonts w:hint="eastAsia" w:ascii="仿宋" w:hAnsi="仿宋" w:eastAsia="仿宋" w:cs="仿宋"/>
          <w:sz w:val="32"/>
          <w:szCs w:val="32"/>
          <w:lang w:eastAsia="zh-CN"/>
        </w:rPr>
        <w:t>益阳市赫山区司法局</w:t>
      </w:r>
      <w:r>
        <w:rPr>
          <w:rFonts w:hint="eastAsia" w:ascii="仿宋" w:hAnsi="仿宋" w:eastAsia="仿宋" w:cs="仿宋"/>
          <w:sz w:val="32"/>
          <w:szCs w:val="32"/>
        </w:rPr>
        <w:t>2020年部门预算说明</w:t>
      </w:r>
    </w:p>
    <w:p>
      <w:pPr>
        <w:spacing w:line="52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一、部门基本情况</w:t>
      </w:r>
    </w:p>
    <w:p>
      <w:pPr>
        <w:spacing w:line="520" w:lineRule="exact"/>
        <w:ind w:firstLine="640" w:firstLineChars="20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1、职能职责</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（1）承担全面依法治区重大问题的政策研究，协调有关方面提出全面依法治区的中长期规划建议，负责有关重大决策部署督查工作，负责依法治区和法治政府建设考核工作。</w:t>
      </w:r>
      <w:r>
        <w:rPr>
          <w:rFonts w:hint="eastAsia" w:ascii="仿宋" w:hAnsi="仿宋" w:eastAsia="仿宋" w:cs="仿宋"/>
          <w:sz w:val="32"/>
          <w:szCs w:val="32"/>
        </w:rPr>
        <w:cr/>
      </w:r>
      <w:r>
        <w:rPr>
          <w:rFonts w:hint="eastAsia" w:ascii="仿宋" w:hAnsi="仿宋" w:eastAsia="仿宋" w:cs="仿宋"/>
          <w:sz w:val="32"/>
          <w:szCs w:val="32"/>
        </w:rPr>
        <w:t xml:space="preserve">    （2）贯彻执行国家和省、市、区有关司法行政工作的方针、政策和法律、法规、规章，拟订全区司法行政工作中长期发展规划和年度工作计划并组织实施</w:t>
      </w:r>
      <w:r>
        <w:rPr>
          <w:rFonts w:hint="eastAsia" w:ascii="仿宋" w:hAnsi="仿宋" w:eastAsia="仿宋" w:cs="仿宋"/>
          <w:sz w:val="32"/>
          <w:szCs w:val="32"/>
        </w:rPr>
        <w:cr/>
      </w:r>
      <w:r>
        <w:rPr>
          <w:rFonts w:hint="eastAsia" w:ascii="仿宋" w:hAnsi="仿宋" w:eastAsia="仿宋" w:cs="仿宋"/>
          <w:sz w:val="32"/>
          <w:szCs w:val="32"/>
        </w:rPr>
        <w:t xml:space="preserve">    （3）受区人大和区人民政府委托，参与有关决议、规范性文件的起草工作。会同有关部门监督、检查执行法律、法规情况。指导管理面向社会服务的司法鉴定工作。指导司法行政系统的外事工作。</w:t>
      </w:r>
      <w:r>
        <w:rPr>
          <w:rFonts w:hint="eastAsia" w:ascii="仿宋" w:hAnsi="仿宋" w:eastAsia="仿宋" w:cs="仿宋"/>
          <w:sz w:val="32"/>
          <w:szCs w:val="32"/>
        </w:rPr>
        <w:cr/>
      </w:r>
      <w:r>
        <w:rPr>
          <w:rFonts w:hint="eastAsia" w:ascii="仿宋" w:hAnsi="仿宋" w:eastAsia="仿宋" w:cs="仿宋"/>
          <w:sz w:val="32"/>
          <w:szCs w:val="32"/>
        </w:rPr>
        <w:t xml:space="preserve">    （4）统筹推进全区法治政府建设，推进全区依法行政工作。调查研究依法行政和政府法制建设中出现的新情况、新问题，指导、监督区人民政府及各部门依法行政，提出推进依法行政的具体措施和工作建议。</w:t>
      </w:r>
      <w:r>
        <w:rPr>
          <w:rFonts w:hint="eastAsia" w:ascii="仿宋" w:hAnsi="仿宋" w:eastAsia="仿宋" w:cs="仿宋"/>
          <w:sz w:val="32"/>
          <w:szCs w:val="32"/>
        </w:rPr>
        <w:cr/>
      </w:r>
      <w:r>
        <w:rPr>
          <w:rFonts w:hint="eastAsia" w:ascii="仿宋" w:hAnsi="仿宋" w:eastAsia="仿宋" w:cs="仿宋"/>
          <w:sz w:val="32"/>
          <w:szCs w:val="32"/>
        </w:rPr>
        <w:t xml:space="preserve">    （5）按规定承担区人民政府文件（包括法律文书）草案合法性审查工作。负责统筹规划区人民政府规范性文件拟制工作，拟订区人民政府规范性文件年度计划并组织实施负责承办区人民政府规范性文件的清理、修改、废止、汇编工作。</w:t>
      </w:r>
      <w:r>
        <w:rPr>
          <w:rFonts w:hint="eastAsia" w:ascii="仿宋" w:hAnsi="仿宋" w:eastAsia="仿宋" w:cs="仿宋"/>
          <w:sz w:val="32"/>
          <w:szCs w:val="32"/>
        </w:rPr>
        <w:cr/>
      </w:r>
      <w:r>
        <w:rPr>
          <w:rFonts w:hint="eastAsia" w:ascii="仿宋" w:hAnsi="仿宋" w:eastAsia="仿宋" w:cs="仿宋"/>
          <w:sz w:val="32"/>
          <w:szCs w:val="32"/>
        </w:rPr>
        <w:t xml:space="preserve">    （6）承担区人民政府法律顾问工作。负责为区人民政府的重大决策和重大行政管理活动提供法律意见。办理区人民政府有关民事法律事务。承担区人民政府各类合同起草、审查工作。负责全区行政事业单位合同的指导、管理和监督工作</w:t>
      </w:r>
      <w:r>
        <w:rPr>
          <w:rFonts w:hint="eastAsia" w:ascii="仿宋" w:hAnsi="仿宋" w:eastAsia="仿宋" w:cs="仿宋"/>
          <w:sz w:val="32"/>
          <w:szCs w:val="32"/>
        </w:rPr>
        <w:cr/>
      </w:r>
      <w:r>
        <w:rPr>
          <w:rFonts w:hint="eastAsia" w:ascii="仿宋" w:hAnsi="仿宋" w:eastAsia="仿宋" w:cs="仿宋"/>
          <w:sz w:val="32"/>
          <w:szCs w:val="32"/>
        </w:rPr>
        <w:t xml:space="preserve">    （7）负责行政执法监督工作。推行行政执法责任制、执法质量考核评议制和错案责任追究制等执法制度负责重大具体行政行为的备案审查工作。负责区本级行政执法主体、行政执法人员、行政执法监督人员和行政复议人员的资格审查、培训考核和有关证件的颁发、换发和年检工作。指导和监督行政执法机关加强行政执法队伍建设。</w:t>
      </w:r>
      <w:r>
        <w:rPr>
          <w:rFonts w:hint="eastAsia" w:ascii="仿宋" w:hAnsi="仿宋" w:eastAsia="仿宋" w:cs="仿宋"/>
          <w:sz w:val="32"/>
          <w:szCs w:val="32"/>
        </w:rPr>
        <w:cr/>
      </w:r>
      <w:r>
        <w:rPr>
          <w:rFonts w:hint="eastAsia" w:ascii="仿宋" w:hAnsi="仿宋" w:eastAsia="仿宋" w:cs="仿宋"/>
          <w:sz w:val="32"/>
          <w:szCs w:val="32"/>
        </w:rPr>
        <w:t xml:space="preserve">    （8）指导、监督、协调区人民政府各部门及全区行政复议、行政应诉和行政赔偿工作。承担申请区人民政府决定的行政复议案件，办理区人民政府受理的行政赔偿、行政裁决、行政确认案件，承办区人民政府的行政应诉事项。</w:t>
      </w:r>
      <w:r>
        <w:rPr>
          <w:rFonts w:hint="eastAsia" w:ascii="仿宋" w:hAnsi="仿宋" w:eastAsia="仿宋" w:cs="仿宋"/>
          <w:sz w:val="32"/>
          <w:szCs w:val="32"/>
        </w:rPr>
        <w:cr/>
      </w:r>
      <w:r>
        <w:rPr>
          <w:rFonts w:hint="eastAsia" w:ascii="仿宋" w:hAnsi="仿宋" w:eastAsia="仿宋" w:cs="仿宋"/>
          <w:sz w:val="32"/>
          <w:szCs w:val="32"/>
        </w:rPr>
        <w:t xml:space="preserve">    （9）拟订全区法制宣传教育和依法治理规划并组织实施。负责全区普法依法治理工作，推进全区法治社会建设。</w:t>
      </w:r>
      <w:r>
        <w:rPr>
          <w:rFonts w:hint="eastAsia" w:ascii="仿宋" w:hAnsi="仿宋" w:eastAsia="仿宋" w:cs="仿宋"/>
          <w:sz w:val="32"/>
          <w:szCs w:val="32"/>
        </w:rPr>
        <w:cr/>
      </w:r>
      <w:r>
        <w:rPr>
          <w:rFonts w:hint="eastAsia" w:ascii="仿宋" w:hAnsi="仿宋" w:eastAsia="仿宋" w:cs="仿宋"/>
          <w:sz w:val="32"/>
          <w:szCs w:val="32"/>
        </w:rPr>
        <w:t xml:space="preserve">    （10）指导监督全区律师工作并承担相应责任。指导监督法律援助、面向社会的司法鉴定工作和企事业单位法律顾问工作。指导律师协会工作。</w:t>
      </w:r>
      <w:r>
        <w:rPr>
          <w:rFonts w:hint="eastAsia" w:ascii="仿宋" w:hAnsi="仿宋" w:eastAsia="仿宋" w:cs="仿宋"/>
          <w:sz w:val="32"/>
          <w:szCs w:val="32"/>
        </w:rPr>
        <w:cr/>
      </w:r>
      <w:r>
        <w:rPr>
          <w:rFonts w:hint="eastAsia" w:ascii="仿宋" w:hAnsi="仿宋" w:eastAsia="仿宋" w:cs="仿宋"/>
          <w:sz w:val="32"/>
          <w:szCs w:val="32"/>
        </w:rPr>
        <w:t xml:space="preserve">    （11）负责管理全区基层司法行政、社区矫正、人民调解工作和基层法律服务工作。负责全区人民陪审员选任和指导监督工作。参与社会治安综合治理工作。会同有关部门负责刑满释放人员的安置帮教工作。</w:t>
      </w:r>
      <w:r>
        <w:rPr>
          <w:rFonts w:hint="eastAsia" w:ascii="仿宋" w:hAnsi="仿宋" w:eastAsia="仿宋" w:cs="仿宋"/>
          <w:sz w:val="32"/>
          <w:szCs w:val="32"/>
        </w:rPr>
        <w:cr/>
      </w:r>
      <w:r>
        <w:rPr>
          <w:rFonts w:hint="eastAsia" w:ascii="仿宋" w:hAnsi="仿宋" w:eastAsia="仿宋" w:cs="仿宋"/>
          <w:sz w:val="32"/>
          <w:szCs w:val="32"/>
        </w:rPr>
        <w:t xml:space="preserve">    （12）负责管理全区司法行政系统队伍建设、思想政治建设和教育培训工作。负责管理全区司法警察警务工作。协助组织国家司法考试工作。</w:t>
      </w:r>
      <w:r>
        <w:rPr>
          <w:rFonts w:hint="eastAsia" w:ascii="仿宋" w:hAnsi="仿宋" w:eastAsia="仿宋" w:cs="仿宋"/>
          <w:sz w:val="32"/>
          <w:szCs w:val="32"/>
        </w:rPr>
        <w:cr/>
      </w:r>
      <w:r>
        <w:rPr>
          <w:rFonts w:hint="eastAsia" w:ascii="仿宋" w:hAnsi="仿宋" w:eastAsia="仿宋" w:cs="仿宋"/>
          <w:sz w:val="32"/>
          <w:szCs w:val="32"/>
        </w:rPr>
        <w:t xml:space="preserve">    （13）负责管理全区司法行政系统的计划财务及服装、车辆等物资装备工作。</w:t>
      </w:r>
      <w:r>
        <w:rPr>
          <w:rFonts w:hint="eastAsia" w:ascii="仿宋" w:hAnsi="仿宋" w:eastAsia="仿宋" w:cs="仿宋"/>
          <w:sz w:val="32"/>
          <w:szCs w:val="32"/>
        </w:rPr>
        <w:cr/>
      </w:r>
      <w:r>
        <w:rPr>
          <w:rFonts w:hint="eastAsia" w:ascii="仿宋" w:hAnsi="仿宋" w:eastAsia="仿宋" w:cs="仿宋"/>
          <w:sz w:val="32"/>
          <w:szCs w:val="32"/>
        </w:rPr>
        <w:t xml:space="preserve">     （14）完成区委、区政府交办的其他任务。</w:t>
      </w:r>
      <w:r>
        <w:rPr>
          <w:rFonts w:hint="eastAsia" w:ascii="仿宋" w:hAnsi="仿宋" w:eastAsia="仿宋" w:cs="仿宋"/>
          <w:sz w:val="32"/>
          <w:szCs w:val="32"/>
        </w:rPr>
        <w:cr/>
      </w:r>
      <w:r>
        <w:rPr>
          <w:rFonts w:hint="eastAsia" w:ascii="仿宋" w:hAnsi="仿宋" w:eastAsia="仿宋" w:cs="仿宋"/>
          <w:sz w:val="32"/>
          <w:szCs w:val="32"/>
        </w:rPr>
        <w:t xml:space="preserve">    2、机构设置</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益阳市赫山益阳市赫山区司法局</w:t>
      </w:r>
      <w:r>
        <w:rPr>
          <w:rFonts w:hint="eastAsia" w:ascii="仿宋" w:hAnsi="仿宋" w:eastAsia="仿宋" w:cs="仿宋"/>
          <w:sz w:val="32"/>
          <w:szCs w:val="32"/>
        </w:rPr>
        <w:t>是区政府工作部门，为正科级。中共益阳市赫山区委全面依法治区委员会办公室，设在司法局，接受中共益阳市赫山区委全面依法治区委员会的直接领导，承担委员会具体工作，组织开展全面依法治区重大问题的政策研究，协调督促有关方面落实委员会决定事项、工作部署和要求等。</w:t>
      </w:r>
      <w:r>
        <w:rPr>
          <w:rFonts w:hint="eastAsia" w:ascii="仿宋" w:hAnsi="仿宋" w:eastAsia="仿宋" w:cs="仿宋"/>
          <w:sz w:val="32"/>
          <w:szCs w:val="32"/>
          <w:lang w:eastAsia="zh-CN"/>
        </w:rPr>
        <w:t>益阳市赫山区司法局</w:t>
      </w:r>
      <w:r>
        <w:rPr>
          <w:rFonts w:hint="eastAsia" w:ascii="仿宋" w:hAnsi="仿宋" w:eastAsia="仿宋" w:cs="仿宋"/>
          <w:sz w:val="32"/>
          <w:szCs w:val="32"/>
        </w:rPr>
        <w:t>的内设机构根据工作需要承担区委依法治区办公室相关工作，接受区委依法治区办公室的统筹协调。</w:t>
      </w:r>
      <w:r>
        <w:rPr>
          <w:rFonts w:hint="eastAsia" w:ascii="仿宋" w:hAnsi="仿宋" w:eastAsia="仿宋" w:cs="仿宋"/>
          <w:sz w:val="32"/>
          <w:szCs w:val="32"/>
          <w:lang w:eastAsia="zh-CN"/>
        </w:rPr>
        <w:t>益阳市赫山区司法局</w:t>
      </w:r>
      <w:r>
        <w:rPr>
          <w:rFonts w:hint="eastAsia" w:ascii="仿宋" w:hAnsi="仿宋" w:eastAsia="仿宋" w:cs="仿宋"/>
          <w:sz w:val="32"/>
          <w:szCs w:val="32"/>
        </w:rPr>
        <w:t>共设区委全面依法治区委员会办公室秘书室、办公室、政策法规股、法制审查工作股、行政执法协调监督股、行政复议与应诉股、社区矫正工作管理股（益阳市赫山区社区矫正中心、益阳市赫山区社区矫正工作管理局）、普法与依法治理股、人民参与促进法治工作股（人民陪审员和监督员选任管理办公室）、公共法律服务管理股（益阳市赫山区公共法律服务中心、益阳市赫山区法律援助中心）、律师工作管理股、装备财务保障股、政治工作办公室等12个股室。</w:t>
      </w:r>
    </w:p>
    <w:p>
      <w:pPr>
        <w:spacing w:line="52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二、部门预算单位构成</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纳入2020年部门预算编制范围的二级预算单位包括：</w:t>
      </w:r>
    </w:p>
    <w:p>
      <w:pPr>
        <w:numPr>
          <w:ilvl w:val="0"/>
          <w:numId w:val="1"/>
        </w:num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益阳市赫山区司法局</w:t>
      </w:r>
      <w:r>
        <w:rPr>
          <w:rFonts w:hint="eastAsia" w:ascii="仿宋" w:hAnsi="仿宋" w:eastAsia="仿宋" w:cs="仿宋"/>
          <w:sz w:val="32"/>
          <w:szCs w:val="32"/>
        </w:rPr>
        <w:t>部门本级</w:t>
      </w:r>
    </w:p>
    <w:p>
      <w:pPr>
        <w:numPr>
          <w:ilvl w:val="0"/>
          <w:numId w:val="1"/>
        </w:num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15个乡镇、街道司法所</w:t>
      </w:r>
    </w:p>
    <w:p>
      <w:pPr>
        <w:spacing w:line="52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三、部门收支总体情况</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2020年部门预算包括本级预算和所属单位预算在内的汇总情况，以及对区县转移支付的情况。收入既包括一般公共预算收入、其他收入；支出既包括保障机关及局属司法所基本运行的经费，也包括中央、省级面向全市分配的政法装备、政法办案经费、法律援助补贴经费、人民调解“以案定补”等专项经费。</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（一）收入预算，2020年年初预算数983.17万元，其中，一般公共预算拨款983.17万元。收入较去年增加104.5万元，主要是根据《中共益阳市赫山区委员会 益阳市赫山区人民政府关于印发〈益阳市赫山区机构改革方案〉的通知》要求，按照赫山区委统一部署，决定将</w:t>
      </w:r>
      <w:r>
        <w:rPr>
          <w:rFonts w:hint="eastAsia" w:ascii="仿宋" w:hAnsi="仿宋" w:eastAsia="仿宋" w:cs="仿宋"/>
          <w:sz w:val="32"/>
          <w:szCs w:val="32"/>
          <w:lang w:eastAsia="zh-CN"/>
        </w:rPr>
        <w:t>益阳市赫山区司法局</w:t>
      </w:r>
      <w:r>
        <w:rPr>
          <w:rFonts w:hint="eastAsia" w:ascii="仿宋" w:hAnsi="仿宋" w:eastAsia="仿宋" w:cs="仿宋"/>
          <w:sz w:val="32"/>
          <w:szCs w:val="32"/>
        </w:rPr>
        <w:t>和赫山区政府法制办的职责进行整合、重新组建</w:t>
      </w:r>
      <w:r>
        <w:rPr>
          <w:rFonts w:hint="eastAsia" w:ascii="仿宋" w:hAnsi="仿宋" w:eastAsia="仿宋" w:cs="仿宋"/>
          <w:sz w:val="32"/>
          <w:szCs w:val="32"/>
          <w:lang w:eastAsia="zh-CN"/>
        </w:rPr>
        <w:t>益阳市赫山区司法局</w:t>
      </w:r>
      <w:r>
        <w:rPr>
          <w:rFonts w:hint="eastAsia" w:ascii="仿宋" w:hAnsi="仿宋" w:eastAsia="仿宋" w:cs="仿宋"/>
          <w:sz w:val="32"/>
          <w:szCs w:val="32"/>
        </w:rPr>
        <w:t>，其工作职能增加，工作业务量增大，人员增加，导致人员公用经费、人员经费和专项经费增加。</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支出预算，2020年年初预算数983.17万元，其中，一般公共服务787.17万元，小型专项支出196万元。支出较去年增加104.5万元，主要是机构改革后，新增小型专项的政府法律顾问经费、行政复议经费、行政应诉经费和法制培训经费，同时增加了人员公用经费、人员经费。</w:t>
      </w:r>
    </w:p>
    <w:p>
      <w:pPr>
        <w:spacing w:line="52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四、一般公共预算拨款支出预算</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2020年一般公共预算拨款收入983.17万元，具体安排情况如下：</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基本支出：2020年年初预算数为787.17万元，是指为保障单位机构正常运转、完成日常工作任务而发生的各项支出，包括用于基本工资、津贴补贴等人员经费以及办公费、印刷费、水电费、办公设备购置等日常公用经费。</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项目支出：2020年年初预算数为196万元，是指单位为完成特定行政工作任务或事业发展目标而发生的支出，包括有关专项业务费、基本建设支出、对区县专项补助等。其中：“人民调解”支出3万元，主要用于全区人民调解工作业务支出、人民调解宣传支出等；“三调联动”支出2万元，主要用于“三调联动”调解工作业务支出；“法律援助经费”支出6万元，主要用于法律援助宣传、印刷资料等支出；“社区矫正”支出70万元，主要用于社区矫正对象的管理支出；“普法经费”支出20万元，主要用于全区的普法宣传支出；“两劳安置帮教”支出1万元，主要用于两劳安帮人员回归社会的帮扶支出；“调解案件以奖代补”支出25万元，主要用于人民调解案件质量评比的补贴支出；“政府购买服务”支出40万元，主要用于购买政府服务事项与服务人员的支出。</w:t>
      </w:r>
    </w:p>
    <w:p>
      <w:pPr>
        <w:spacing w:line="52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五、其他重要事项的情况说明</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1、机关运行经费</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2020年局本级机关运行经费当年一般公共预算拨款983.17万元，比2019年预算增加104.5万元，上升11%。原因是2019年机构改革后，新增小型专项的政府法律顾问经费、行政复议经费、行政应诉经费和法制培训经费，同时增加了人员公用经费、人员经费。</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2、“三公”经费预算</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2020年“三公”经费预算数为10万元，其中，公务接待费2万元，公务用车购置及运行费8万元（其中，公务用车购置费0万元，公务用车运行费8万元），因公出国（境）费0万元。2020年“三公”经费预算与2019年持平。</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3、政府采购情况</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2020年</w:t>
      </w:r>
      <w:r>
        <w:rPr>
          <w:rFonts w:hint="eastAsia" w:ascii="仿宋" w:hAnsi="仿宋" w:eastAsia="仿宋" w:cs="仿宋"/>
          <w:sz w:val="32"/>
          <w:szCs w:val="32"/>
          <w:lang w:eastAsia="zh-CN"/>
        </w:rPr>
        <w:t>益阳市赫山区司法局</w:t>
      </w:r>
      <w:r>
        <w:rPr>
          <w:rFonts w:hint="eastAsia" w:ascii="仿宋" w:hAnsi="仿宋" w:eastAsia="仿宋" w:cs="仿宋"/>
          <w:sz w:val="32"/>
          <w:szCs w:val="32"/>
        </w:rPr>
        <w:t>政府采购预算总额0万元。</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4.国有资产占用使用情况</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截至2019年12月31日，本部门共有车辆2辆，其中：一般执法执勤用车2辆。单位价值50万元以上通用设备0台 ，单位价值100万元以上专用设备0台。</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5.预算绩效目标情况</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2020年</w:t>
      </w:r>
      <w:r>
        <w:rPr>
          <w:rFonts w:hint="eastAsia" w:ascii="仿宋" w:hAnsi="仿宋" w:eastAsia="仿宋" w:cs="仿宋"/>
          <w:sz w:val="32"/>
          <w:szCs w:val="32"/>
          <w:lang w:eastAsia="zh-CN"/>
        </w:rPr>
        <w:t>益阳市赫山区司法局</w:t>
      </w:r>
      <w:r>
        <w:rPr>
          <w:rFonts w:hint="eastAsia" w:ascii="仿宋" w:hAnsi="仿宋" w:eastAsia="仿宋" w:cs="仿宋"/>
          <w:sz w:val="32"/>
          <w:szCs w:val="32"/>
        </w:rPr>
        <w:t>单位整体支出绩效目标1055.94万元，其中：基本支出859.94万元，项目支出196万元。全部实行整体支出绩效目标管理，涉及一般公共预算当年拨款983.17万元。</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2020年</w:t>
      </w:r>
      <w:r>
        <w:rPr>
          <w:rFonts w:hint="eastAsia" w:ascii="仿宋" w:hAnsi="仿宋" w:eastAsia="仿宋" w:cs="仿宋"/>
          <w:sz w:val="32"/>
          <w:szCs w:val="32"/>
          <w:lang w:eastAsia="zh-CN"/>
        </w:rPr>
        <w:t>益阳市赫山区司法局</w:t>
      </w:r>
      <w:r>
        <w:rPr>
          <w:rFonts w:hint="eastAsia" w:ascii="仿宋" w:hAnsi="仿宋" w:eastAsia="仿宋" w:cs="仿宋"/>
          <w:sz w:val="32"/>
          <w:szCs w:val="32"/>
        </w:rPr>
        <w:t>单位项目支出绩效目标196万元，其中：业务工作经费（2个项目）110万元。全部实行项目支出绩效目标管理，涉及一般公共预算当年拨款196万元。</w:t>
      </w:r>
    </w:p>
    <w:p>
      <w:pPr>
        <w:spacing w:line="52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六、名词解释</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spacing w:line="520" w:lineRule="exact"/>
        <w:ind w:firstLine="640" w:firstLineChars="200"/>
        <w:rPr>
          <w:rFonts w:hint="eastAsia" w:ascii="仿宋" w:hAnsi="仿宋" w:eastAsia="仿宋" w:cs="仿宋"/>
          <w:sz w:val="32"/>
          <w:szCs w:val="32"/>
        </w:rPr>
      </w:pP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第二部分</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益阳市赫山区司法局</w:t>
      </w:r>
      <w:r>
        <w:rPr>
          <w:rFonts w:hint="eastAsia" w:ascii="仿宋" w:hAnsi="仿宋" w:eastAsia="仿宋" w:cs="仿宋"/>
          <w:sz w:val="32"/>
          <w:szCs w:val="32"/>
        </w:rPr>
        <w:t>部门预算公开的表格情况</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1、部门收支总体情况表</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2、部门收入总体情况表</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3、部门支出总体情况表</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4、部门支出总表（分类）</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5、省级基本支出预算明细表-工资福利支出</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6、省级基本支出预算明细表-商品和服务支出</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7、省级基本支出预算明细表-对个人和家庭的补助</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8、财政拨款收支总表</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9、一般公共预算支出情况表</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10、一般公共预算基本支出情况表</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11、一般公共预算省级基本支出预算明细表-工资福利支出</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12、一般公共预算省级基本支出预算明细表-商品和服务支出</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13、一般公共预算省级基本支出预算明细表-对个人和家庭的补助</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14、政府性基金预算支出情况表</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15、纳入专户管理的非税收入拨款省级支出预算分类汇总表</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16、一般公共预算拨款--经费拨款省级支出预算表</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17、省级专项资金预算汇总表</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18、一般公共预算“三公”经费预算表</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19、项目支出绩效目标表</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20、整体支出绩效目标表</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附件：2020年部门预算公开的表格情况.xls</w:t>
      </w:r>
    </w:p>
    <w:p>
      <w:pPr>
        <w:spacing w:line="520" w:lineRule="exact"/>
        <w:rPr>
          <w:rFonts w:hint="eastAsia" w:ascii="仿宋" w:hAnsi="仿宋" w:eastAsia="仿宋" w:cs="仿宋"/>
          <w:sz w:val="32"/>
          <w:szCs w:val="32"/>
        </w:rPr>
      </w:pPr>
    </w:p>
    <w:p>
      <w:pPr>
        <w:spacing w:line="520" w:lineRule="exact"/>
        <w:rPr>
          <w:rFonts w:hint="eastAsia" w:ascii="仿宋" w:hAnsi="仿宋" w:eastAsia="仿宋" w:cs="仿宋"/>
          <w:sz w:val="32"/>
          <w:szCs w:val="32"/>
        </w:rPr>
      </w:pPr>
    </w:p>
    <w:p>
      <w:pPr>
        <w:spacing w:line="520" w:lineRule="exact"/>
        <w:rPr>
          <w:rFonts w:hint="eastAsia" w:ascii="仿宋" w:hAnsi="仿宋" w:eastAsia="仿宋" w:cs="仿宋"/>
          <w:sz w:val="32"/>
          <w:szCs w:val="32"/>
          <w:lang w:eastAsia="zh-CN"/>
        </w:rPr>
      </w:pPr>
      <w:r>
        <w:rPr>
          <w:rFonts w:hint="eastAsia" w:ascii="仿宋" w:hAnsi="仿宋" w:eastAsia="仿宋" w:cs="仿宋"/>
          <w:sz w:val="32"/>
          <w:szCs w:val="32"/>
        </w:rPr>
        <w:t xml:space="preserve">                            单位名称:</w:t>
      </w:r>
      <w:r>
        <w:rPr>
          <w:rFonts w:hint="eastAsia" w:ascii="仿宋" w:hAnsi="仿宋" w:eastAsia="仿宋" w:cs="仿宋"/>
          <w:sz w:val="32"/>
          <w:szCs w:val="32"/>
          <w:lang w:eastAsia="zh-CN"/>
        </w:rPr>
        <w:t>益阳市赫山区司法局</w:t>
      </w:r>
    </w:p>
    <w:p>
      <w:pPr>
        <w:spacing w:line="520" w:lineRule="exact"/>
        <w:rPr>
          <w:rFonts w:hint="eastAsia" w:ascii="仿宋" w:hAnsi="仿宋" w:eastAsia="仿宋" w:cs="仿宋"/>
          <w:sz w:val="32"/>
          <w:szCs w:val="32"/>
        </w:rPr>
      </w:pPr>
      <w:r>
        <w:rPr>
          <w:rFonts w:hint="eastAsia" w:ascii="仿宋" w:hAnsi="仿宋" w:eastAsia="仿宋" w:cs="仿宋"/>
          <w:sz w:val="32"/>
          <w:szCs w:val="32"/>
        </w:rPr>
        <w:t xml:space="preserve">                                   2020年01月03日</w:t>
      </w:r>
      <w:bookmarkEnd w:id="0"/>
    </w:p>
    <w:sectPr>
      <w:footerReference r:id="rId3" w:type="default"/>
      <w:pgSz w:w="11906" w:h="16838"/>
      <w:pgMar w:top="1701" w:right="1474" w:bottom="1701" w:left="1588" w:header="851" w:footer="170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328945"/>
      <w:docPartObj>
        <w:docPartGallery w:val="autotext"/>
      </w:docPartObj>
    </w:sdtPr>
    <w:sdtContent>
      <w:p>
        <w:pPr>
          <w:pStyle w:val="2"/>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B9F42"/>
    <w:multiLevelType w:val="singleLevel"/>
    <w:tmpl w:val="5A0B9F4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96AF0"/>
    <w:rsid w:val="00046F58"/>
    <w:rsid w:val="00057364"/>
    <w:rsid w:val="00067E5D"/>
    <w:rsid w:val="00081771"/>
    <w:rsid w:val="000962F9"/>
    <w:rsid w:val="000D7BF0"/>
    <w:rsid w:val="001046C4"/>
    <w:rsid w:val="00187DD9"/>
    <w:rsid w:val="001B3432"/>
    <w:rsid w:val="002072C2"/>
    <w:rsid w:val="00226A38"/>
    <w:rsid w:val="00236707"/>
    <w:rsid w:val="00245311"/>
    <w:rsid w:val="002C3DBD"/>
    <w:rsid w:val="002E1D5D"/>
    <w:rsid w:val="00312F1F"/>
    <w:rsid w:val="00313E6F"/>
    <w:rsid w:val="0034017C"/>
    <w:rsid w:val="003F19F3"/>
    <w:rsid w:val="00447895"/>
    <w:rsid w:val="00454B1D"/>
    <w:rsid w:val="0045740F"/>
    <w:rsid w:val="00496AF0"/>
    <w:rsid w:val="004C3C95"/>
    <w:rsid w:val="004D27AF"/>
    <w:rsid w:val="004E1C03"/>
    <w:rsid w:val="00516C83"/>
    <w:rsid w:val="00585751"/>
    <w:rsid w:val="005A7C12"/>
    <w:rsid w:val="005D027A"/>
    <w:rsid w:val="005E0D43"/>
    <w:rsid w:val="005E6C63"/>
    <w:rsid w:val="005F47BA"/>
    <w:rsid w:val="0060380C"/>
    <w:rsid w:val="00603A1C"/>
    <w:rsid w:val="0064017C"/>
    <w:rsid w:val="006B6197"/>
    <w:rsid w:val="006E0005"/>
    <w:rsid w:val="007D1021"/>
    <w:rsid w:val="007E7177"/>
    <w:rsid w:val="007F7E1B"/>
    <w:rsid w:val="00811E4B"/>
    <w:rsid w:val="0086099D"/>
    <w:rsid w:val="008647DB"/>
    <w:rsid w:val="008A4014"/>
    <w:rsid w:val="008F37E0"/>
    <w:rsid w:val="00907EE5"/>
    <w:rsid w:val="00911CB3"/>
    <w:rsid w:val="009415E3"/>
    <w:rsid w:val="00954F53"/>
    <w:rsid w:val="009728DB"/>
    <w:rsid w:val="009D4016"/>
    <w:rsid w:val="00AA5836"/>
    <w:rsid w:val="00AA686F"/>
    <w:rsid w:val="00B5183F"/>
    <w:rsid w:val="00B66C65"/>
    <w:rsid w:val="00BA3EC7"/>
    <w:rsid w:val="00C01C51"/>
    <w:rsid w:val="00CA25D5"/>
    <w:rsid w:val="00CC4DAB"/>
    <w:rsid w:val="00CD0A4E"/>
    <w:rsid w:val="00D0252C"/>
    <w:rsid w:val="00D124F6"/>
    <w:rsid w:val="00D16433"/>
    <w:rsid w:val="00D527B6"/>
    <w:rsid w:val="00D956FF"/>
    <w:rsid w:val="00E0005F"/>
    <w:rsid w:val="00E53533"/>
    <w:rsid w:val="00EB351A"/>
    <w:rsid w:val="00EC16A2"/>
    <w:rsid w:val="00ED239B"/>
    <w:rsid w:val="00ED58D3"/>
    <w:rsid w:val="00EF3B6C"/>
    <w:rsid w:val="00F011FD"/>
    <w:rsid w:val="00F11D8A"/>
    <w:rsid w:val="00F75EAA"/>
    <w:rsid w:val="00F903C7"/>
    <w:rsid w:val="00FA4341"/>
    <w:rsid w:val="00FB78F5"/>
    <w:rsid w:val="00FD0147"/>
    <w:rsid w:val="00FF2145"/>
    <w:rsid w:val="123F43A4"/>
    <w:rsid w:val="20977C72"/>
    <w:rsid w:val="222F6D4A"/>
    <w:rsid w:val="22C00E28"/>
    <w:rsid w:val="23DE4CEC"/>
    <w:rsid w:val="24581165"/>
    <w:rsid w:val="24BC0B4C"/>
    <w:rsid w:val="266F496B"/>
    <w:rsid w:val="298E5B00"/>
    <w:rsid w:val="2B6F598A"/>
    <w:rsid w:val="32AB642D"/>
    <w:rsid w:val="37E72DC2"/>
    <w:rsid w:val="40E932C7"/>
    <w:rsid w:val="46BB7B44"/>
    <w:rsid w:val="46E8666B"/>
    <w:rsid w:val="510213B1"/>
    <w:rsid w:val="566D19BF"/>
    <w:rsid w:val="67556625"/>
    <w:rsid w:val="6ED45C60"/>
    <w:rsid w:val="7265473E"/>
    <w:rsid w:val="785D3D8C"/>
    <w:rsid w:val="78D91A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2157</Words>
  <Characters>2245</Characters>
  <Lines>102</Lines>
  <Paragraphs>84</Paragraphs>
  <TotalTime>14</TotalTime>
  <ScaleCrop>false</ScaleCrop>
  <LinksUpToDate>false</LinksUpToDate>
  <CharactersWithSpaces>4318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2019-12-31T07:43:00Z</dcterms:created>
  <dc:creator>Administrator</dc:creator>
  <cp:lastModifiedBy>甸@火@</cp:lastModifiedBy>
  <cp:lastPrinted>2019-12-31T07:37:00Z</cp:lastPrinted>
  <dcterms:modified xsi:type="dcterms:W3CDTF">2021-05-06T03:23:12Z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