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黑体" w:eastAsia="黑体"/>
          <w:sz w:val="32"/>
          <w:szCs w:val="32"/>
        </w:rPr>
      </w:pPr>
      <w:r>
        <w:rPr>
          <w:rFonts w:hint="eastAsia" w:ascii="黑体" w:hAnsi="黑体" w:eastAsia="黑体"/>
          <w:sz w:val="32"/>
          <w:szCs w:val="32"/>
        </w:rPr>
        <w:t>附件3：</w:t>
      </w:r>
    </w:p>
    <w:p>
      <w:pPr>
        <w:spacing w:line="480" w:lineRule="exact"/>
        <w:jc w:val="center"/>
        <w:rPr>
          <w:rFonts w:ascii="方正小标宋简体" w:eastAsia="方正小标宋简体"/>
          <w:bCs/>
          <w:sz w:val="44"/>
          <w:szCs w:val="44"/>
        </w:rPr>
      </w:pPr>
      <w:r>
        <w:rPr>
          <w:rFonts w:hint="eastAsia" w:ascii="方正小标宋简体" w:eastAsia="方正小标宋简体"/>
          <w:bCs/>
          <w:sz w:val="44"/>
          <w:szCs w:val="44"/>
        </w:rPr>
        <w:t>赫山区</w:t>
      </w:r>
      <w:r>
        <w:rPr>
          <w:rFonts w:hint="eastAsia" w:ascii="方正小标宋简体" w:eastAsia="方正小标宋简体"/>
          <w:bCs/>
          <w:sz w:val="44"/>
          <w:szCs w:val="44"/>
          <w:lang w:val="en-US" w:eastAsia="zh-CN"/>
        </w:rPr>
        <w:t>审计局</w:t>
      </w:r>
      <w:r>
        <w:rPr>
          <w:rFonts w:hint="eastAsia" w:ascii="方正小标宋简体" w:eastAsia="方正小标宋简体"/>
          <w:bCs/>
          <w:sz w:val="44"/>
          <w:szCs w:val="44"/>
        </w:rPr>
        <w:t>20</w:t>
      </w:r>
      <w:r>
        <w:rPr>
          <w:rFonts w:hint="eastAsia" w:ascii="方正小标宋简体" w:eastAsia="方正小标宋简体"/>
          <w:bCs/>
          <w:sz w:val="44"/>
          <w:szCs w:val="44"/>
          <w:lang w:val="en-US" w:eastAsia="zh-CN"/>
        </w:rPr>
        <w:t>20</w:t>
      </w:r>
      <w:r>
        <w:rPr>
          <w:rFonts w:hint="eastAsia" w:ascii="方正小标宋简体" w:eastAsia="方正小标宋简体"/>
          <w:bCs/>
          <w:sz w:val="44"/>
          <w:szCs w:val="44"/>
        </w:rPr>
        <w:t>年部门整体支出绩效自评指标计分表</w:t>
      </w:r>
      <w:bookmarkStart w:id="0" w:name="_GoBack"/>
      <w:bookmarkEnd w:id="0"/>
    </w:p>
    <w:p>
      <w:pPr>
        <w:spacing w:line="80" w:lineRule="exact"/>
        <w:rPr>
          <w:rFonts w:ascii="仿宋_GB2312"/>
        </w:rPr>
      </w:pPr>
    </w:p>
    <w:tbl>
      <w:tblPr>
        <w:tblStyle w:val="4"/>
        <w:tblW w:w="50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570"/>
        <w:gridCol w:w="703"/>
        <w:gridCol w:w="446"/>
        <w:gridCol w:w="2976"/>
        <w:gridCol w:w="3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305"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一级</w:t>
            </w:r>
            <w:r>
              <w:rPr>
                <w:rFonts w:hint="eastAsia" w:asciiTheme="majorEastAsia" w:hAnsiTheme="majorEastAsia" w:eastAsiaTheme="majorEastAsia"/>
                <w:bCs/>
                <w:szCs w:val="21"/>
              </w:rPr>
              <w:br w:type="textWrapping"/>
            </w:r>
            <w:r>
              <w:rPr>
                <w:rFonts w:hint="eastAsia" w:asciiTheme="majorEastAsia" w:hAnsiTheme="majorEastAsia" w:eastAsiaTheme="majorEastAsia"/>
                <w:bCs/>
                <w:szCs w:val="21"/>
              </w:rPr>
              <w:t>指标</w:t>
            </w:r>
          </w:p>
        </w:tc>
        <w:tc>
          <w:tcPr>
            <w:tcW w:w="318"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二级指标</w:t>
            </w: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三级指标</w:t>
            </w:r>
          </w:p>
        </w:tc>
        <w:tc>
          <w:tcPr>
            <w:tcW w:w="249" w:type="pct"/>
            <w:tcMar>
              <w:top w:w="10" w:type="dxa"/>
              <w:left w:w="10" w:type="dxa"/>
              <w:bottom w:w="0" w:type="dxa"/>
              <w:right w:w="10" w:type="dxa"/>
            </w:tcMar>
            <w:vAlign w:val="center"/>
          </w:tcPr>
          <w:p>
            <w:pPr>
              <w:spacing w:line="2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自评分</w:t>
            </w:r>
          </w:p>
        </w:tc>
        <w:tc>
          <w:tcPr>
            <w:tcW w:w="1660"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指标解释</w:t>
            </w:r>
          </w:p>
        </w:tc>
        <w:tc>
          <w:tcPr>
            <w:tcW w:w="2076"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trPr>
        <w:tc>
          <w:tcPr>
            <w:tcW w:w="305" w:type="pct"/>
            <w:vMerge w:val="restart"/>
            <w:shd w:val="clear" w:color="auto" w:fill="auto"/>
            <w:noWrap/>
            <w:tcMar>
              <w:top w:w="10" w:type="dxa"/>
              <w:left w:w="10" w:type="dxa"/>
              <w:bottom w:w="0" w:type="dxa"/>
              <w:right w:w="10" w:type="dxa"/>
            </w:tcMar>
            <w:textDirection w:val="tbRlV"/>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投   入（20分）</w:t>
            </w:r>
          </w:p>
        </w:tc>
        <w:tc>
          <w:tcPr>
            <w:tcW w:w="318" w:type="pct"/>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目标</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设定（5分）</w:t>
            </w: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绩效目标合理性（2分）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2</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部门所设立的整体绩效目标依据是否充分，是否符合客观实际，用以反映和考核部门整体绩效目标与部门履职、年度工作任务的相符性情况。</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①符合国家法律法规、国民经济和社会发展总体规划计1分；②符合部门“三定”方案确定的职责计0.5分；③是否符合部门制定的中长期实施规划计0.5分。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绩效指标明确性（3分）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3</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部门依据整体绩效目标所设定的绩效指标是否清晰、细化、可衡量，用以反映和考核部门整体绩效目标的明细化情况。</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预算</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配置（15分）</w:t>
            </w: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在职人员控制率（5分）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5</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部门本年度实际在职人员数与编制数的比率，用以反映和考核部门对人员成本的控制程度。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“三公经费”</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变动率（5分）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5</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部门本年度“三公经费”预算数与上年度“三公经费”预算数的变动比率，用以反映和考核部门对控制重点行政成本的努力程度。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重点支出安排率（5分）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5</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部门本年度预算安排的重点项目支出与部门项目总支出的比率，用以反映和考核部门对履行主要职责或完成重点任务的保障程度。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restart"/>
            <w:shd w:val="clear" w:color="auto" w:fill="auto"/>
            <w:noWrap/>
            <w:tcMar>
              <w:top w:w="10" w:type="dxa"/>
              <w:left w:w="10" w:type="dxa"/>
              <w:bottom w:w="0" w:type="dxa"/>
              <w:right w:w="10" w:type="dxa"/>
            </w:tcMar>
            <w:textDirection w:val="tbRlV"/>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过             程（30分）</w:t>
            </w:r>
          </w:p>
        </w:tc>
        <w:tc>
          <w:tcPr>
            <w:tcW w:w="318" w:type="pct"/>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预算</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执行</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（20分）</w:t>
            </w: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预算完成率（4分）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4</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部门本年度预算完成数与预算数的比率，用以反映和考核部门预算完成程度。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预算完成率=（预算完成数/预算数）×100%。完成年初预算计4分，未完成年初预算按比例扣减，预算完成数：部门本年度实际完成的预算数。预算数：财政部门批复的本年度部门预算数。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预算调整率（2分）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2</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部门本年度预算调整数与预算数的比率，用以反映和考核部门预算的调整程度。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支付进度率（2分）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2</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部门实际支付进度与既定支付进度的比率，用以反映和考核部门预算执行的及时性和均衡性程度。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shd w:val="clear" w:color="auto" w:fill="auto"/>
            <w:noWrap/>
            <w:tcMar>
              <w:top w:w="10" w:type="dxa"/>
              <w:left w:w="10" w:type="dxa"/>
              <w:bottom w:w="0" w:type="dxa"/>
              <w:right w:w="10" w:type="dxa"/>
            </w:tcMar>
            <w:textDirection w:val="tbRlV"/>
            <w:vAlign w:val="center"/>
          </w:tcPr>
          <w:p>
            <w:pPr>
              <w:spacing w:line="240" w:lineRule="exact"/>
              <w:jc w:val="center"/>
              <w:rPr>
                <w:rFonts w:asciiTheme="majorEastAsia" w:hAnsiTheme="majorEastAsia" w:eastAsiaTheme="majorEastAsia"/>
                <w:szCs w:val="21"/>
              </w:rPr>
            </w:pPr>
          </w:p>
        </w:tc>
        <w:tc>
          <w:tcPr>
            <w:tcW w:w="318" w:type="pct"/>
            <w:vMerge w:val="continue"/>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结转结余控制率（4分）</w:t>
            </w:r>
          </w:p>
        </w:tc>
        <w:tc>
          <w:tcPr>
            <w:tcW w:w="249" w:type="pct"/>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eastAsia="zh-CN"/>
              </w:rPr>
            </w:pPr>
            <w:r>
              <w:rPr>
                <w:rFonts w:hint="eastAsia" w:asciiTheme="majorEastAsia" w:hAnsiTheme="majorEastAsia" w:eastAsiaTheme="majorEastAsia"/>
                <w:szCs w:val="21"/>
                <w:lang w:val="en-US" w:eastAsia="zh-CN"/>
              </w:rPr>
              <w:t>0</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部门本年度结转结余总额与上年结转结余总额增减比例，用以反映和考核部门对存量资金的实际控制程度。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公用经费</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控制率（2分）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2</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部门本年度实际支出的公用经费总额与预算安排的公用经费总额的比率，用以反映和考核部门对机构运转成本的实际控制程度。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公用经费控制率=（实际支出公用经费总额/预算安排公用经费总额）×100%。为100%的计2分，每超过1个百分点扣0.1分，扣完为止。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shd w:val="clear" w:color="auto" w:fill="auto"/>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“三公经费”控制率（2分）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2</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部门本年度“三公经费”实际支出数与预算安排数的比率，用以反映和考核部门对“三公经费”的实际控制程度。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“三公经费”控制率=（“三公经费”实际支出数/“三公经费”预算安排数）×100%。为100%的计2分，每超过1个百分点扣0.5分，扣完为止。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政府采购</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执行率（4分）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4</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部门本年度实际政府采购金额与年初政府采购预算的比率，用以反映和考核部门政府采购预算执行情况。</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预算</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管理</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（5分）</w:t>
            </w: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管理制度</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健全性（2分）</w:t>
            </w:r>
          </w:p>
        </w:tc>
        <w:tc>
          <w:tcPr>
            <w:tcW w:w="249" w:type="pct"/>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eastAsia="zh-CN"/>
              </w:rPr>
            </w:pPr>
            <w:r>
              <w:rPr>
                <w:rFonts w:hint="eastAsia" w:asciiTheme="majorEastAsia" w:hAnsiTheme="majorEastAsia" w:eastAsiaTheme="majorEastAsia"/>
                <w:szCs w:val="21"/>
                <w:lang w:val="en-US" w:eastAsia="zh-CN"/>
              </w:rPr>
              <w:t>2</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部门为加强预算管理、规范财务行为而制定的管理制度是否健全完整，用以反映和考核部门预算管理制度对完成主要职责或促进事业发展的保障情况。</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已制定或具有预算资金管理办法、内部财务管理制度、会计核算制度等管理制度计1分；相关管理制度合法、合规、完整计0.5分；相关管理制度得到有效执行计0.5分。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shd w:val="clear" w:color="auto" w:fill="auto"/>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资金使用</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合规性（1分）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1</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部门使用预算资金是否符合相关的预算财务管理制度的规定，用以反映和考核部门预算资金的规范运行情况。</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预决算信</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息公开性（1分）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1</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部门是否按照政府信息公开有关规定公开相关预决算信息，用以反映和考核部门预决算管理的公开透明情况。</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①按规定内容公开预决算信息计0.5分；②按规定时限公开预决算信息计0.5分。预决算信息是指与部门预算、执行、决算、监督、绩效等管理相关的信息。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基础信息</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完善性（1分）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1</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部门基础信息是否完善，用以反映和考核基础信息对预算管理工作的支撑情况。</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①基础数据信息和会计信息资料真实计0.4分；②基础数据信息和会计信息资料完整计0.3分；③基础数据信息和会计信息资料准确计0.3分。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shd w:val="clear" w:color="auto" w:fill="auto"/>
            <w:noWrap/>
            <w:tcMar>
              <w:top w:w="10" w:type="dxa"/>
              <w:left w:w="10" w:type="dxa"/>
              <w:bottom w:w="0" w:type="dxa"/>
              <w:right w:w="10" w:type="dxa"/>
            </w:tcMar>
            <w:textDirection w:val="tbRlV"/>
            <w:vAlign w:val="center"/>
          </w:tcPr>
          <w:p>
            <w:pPr>
              <w:spacing w:line="240" w:lineRule="exact"/>
              <w:jc w:val="center"/>
              <w:rPr>
                <w:rFonts w:asciiTheme="majorEastAsia" w:hAnsiTheme="majorEastAsia" w:eastAsiaTheme="majorEastAsia"/>
                <w:szCs w:val="21"/>
              </w:rPr>
            </w:pPr>
          </w:p>
        </w:tc>
        <w:tc>
          <w:tcPr>
            <w:tcW w:w="318" w:type="pct"/>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资产</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管理</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（5分）</w:t>
            </w: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管理制度</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健全性（2分）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1</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部门为加强资产管理、规范资产管理行为而制定的管理制度是否健全完整，用以反映和考核部门资产管理制度对完成主要职责或促进社会发展的保障情况。</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①制定或具有资产管理制度计1分；②相关资金管理制度合法、合规、完整计0.5分；③相关资产管理制度得到有效执行计0.5分。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shd w:val="clear" w:color="auto" w:fill="auto"/>
            <w:vAlign w:val="center"/>
          </w:tcPr>
          <w:p>
            <w:pPr>
              <w:spacing w:line="240" w:lineRule="exact"/>
              <w:jc w:val="center"/>
              <w:rPr>
                <w:rFonts w:asciiTheme="majorEastAsia" w:hAnsiTheme="majorEastAsia" w:eastAsiaTheme="majorEastAsia"/>
                <w:szCs w:val="21"/>
              </w:rPr>
            </w:pPr>
          </w:p>
        </w:tc>
        <w:tc>
          <w:tcPr>
            <w:tcW w:w="318" w:type="pct"/>
            <w:vMerge w:val="continue"/>
            <w:shd w:val="clear" w:color="auto" w:fill="auto"/>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资产管理</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安全性（2分）</w:t>
            </w:r>
          </w:p>
        </w:tc>
        <w:tc>
          <w:tcPr>
            <w:tcW w:w="249" w:type="pct"/>
            <w:tcMar>
              <w:top w:w="10" w:type="dxa"/>
              <w:left w:w="10" w:type="dxa"/>
              <w:bottom w:w="0" w:type="dxa"/>
              <w:right w:w="10" w:type="dxa"/>
            </w:tcMar>
            <w:vAlign w:val="center"/>
          </w:tcPr>
          <w:p>
            <w:pPr>
              <w:tabs>
                <w:tab w:val="left" w:pos="761"/>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2</w:t>
            </w:r>
          </w:p>
        </w:tc>
        <w:tc>
          <w:tcPr>
            <w:tcW w:w="1660" w:type="pct"/>
            <w:shd w:val="clear" w:color="auto" w:fill="auto"/>
            <w:tcMar>
              <w:top w:w="10" w:type="dxa"/>
              <w:left w:w="10" w:type="dxa"/>
              <w:bottom w:w="0" w:type="dxa"/>
              <w:right w:w="10" w:type="dxa"/>
            </w:tcMar>
            <w:vAlign w:val="center"/>
          </w:tcPr>
          <w:p>
            <w:pPr>
              <w:tabs>
                <w:tab w:val="left" w:pos="761"/>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部门的资产是否保存完整、使用合规、配置合理、处置规范、收入及时足额上缴，用以反映和考核部门资产安全运行情况。</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①资产保存完整计0.4分；②资产配置合理计0.4分；③资产处置规范计0.4分；④资产账务管理合规、帐实相符计0.4分；⑤资产有偿使用及处置收入及时足额上缴计0.4分。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shd w:val="clear" w:color="auto" w:fill="auto"/>
            <w:vAlign w:val="center"/>
          </w:tcPr>
          <w:p>
            <w:pPr>
              <w:spacing w:line="240" w:lineRule="exact"/>
              <w:jc w:val="center"/>
              <w:rPr>
                <w:rFonts w:asciiTheme="majorEastAsia" w:hAnsiTheme="majorEastAsia" w:eastAsiaTheme="majorEastAsia"/>
                <w:szCs w:val="21"/>
              </w:rPr>
            </w:pPr>
          </w:p>
        </w:tc>
        <w:tc>
          <w:tcPr>
            <w:tcW w:w="318" w:type="pct"/>
            <w:vMerge w:val="continue"/>
            <w:shd w:val="clear" w:color="auto" w:fill="auto"/>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固定资产</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利用率（1分）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1</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部门实际在用固定资产总额与所有固定资产总额的比率，用以反映和考核部门固定资产使用效率程度。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固定资产利用率=（实际在用固定资产总额/所有固定资产总额）×100%。利用率为100%的计1分，每降1个百分点扣0.1分，扣完为止。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restart"/>
            <w:shd w:val="clear" w:color="auto" w:fill="auto"/>
            <w:noWrap/>
            <w:tcMar>
              <w:top w:w="10" w:type="dxa"/>
              <w:left w:w="10" w:type="dxa"/>
              <w:bottom w:w="0" w:type="dxa"/>
              <w:right w:w="10" w:type="dxa"/>
            </w:tcMar>
            <w:textDirection w:val="tbRlV"/>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产   出（30分）</w:t>
            </w:r>
          </w:p>
        </w:tc>
        <w:tc>
          <w:tcPr>
            <w:tcW w:w="318" w:type="pct"/>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职责</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履行</w:t>
            </w: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实际完成率（8分）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8</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部门履行职责而实际完成工作数与计划工作数的比率，用以反映和考核部门履职工作任务目标的实现程度。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实际完成率得分=完成市委市政府绩效考核得分或上级主管部门考核指标得分/指标分值*8分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完成及时率（4分）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3</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部门在规定时限内及时完成的实际工作数与计划工作数的比率,用以反映和考核部门履职时效目标的实现程度。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完成及时率=（及时完成实际工作数/计划工作数）×100%。1-4季度各得1分</w:t>
            </w:r>
            <w:r>
              <w:rPr>
                <w:rFonts w:hint="eastAsia" w:asciiTheme="majorEastAsia" w:hAnsiTheme="majorEastAsia" w:eastAsiaTheme="majorEastAsia"/>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质量达标率（8分）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7</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达到质量标准（绩效标准值）的实际工作数与计划工作数的比率,用以反映和考核部门履职质量目标的实现程度。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质量达标率=（质量达标实际工作数/计划工作数）×100%。实际得分=达标率*8分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重点工作</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办结率（10分）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10</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部门年度重点工作实际完成数与交办或下达数的比率，用以反映部门对重点工作的办理落实程度。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重点工作办结率=（重点工作实际完成数/交办或下达数）×100%。实际得分=办结率*10分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restart"/>
            <w:shd w:val="clear" w:color="auto" w:fill="auto"/>
            <w:noWrap/>
            <w:tcMar>
              <w:top w:w="10" w:type="dxa"/>
              <w:left w:w="10" w:type="dxa"/>
              <w:bottom w:w="0" w:type="dxa"/>
              <w:right w:w="10" w:type="dxa"/>
            </w:tcMar>
            <w:textDirection w:val="tbRlV"/>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效   果（20分）</w:t>
            </w:r>
          </w:p>
        </w:tc>
        <w:tc>
          <w:tcPr>
            <w:tcW w:w="318" w:type="pct"/>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履职</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效益（20分）</w:t>
            </w: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经济效益（5分）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5</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部门履行职责对经济发展所带来的直接或间接影响。</w:t>
            </w:r>
          </w:p>
        </w:tc>
        <w:tc>
          <w:tcPr>
            <w:tcW w:w="2076" w:type="pct"/>
            <w:vMerge w:val="restar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cs="宋体" w:asciiTheme="majorEastAsia" w:hAnsiTheme="majorEastAsia" w:eastAsiaTheme="majorEastAsia"/>
                <w:szCs w:val="21"/>
              </w:rPr>
              <w:t>按经济效益实现程度计算得分（5分）；按社会效益实现程度计算得分（5分）；按生态效益实现程度计算得分（5分）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社会效益（5分）</w:t>
            </w:r>
          </w:p>
        </w:tc>
        <w:tc>
          <w:tcPr>
            <w:tcW w:w="249" w:type="pct"/>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5</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部门履行职责对社会发展所带来的直接或间接影响。</w:t>
            </w:r>
          </w:p>
        </w:tc>
        <w:tc>
          <w:tcPr>
            <w:tcW w:w="2076" w:type="pct"/>
            <w:vMerge w:val="continue"/>
            <w:vAlign w:val="center"/>
          </w:tcPr>
          <w:p>
            <w:pPr>
              <w:spacing w:line="24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生态效益（5分）</w:t>
            </w:r>
          </w:p>
        </w:tc>
        <w:tc>
          <w:tcPr>
            <w:tcW w:w="249" w:type="pct"/>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5</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部门履行职责对生态环境所带来的直接或间接影响。</w:t>
            </w:r>
          </w:p>
        </w:tc>
        <w:tc>
          <w:tcPr>
            <w:tcW w:w="2076" w:type="pct"/>
            <w:vMerge w:val="continue"/>
            <w:vAlign w:val="center"/>
          </w:tcPr>
          <w:p>
            <w:pPr>
              <w:spacing w:line="24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社会公众</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或服务对</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象满意度（5分）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5</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社会公众或部门的服务对象对部门履职效果的满意程度。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cs="宋体" w:asciiTheme="majorEastAsia" w:hAnsiTheme="majorEastAsia" w:eastAsiaTheme="majorEastAsia"/>
                <w:szCs w:val="21"/>
              </w:rPr>
              <w:t>按收集到的服务对象的满意率计算得分（5分）</w:t>
            </w:r>
          </w:p>
        </w:tc>
      </w:tr>
    </w:tbl>
    <w:p>
      <w:pPr>
        <w:spacing w:line="220" w:lineRule="atLeast"/>
      </w:pPr>
    </w:p>
    <w:sectPr>
      <w:footerReference r:id="rId3" w:type="default"/>
      <w:footerReference r:id="rId4" w:type="even"/>
      <w:pgSz w:w="11906" w:h="16838"/>
      <w:pgMar w:top="1871" w:right="1474" w:bottom="1871" w:left="1588" w:header="851" w:footer="170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1351EB"/>
    <w:rsid w:val="00157B98"/>
    <w:rsid w:val="001A342B"/>
    <w:rsid w:val="001F6474"/>
    <w:rsid w:val="00323B43"/>
    <w:rsid w:val="003D37D8"/>
    <w:rsid w:val="00426133"/>
    <w:rsid w:val="004358AB"/>
    <w:rsid w:val="006E7C85"/>
    <w:rsid w:val="00707917"/>
    <w:rsid w:val="008B7726"/>
    <w:rsid w:val="00B97CAC"/>
    <w:rsid w:val="00BF5B67"/>
    <w:rsid w:val="00D31D50"/>
    <w:rsid w:val="00E773A4"/>
    <w:rsid w:val="25307119"/>
    <w:rsid w:val="379A344A"/>
    <w:rsid w:val="3BB03E04"/>
    <w:rsid w:val="571061EC"/>
    <w:rsid w:val="735A4825"/>
    <w:rsid w:val="7F650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rFonts w:ascii="Tahoma" w:hAnsi="Tahoma"/>
      <w:sz w:val="18"/>
      <w:szCs w:val="18"/>
    </w:rPr>
  </w:style>
  <w:style w:type="character" w:customStyle="1" w:styleId="8">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586</Words>
  <Characters>3343</Characters>
  <Lines>27</Lines>
  <Paragraphs>7</Paragraphs>
  <TotalTime>10</TotalTime>
  <ScaleCrop>false</ScaleCrop>
  <LinksUpToDate>false</LinksUpToDate>
  <CharactersWithSpaces>3922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2021-06-16T05:36:29Z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