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line="600" w:lineRule="exact"/>
        <w:jc w:val="center"/>
        <w:rPr>
          <w:rFonts w:hint="eastAsia" w:ascii="宋体" w:hAnsi="宋体"/>
          <w:kern w:val="0"/>
          <w:sz w:val="44"/>
          <w:szCs w:val="24"/>
          <w:lang w:val="zh-CN" w:eastAsia="zh-CN"/>
        </w:rPr>
      </w:pPr>
      <w:bookmarkStart w:id="0" w:name="_GoBack"/>
      <w:bookmarkEnd w:id="0"/>
      <w:r>
        <w:rPr>
          <w:rFonts w:hint="eastAsia" w:ascii="宋体" w:hAnsi="宋体"/>
          <w:kern w:val="0"/>
          <w:sz w:val="44"/>
          <w:szCs w:val="24"/>
          <w:lang w:val="zh-CN" w:eastAsia="zh-CN"/>
        </w:rPr>
        <w:t>益阳市赫山区发展和改革局本级</w:t>
      </w:r>
    </w:p>
    <w:p>
      <w:pPr>
        <w:spacing w:beforeLines="0" w:afterLines="0" w:line="600" w:lineRule="exact"/>
        <w:jc w:val="center"/>
        <w:rPr>
          <w:rFonts w:hint="eastAsia" w:ascii="宋体" w:hAnsi="宋体"/>
          <w:kern w:val="0"/>
          <w:sz w:val="44"/>
          <w:szCs w:val="24"/>
          <w:lang w:val="en-US" w:eastAsia="zh-CN"/>
        </w:rPr>
      </w:pPr>
      <w:r>
        <w:rPr>
          <w:rFonts w:hint="eastAsia" w:ascii="宋体" w:hAnsi="宋体"/>
          <w:kern w:val="0"/>
          <w:sz w:val="44"/>
          <w:szCs w:val="24"/>
          <w:lang w:val="en-US" w:eastAsia="zh-CN"/>
        </w:rPr>
        <w:t>2019年度部门决算公开</w:t>
      </w:r>
    </w:p>
    <w:p>
      <w:pPr>
        <w:spacing w:beforeLines="0" w:afterLines="0" w:line="540" w:lineRule="exact"/>
        <w:jc w:val="center"/>
        <w:rPr>
          <w:rFonts w:hint="default" w:eastAsia="Times New Roman"/>
          <w:color w:val="000000"/>
          <w:kern w:val="0"/>
          <w:sz w:val="56"/>
          <w:szCs w:val="24"/>
          <w:highlight w:val="white"/>
          <w:lang w:val="en-US"/>
        </w:rPr>
      </w:pPr>
    </w:p>
    <w:p>
      <w:pPr>
        <w:spacing w:beforeLines="0" w:afterLines="0" w:line="520" w:lineRule="exact"/>
        <w:jc w:val="left"/>
        <w:rPr>
          <w:rFonts w:hint="eastAsia" w:ascii="黑体" w:hAnsi="黑体" w:eastAsia="黑体"/>
          <w:color w:val="000000"/>
          <w:kern w:val="0"/>
          <w:sz w:val="32"/>
          <w:szCs w:val="24"/>
          <w:highlight w:val="white"/>
          <w:lang w:val="en-US"/>
        </w:rPr>
      </w:pPr>
      <w:r>
        <w:rPr>
          <w:rFonts w:hint="eastAsia" w:ascii="黑体" w:hAnsi="黑体" w:eastAsia="黑体"/>
          <w:color w:val="000000"/>
          <w:kern w:val="0"/>
          <w:sz w:val="32"/>
          <w:szCs w:val="24"/>
          <w:highlight w:val="white"/>
          <w:lang w:val="en-US"/>
        </w:rPr>
        <w:t>第一部分</w:t>
      </w:r>
      <w:r>
        <w:rPr>
          <w:rFonts w:hint="eastAsia" w:ascii="黑体" w:hAnsi="黑体" w:eastAsia="黑体"/>
          <w:color w:val="000000"/>
          <w:kern w:val="0"/>
          <w:sz w:val="32"/>
          <w:szCs w:val="24"/>
          <w:highlight w:val="white"/>
          <w:lang w:val="en-US" w:eastAsia="zh-CN"/>
        </w:rPr>
        <w:t xml:space="preserve">  </w:t>
      </w:r>
      <w:r>
        <w:rPr>
          <w:rFonts w:hint="eastAsia" w:ascii="黑体" w:hAnsi="黑体" w:eastAsia="黑体"/>
          <w:color w:val="auto"/>
          <w:sz w:val="32"/>
          <w:szCs w:val="24"/>
          <w:highlight w:val="white"/>
          <w:lang w:val="zh-CN"/>
        </w:rPr>
        <w:t>益阳市赫山区发展和改革局单位</w:t>
      </w:r>
      <w:r>
        <w:rPr>
          <w:rFonts w:hint="eastAsia" w:ascii="黑体" w:hAnsi="黑体" w:eastAsia="黑体"/>
          <w:color w:val="000000"/>
          <w:kern w:val="0"/>
          <w:sz w:val="32"/>
          <w:szCs w:val="24"/>
          <w:highlight w:val="white"/>
          <w:lang w:val="en-US"/>
        </w:rPr>
        <w:t>概况</w:t>
      </w:r>
    </w:p>
    <w:p>
      <w:pPr>
        <w:spacing w:beforeLines="0" w:afterLines="0" w:line="520" w:lineRule="exact"/>
        <w:ind w:firstLine="700"/>
        <w:jc w:val="left"/>
        <w:rPr>
          <w:rFonts w:hint="eastAsia" w:ascii="楷体" w:hAnsi="楷体" w:eastAsia="楷体"/>
          <w:color w:val="000000"/>
          <w:kern w:val="0"/>
          <w:sz w:val="32"/>
          <w:szCs w:val="24"/>
          <w:highlight w:val="white"/>
          <w:lang w:val="en-US"/>
        </w:rPr>
      </w:pPr>
      <w:r>
        <w:rPr>
          <w:rFonts w:hint="eastAsia" w:ascii="楷体" w:hAnsi="楷体" w:eastAsia="楷体"/>
          <w:color w:val="000000"/>
          <w:kern w:val="0"/>
          <w:sz w:val="32"/>
          <w:szCs w:val="24"/>
          <w:highlight w:val="white"/>
          <w:lang w:val="en-US"/>
        </w:rPr>
        <w:t>一、部门职责</w:t>
      </w:r>
    </w:p>
    <w:p>
      <w:pPr>
        <w:spacing w:beforeLines="0" w:afterLines="0" w:line="520" w:lineRule="exact"/>
        <w:ind w:firstLine="700"/>
        <w:jc w:val="left"/>
        <w:rPr>
          <w:rFonts w:hint="eastAsia" w:ascii="楷体" w:hAnsi="楷体" w:eastAsia="楷体"/>
          <w:color w:val="000000"/>
          <w:kern w:val="0"/>
          <w:sz w:val="32"/>
          <w:szCs w:val="24"/>
          <w:highlight w:val="white"/>
          <w:lang w:val="en-US"/>
        </w:rPr>
      </w:pPr>
      <w:r>
        <w:rPr>
          <w:rFonts w:hint="eastAsia" w:ascii="楷体" w:hAnsi="楷体" w:eastAsia="楷体"/>
          <w:color w:val="000000"/>
          <w:kern w:val="0"/>
          <w:sz w:val="32"/>
          <w:szCs w:val="24"/>
          <w:highlight w:val="white"/>
          <w:lang w:val="en-US"/>
        </w:rPr>
        <w:t>二、机构设置</w:t>
      </w:r>
    </w:p>
    <w:p>
      <w:pPr>
        <w:spacing w:beforeLines="0" w:afterLines="0" w:line="520" w:lineRule="exact"/>
        <w:ind w:firstLine="700"/>
        <w:jc w:val="left"/>
        <w:rPr>
          <w:rFonts w:hint="eastAsia" w:ascii="楷体" w:hAnsi="楷体" w:eastAsia="楷体"/>
          <w:color w:val="000000"/>
          <w:kern w:val="0"/>
          <w:sz w:val="32"/>
          <w:szCs w:val="24"/>
          <w:highlight w:val="white"/>
          <w:lang w:val="en-US" w:eastAsia="zh-CN"/>
        </w:rPr>
      </w:pPr>
      <w:r>
        <w:rPr>
          <w:rFonts w:hint="eastAsia" w:ascii="楷体" w:hAnsi="楷体" w:eastAsia="楷体"/>
          <w:color w:val="000000"/>
          <w:kern w:val="0"/>
          <w:sz w:val="32"/>
          <w:szCs w:val="24"/>
          <w:highlight w:val="white"/>
          <w:lang w:val="en-US" w:eastAsia="zh-CN"/>
        </w:rPr>
        <w:t>三、部门决算单位构成</w:t>
      </w:r>
    </w:p>
    <w:p>
      <w:pPr>
        <w:spacing w:beforeLines="0" w:afterLines="0" w:line="520" w:lineRule="exact"/>
        <w:ind w:firstLine="700"/>
        <w:jc w:val="left"/>
        <w:rPr>
          <w:rFonts w:hint="eastAsia" w:ascii="仿宋" w:hAnsi="仿宋" w:eastAsia="仿宋"/>
          <w:color w:val="000000"/>
          <w:kern w:val="0"/>
          <w:sz w:val="32"/>
          <w:szCs w:val="24"/>
          <w:highlight w:val="white"/>
          <w:lang w:val="en-US" w:eastAsia="zh-CN"/>
        </w:rPr>
      </w:pPr>
    </w:p>
    <w:p>
      <w:pPr>
        <w:spacing w:beforeLines="0" w:afterLines="0" w:line="520" w:lineRule="exact"/>
        <w:jc w:val="left"/>
        <w:rPr>
          <w:rFonts w:hint="eastAsia" w:ascii="黑体" w:hAnsi="黑体" w:eastAsia="黑体"/>
          <w:color w:val="000000"/>
          <w:kern w:val="0"/>
          <w:sz w:val="32"/>
          <w:szCs w:val="24"/>
          <w:highlight w:val="white"/>
          <w:lang w:val="en-US"/>
        </w:rPr>
      </w:pPr>
      <w:r>
        <w:rPr>
          <w:rFonts w:hint="eastAsia" w:ascii="黑体" w:hAnsi="黑体" w:eastAsia="黑体"/>
          <w:color w:val="000000"/>
          <w:kern w:val="0"/>
          <w:sz w:val="32"/>
          <w:szCs w:val="24"/>
          <w:highlight w:val="white"/>
          <w:lang w:val="en-US"/>
        </w:rPr>
        <w:t>第二部分</w:t>
      </w:r>
      <w:r>
        <w:rPr>
          <w:rFonts w:hint="eastAsia" w:ascii="黑体" w:hAnsi="黑体" w:eastAsia="黑体"/>
          <w:color w:val="000000"/>
          <w:kern w:val="0"/>
          <w:sz w:val="32"/>
          <w:szCs w:val="24"/>
          <w:highlight w:val="white"/>
          <w:lang w:val="en-US" w:eastAsia="zh-CN"/>
        </w:rPr>
        <w:t xml:space="preserve">  </w:t>
      </w:r>
      <w:r>
        <w:rPr>
          <w:rFonts w:hint="eastAsia" w:ascii="黑体" w:hAnsi="黑体" w:eastAsia="黑体"/>
          <w:color w:val="000000"/>
          <w:kern w:val="0"/>
          <w:sz w:val="32"/>
          <w:szCs w:val="24"/>
          <w:highlight w:val="white"/>
          <w:lang w:val="zh-CN"/>
        </w:rPr>
        <w:t>益阳市赫山区发展和改革局</w:t>
      </w:r>
      <w:r>
        <w:rPr>
          <w:rFonts w:hint="eastAsia" w:ascii="黑体" w:hAnsi="黑体" w:eastAsia="黑体"/>
          <w:color w:val="000000"/>
          <w:kern w:val="0"/>
          <w:sz w:val="32"/>
          <w:szCs w:val="24"/>
          <w:highlight w:val="white"/>
          <w:lang w:val="en-US"/>
        </w:rPr>
        <w:t>2019年度部门决算表</w:t>
      </w:r>
    </w:p>
    <w:p>
      <w:pPr>
        <w:spacing w:beforeLines="0" w:afterLines="0" w:line="520" w:lineRule="exact"/>
        <w:ind w:firstLine="700"/>
        <w:jc w:val="left"/>
        <w:rPr>
          <w:rFonts w:hint="eastAsia" w:ascii="楷体" w:hAnsi="楷体" w:eastAsia="楷体"/>
          <w:color w:val="000000"/>
          <w:kern w:val="0"/>
          <w:sz w:val="32"/>
          <w:szCs w:val="24"/>
          <w:highlight w:val="white"/>
          <w:lang w:val="en-US"/>
        </w:rPr>
      </w:pPr>
      <w:r>
        <w:rPr>
          <w:rFonts w:hint="eastAsia" w:ascii="楷体" w:hAnsi="楷体" w:eastAsia="楷体"/>
          <w:color w:val="000000"/>
          <w:kern w:val="0"/>
          <w:sz w:val="32"/>
          <w:szCs w:val="24"/>
          <w:highlight w:val="white"/>
          <w:lang w:val="en-US"/>
        </w:rPr>
        <w:t>一、收入支出决算总表</w:t>
      </w:r>
    </w:p>
    <w:p>
      <w:pPr>
        <w:spacing w:beforeLines="0" w:afterLines="0" w:line="520" w:lineRule="exact"/>
        <w:ind w:firstLine="700"/>
        <w:jc w:val="left"/>
        <w:rPr>
          <w:rFonts w:hint="eastAsia" w:ascii="楷体" w:hAnsi="楷体" w:eastAsia="楷体"/>
          <w:color w:val="000000"/>
          <w:kern w:val="0"/>
          <w:sz w:val="32"/>
          <w:szCs w:val="24"/>
          <w:highlight w:val="white"/>
          <w:lang w:val="en-US"/>
        </w:rPr>
      </w:pPr>
      <w:r>
        <w:rPr>
          <w:rFonts w:hint="eastAsia" w:ascii="楷体" w:hAnsi="楷体" w:eastAsia="楷体"/>
          <w:color w:val="000000"/>
          <w:kern w:val="0"/>
          <w:sz w:val="32"/>
          <w:szCs w:val="24"/>
          <w:highlight w:val="white"/>
          <w:lang w:val="en-US"/>
        </w:rPr>
        <w:t>二、收入决算表</w:t>
      </w:r>
    </w:p>
    <w:p>
      <w:pPr>
        <w:spacing w:beforeLines="0" w:afterLines="0" w:line="520" w:lineRule="exact"/>
        <w:ind w:firstLine="700"/>
        <w:jc w:val="left"/>
        <w:rPr>
          <w:rFonts w:hint="eastAsia" w:ascii="楷体" w:hAnsi="楷体" w:eastAsia="楷体"/>
          <w:color w:val="000000"/>
          <w:kern w:val="0"/>
          <w:sz w:val="32"/>
          <w:szCs w:val="24"/>
          <w:highlight w:val="white"/>
          <w:lang w:val="en-US"/>
        </w:rPr>
      </w:pPr>
      <w:r>
        <w:rPr>
          <w:rFonts w:hint="eastAsia" w:ascii="楷体" w:hAnsi="楷体" w:eastAsia="楷体"/>
          <w:color w:val="000000"/>
          <w:kern w:val="0"/>
          <w:sz w:val="32"/>
          <w:szCs w:val="24"/>
          <w:highlight w:val="white"/>
          <w:lang w:val="en-US"/>
        </w:rPr>
        <w:t>三、支出决算表</w:t>
      </w:r>
    </w:p>
    <w:p>
      <w:pPr>
        <w:spacing w:beforeLines="0" w:afterLines="0" w:line="520" w:lineRule="exact"/>
        <w:ind w:firstLine="700"/>
        <w:jc w:val="left"/>
        <w:rPr>
          <w:rFonts w:hint="eastAsia" w:ascii="楷体" w:hAnsi="楷体" w:eastAsia="楷体"/>
          <w:color w:val="000000"/>
          <w:kern w:val="0"/>
          <w:sz w:val="32"/>
          <w:szCs w:val="24"/>
          <w:highlight w:val="white"/>
          <w:lang w:val="en-US"/>
        </w:rPr>
      </w:pPr>
      <w:r>
        <w:rPr>
          <w:rFonts w:hint="eastAsia" w:ascii="楷体" w:hAnsi="楷体" w:eastAsia="楷体"/>
          <w:color w:val="000000"/>
          <w:kern w:val="0"/>
          <w:sz w:val="32"/>
          <w:szCs w:val="24"/>
          <w:highlight w:val="white"/>
          <w:lang w:val="en-US"/>
        </w:rPr>
        <w:t>四、财政拨款收入支出决算总表</w:t>
      </w:r>
    </w:p>
    <w:p>
      <w:pPr>
        <w:spacing w:beforeLines="0" w:afterLines="0" w:line="520" w:lineRule="exact"/>
        <w:ind w:firstLine="700"/>
        <w:jc w:val="left"/>
        <w:rPr>
          <w:rFonts w:hint="eastAsia" w:ascii="楷体" w:hAnsi="楷体" w:eastAsia="楷体"/>
          <w:color w:val="000000"/>
          <w:kern w:val="0"/>
          <w:sz w:val="32"/>
          <w:szCs w:val="24"/>
          <w:highlight w:val="white"/>
          <w:lang w:val="en-US"/>
        </w:rPr>
      </w:pPr>
      <w:r>
        <w:rPr>
          <w:rFonts w:hint="eastAsia" w:ascii="楷体" w:hAnsi="楷体" w:eastAsia="楷体"/>
          <w:color w:val="000000"/>
          <w:kern w:val="0"/>
          <w:sz w:val="32"/>
          <w:szCs w:val="24"/>
          <w:highlight w:val="white"/>
          <w:lang w:val="en-US"/>
        </w:rPr>
        <w:t>五、一般公共预算财政拨款支出决算表</w:t>
      </w:r>
    </w:p>
    <w:p>
      <w:pPr>
        <w:spacing w:beforeLines="0" w:afterLines="0" w:line="520" w:lineRule="exact"/>
        <w:ind w:firstLine="700"/>
        <w:jc w:val="left"/>
        <w:rPr>
          <w:rFonts w:hint="eastAsia" w:ascii="楷体" w:hAnsi="楷体" w:eastAsia="楷体"/>
          <w:color w:val="000000"/>
          <w:kern w:val="0"/>
          <w:sz w:val="32"/>
          <w:szCs w:val="24"/>
          <w:highlight w:val="white"/>
          <w:lang w:val="en-US"/>
        </w:rPr>
      </w:pPr>
      <w:r>
        <w:rPr>
          <w:rFonts w:hint="eastAsia" w:ascii="楷体" w:hAnsi="楷体" w:eastAsia="楷体"/>
          <w:color w:val="000000"/>
          <w:kern w:val="0"/>
          <w:sz w:val="32"/>
          <w:szCs w:val="24"/>
          <w:highlight w:val="white"/>
          <w:lang w:val="en-US"/>
        </w:rPr>
        <w:t>六、一般公共预算财政拨款基本支出决算表</w:t>
      </w:r>
    </w:p>
    <w:p>
      <w:pPr>
        <w:spacing w:beforeLines="0" w:afterLines="0" w:line="520" w:lineRule="exact"/>
        <w:ind w:firstLine="700"/>
        <w:jc w:val="left"/>
        <w:rPr>
          <w:rFonts w:hint="eastAsia" w:ascii="楷体" w:hAnsi="楷体" w:eastAsia="楷体"/>
          <w:color w:val="000000"/>
          <w:kern w:val="0"/>
          <w:sz w:val="32"/>
          <w:szCs w:val="24"/>
          <w:highlight w:val="white"/>
          <w:lang w:val="en-US"/>
        </w:rPr>
      </w:pPr>
      <w:r>
        <w:rPr>
          <w:rFonts w:hint="eastAsia" w:ascii="楷体" w:hAnsi="楷体" w:eastAsia="楷体"/>
          <w:color w:val="000000"/>
          <w:kern w:val="0"/>
          <w:sz w:val="32"/>
          <w:szCs w:val="24"/>
          <w:highlight w:val="white"/>
          <w:lang w:val="en-US"/>
        </w:rPr>
        <w:t>七、一般公共预算财政拨款“三公”经费支出决算表</w:t>
      </w:r>
    </w:p>
    <w:p>
      <w:pPr>
        <w:spacing w:beforeLines="0" w:afterLines="0" w:line="520" w:lineRule="exact"/>
        <w:ind w:firstLine="700"/>
        <w:jc w:val="left"/>
        <w:rPr>
          <w:rFonts w:hint="eastAsia" w:ascii="楷体" w:hAnsi="楷体" w:eastAsia="楷体"/>
          <w:color w:val="000000"/>
          <w:kern w:val="0"/>
          <w:sz w:val="32"/>
          <w:szCs w:val="24"/>
          <w:highlight w:val="white"/>
          <w:lang w:val="en-US"/>
        </w:rPr>
      </w:pPr>
      <w:r>
        <w:rPr>
          <w:rFonts w:hint="eastAsia" w:ascii="楷体" w:hAnsi="楷体" w:eastAsia="楷体"/>
          <w:color w:val="000000"/>
          <w:kern w:val="0"/>
          <w:sz w:val="32"/>
          <w:szCs w:val="24"/>
          <w:highlight w:val="white"/>
          <w:lang w:val="en-US"/>
        </w:rPr>
        <w:t>八、政府性基金预算财政拨款收入支出决算表</w:t>
      </w:r>
    </w:p>
    <w:p>
      <w:pPr>
        <w:spacing w:beforeLines="0" w:afterLines="0" w:line="520" w:lineRule="exact"/>
        <w:ind w:firstLine="700"/>
        <w:jc w:val="left"/>
        <w:rPr>
          <w:rFonts w:hint="eastAsia" w:ascii="仿宋" w:hAnsi="仿宋" w:eastAsia="仿宋"/>
          <w:color w:val="000000"/>
          <w:kern w:val="0"/>
          <w:sz w:val="32"/>
          <w:szCs w:val="24"/>
          <w:highlight w:val="white"/>
          <w:lang w:val="en-US"/>
        </w:rPr>
      </w:pPr>
    </w:p>
    <w:p>
      <w:pPr>
        <w:spacing w:beforeLines="0" w:afterLines="0" w:line="520" w:lineRule="exact"/>
        <w:jc w:val="left"/>
        <w:rPr>
          <w:rFonts w:hint="eastAsia" w:ascii="黑体" w:hAnsi="黑体" w:eastAsia="黑体"/>
          <w:color w:val="000000"/>
          <w:kern w:val="0"/>
          <w:sz w:val="32"/>
          <w:szCs w:val="24"/>
          <w:highlight w:val="white"/>
          <w:lang w:val="en-US"/>
        </w:rPr>
      </w:pPr>
      <w:r>
        <w:rPr>
          <w:rFonts w:hint="eastAsia" w:ascii="黑体" w:hAnsi="黑体" w:eastAsia="黑体"/>
          <w:color w:val="000000"/>
          <w:kern w:val="0"/>
          <w:sz w:val="32"/>
          <w:szCs w:val="24"/>
          <w:highlight w:val="white"/>
          <w:lang w:val="en-US"/>
        </w:rPr>
        <w:t>第三部分</w:t>
      </w:r>
      <w:r>
        <w:rPr>
          <w:rFonts w:hint="eastAsia" w:ascii="黑体" w:hAnsi="黑体" w:eastAsia="黑体"/>
          <w:color w:val="000000"/>
          <w:kern w:val="0"/>
          <w:sz w:val="32"/>
          <w:szCs w:val="24"/>
          <w:highlight w:val="white"/>
          <w:lang w:val="en-US" w:eastAsia="zh-CN"/>
        </w:rPr>
        <w:t xml:space="preserve">  </w:t>
      </w:r>
      <w:r>
        <w:rPr>
          <w:rFonts w:hint="eastAsia" w:ascii="黑体" w:hAnsi="黑体" w:eastAsia="黑体"/>
          <w:color w:val="000000"/>
          <w:kern w:val="0"/>
          <w:sz w:val="32"/>
          <w:szCs w:val="24"/>
          <w:highlight w:val="white"/>
          <w:lang w:val="zh-CN"/>
        </w:rPr>
        <w:t>益阳市赫山区发展和改革局</w:t>
      </w:r>
      <w:r>
        <w:rPr>
          <w:rFonts w:hint="eastAsia" w:ascii="黑体" w:hAnsi="黑体" w:eastAsia="黑体"/>
          <w:color w:val="000000"/>
          <w:kern w:val="0"/>
          <w:sz w:val="32"/>
          <w:szCs w:val="24"/>
          <w:highlight w:val="white"/>
          <w:lang w:val="en-US"/>
        </w:rPr>
        <w:t>2019年度部门决算情况说明</w:t>
      </w:r>
    </w:p>
    <w:p>
      <w:pPr>
        <w:spacing w:beforeLines="0" w:afterLines="0" w:line="520" w:lineRule="exact"/>
        <w:ind w:firstLine="700"/>
        <w:jc w:val="left"/>
        <w:rPr>
          <w:rFonts w:hint="eastAsia" w:ascii="楷体" w:hAnsi="楷体" w:eastAsia="楷体"/>
          <w:color w:val="000000"/>
          <w:kern w:val="0"/>
          <w:sz w:val="32"/>
          <w:szCs w:val="24"/>
          <w:highlight w:val="white"/>
          <w:lang w:val="en-US"/>
        </w:rPr>
      </w:pPr>
      <w:r>
        <w:rPr>
          <w:rFonts w:hint="eastAsia" w:ascii="楷体" w:hAnsi="楷体" w:eastAsia="楷体"/>
          <w:color w:val="000000"/>
          <w:kern w:val="0"/>
          <w:sz w:val="32"/>
          <w:szCs w:val="24"/>
          <w:highlight w:val="white"/>
          <w:lang w:val="en-US"/>
        </w:rPr>
        <w:t>一、收入支出决算总体情况说明</w:t>
      </w:r>
    </w:p>
    <w:p>
      <w:pPr>
        <w:spacing w:beforeLines="0" w:afterLines="0" w:line="520" w:lineRule="exact"/>
        <w:ind w:firstLine="700"/>
        <w:jc w:val="left"/>
        <w:rPr>
          <w:rFonts w:hint="eastAsia" w:ascii="楷体" w:hAnsi="楷体" w:eastAsia="楷体"/>
          <w:color w:val="auto"/>
          <w:sz w:val="32"/>
          <w:szCs w:val="24"/>
          <w:highlight w:val="white"/>
          <w:lang w:val="en-US"/>
        </w:rPr>
      </w:pPr>
      <w:r>
        <w:rPr>
          <w:rFonts w:hint="eastAsia" w:ascii="楷体" w:hAnsi="楷体" w:eastAsia="楷体"/>
          <w:color w:val="auto"/>
          <w:sz w:val="32"/>
          <w:szCs w:val="24"/>
          <w:highlight w:val="white"/>
          <w:lang w:val="en-US"/>
        </w:rPr>
        <w:t>二、收入决算情况说明</w:t>
      </w:r>
    </w:p>
    <w:p>
      <w:pPr>
        <w:spacing w:beforeLines="0" w:afterLines="0" w:line="520" w:lineRule="exact"/>
        <w:ind w:firstLine="700"/>
        <w:jc w:val="left"/>
        <w:rPr>
          <w:rFonts w:hint="eastAsia" w:ascii="楷体" w:hAnsi="楷体" w:eastAsia="楷体"/>
          <w:color w:val="000000"/>
          <w:kern w:val="0"/>
          <w:sz w:val="32"/>
          <w:szCs w:val="24"/>
          <w:highlight w:val="white"/>
          <w:lang w:val="en-US"/>
        </w:rPr>
      </w:pPr>
      <w:r>
        <w:rPr>
          <w:rFonts w:hint="eastAsia" w:ascii="楷体" w:hAnsi="楷体" w:eastAsia="楷体"/>
          <w:color w:val="000000"/>
          <w:kern w:val="0"/>
          <w:sz w:val="32"/>
          <w:szCs w:val="24"/>
          <w:highlight w:val="white"/>
          <w:lang w:val="en-US"/>
        </w:rPr>
        <w:t>三、支出决算情况说明</w:t>
      </w:r>
    </w:p>
    <w:p>
      <w:pPr>
        <w:spacing w:beforeLines="0" w:afterLines="0" w:line="520" w:lineRule="exact"/>
        <w:ind w:firstLine="700"/>
        <w:jc w:val="left"/>
        <w:rPr>
          <w:rFonts w:hint="eastAsia" w:ascii="楷体" w:hAnsi="楷体" w:eastAsia="楷体"/>
          <w:color w:val="000000"/>
          <w:kern w:val="0"/>
          <w:sz w:val="32"/>
          <w:szCs w:val="24"/>
          <w:highlight w:val="white"/>
          <w:lang w:val="en-US"/>
        </w:rPr>
      </w:pPr>
      <w:r>
        <w:rPr>
          <w:rFonts w:hint="eastAsia" w:ascii="楷体" w:hAnsi="楷体" w:eastAsia="楷体"/>
          <w:color w:val="000000"/>
          <w:kern w:val="0"/>
          <w:sz w:val="32"/>
          <w:szCs w:val="24"/>
          <w:highlight w:val="white"/>
          <w:lang w:val="en-US"/>
        </w:rPr>
        <w:t>四、财政拨款收入支出决算总体情况说明</w:t>
      </w:r>
    </w:p>
    <w:p>
      <w:pPr>
        <w:spacing w:beforeLines="0" w:afterLines="0" w:line="520" w:lineRule="exact"/>
        <w:ind w:firstLine="700"/>
        <w:jc w:val="left"/>
        <w:rPr>
          <w:rFonts w:hint="eastAsia" w:ascii="楷体" w:hAnsi="楷体" w:eastAsia="楷体"/>
          <w:color w:val="000000"/>
          <w:kern w:val="0"/>
          <w:sz w:val="32"/>
          <w:szCs w:val="24"/>
          <w:highlight w:val="white"/>
          <w:lang w:val="en-US"/>
        </w:rPr>
      </w:pPr>
      <w:r>
        <w:rPr>
          <w:rFonts w:hint="eastAsia" w:ascii="楷体" w:hAnsi="楷体" w:eastAsia="楷体"/>
          <w:color w:val="000000"/>
          <w:kern w:val="0"/>
          <w:sz w:val="32"/>
          <w:szCs w:val="24"/>
          <w:highlight w:val="white"/>
          <w:lang w:val="en-US"/>
        </w:rPr>
        <w:t>五、一般公共预算财政拨款支出决算情况说明</w:t>
      </w:r>
    </w:p>
    <w:p>
      <w:pPr>
        <w:spacing w:beforeLines="0" w:afterLines="0" w:line="520" w:lineRule="exact"/>
        <w:ind w:firstLine="700"/>
        <w:jc w:val="left"/>
        <w:rPr>
          <w:rFonts w:hint="eastAsia" w:ascii="楷体" w:hAnsi="楷体" w:eastAsia="楷体"/>
          <w:color w:val="000000"/>
          <w:kern w:val="0"/>
          <w:sz w:val="32"/>
          <w:szCs w:val="24"/>
          <w:highlight w:val="white"/>
          <w:lang w:val="en-US"/>
        </w:rPr>
      </w:pPr>
      <w:r>
        <w:rPr>
          <w:rFonts w:hint="eastAsia" w:ascii="楷体" w:hAnsi="楷体" w:eastAsia="楷体"/>
          <w:color w:val="000000"/>
          <w:kern w:val="0"/>
          <w:sz w:val="32"/>
          <w:szCs w:val="24"/>
          <w:highlight w:val="white"/>
          <w:lang w:val="en-US"/>
        </w:rPr>
        <w:t>六、一般公共预算财政拨款基本支出决算情况说明</w:t>
      </w:r>
    </w:p>
    <w:p>
      <w:pPr>
        <w:spacing w:beforeLines="0" w:afterLines="0" w:line="520" w:lineRule="exact"/>
        <w:ind w:firstLine="700"/>
        <w:jc w:val="left"/>
        <w:rPr>
          <w:rFonts w:hint="eastAsia" w:ascii="楷体" w:hAnsi="楷体" w:eastAsia="楷体"/>
          <w:color w:val="000000"/>
          <w:kern w:val="0"/>
          <w:sz w:val="32"/>
          <w:szCs w:val="24"/>
          <w:highlight w:val="white"/>
          <w:lang w:val="en-US"/>
        </w:rPr>
      </w:pPr>
      <w:r>
        <w:rPr>
          <w:rFonts w:hint="eastAsia" w:ascii="楷体" w:hAnsi="楷体" w:eastAsia="楷体"/>
          <w:color w:val="000000"/>
          <w:kern w:val="0"/>
          <w:sz w:val="32"/>
          <w:szCs w:val="24"/>
          <w:highlight w:val="white"/>
          <w:lang w:val="en-US" w:eastAsia="zh-CN"/>
        </w:rPr>
        <w:t>七</w:t>
      </w:r>
      <w:r>
        <w:rPr>
          <w:rFonts w:hint="eastAsia" w:ascii="楷体" w:hAnsi="楷体" w:eastAsia="楷体"/>
          <w:color w:val="000000"/>
          <w:kern w:val="0"/>
          <w:sz w:val="32"/>
          <w:szCs w:val="24"/>
          <w:highlight w:val="white"/>
          <w:lang w:val="en-US"/>
        </w:rPr>
        <w:t>、政府性基金预算</w:t>
      </w:r>
      <w:r>
        <w:rPr>
          <w:rFonts w:hint="eastAsia" w:ascii="楷体" w:hAnsi="楷体" w:eastAsia="楷体"/>
          <w:color w:val="000000"/>
          <w:kern w:val="0"/>
          <w:sz w:val="32"/>
          <w:szCs w:val="24"/>
          <w:highlight w:val="white"/>
          <w:lang w:val="en-US" w:eastAsia="zh-CN"/>
        </w:rPr>
        <w:t>财政拨款</w:t>
      </w:r>
      <w:r>
        <w:rPr>
          <w:rFonts w:hint="eastAsia" w:ascii="楷体" w:hAnsi="楷体" w:eastAsia="楷体"/>
          <w:color w:val="000000"/>
          <w:kern w:val="0"/>
          <w:sz w:val="32"/>
          <w:szCs w:val="24"/>
          <w:highlight w:val="white"/>
          <w:lang w:val="en-US"/>
        </w:rPr>
        <w:t>收入支出决算情况</w:t>
      </w:r>
    </w:p>
    <w:p>
      <w:pPr>
        <w:spacing w:beforeLines="0" w:afterLines="0" w:line="520" w:lineRule="exact"/>
        <w:ind w:firstLine="700"/>
        <w:jc w:val="left"/>
        <w:rPr>
          <w:rFonts w:hint="eastAsia" w:ascii="楷体" w:hAnsi="楷体" w:eastAsia="楷体"/>
          <w:color w:val="000000"/>
          <w:kern w:val="0"/>
          <w:sz w:val="32"/>
          <w:szCs w:val="24"/>
          <w:highlight w:val="white"/>
          <w:lang w:val="en-US"/>
        </w:rPr>
      </w:pPr>
      <w:r>
        <w:rPr>
          <w:rFonts w:hint="eastAsia" w:ascii="楷体" w:hAnsi="楷体" w:eastAsia="楷体"/>
          <w:color w:val="000000"/>
          <w:kern w:val="0"/>
          <w:sz w:val="32"/>
          <w:szCs w:val="24"/>
          <w:highlight w:val="white"/>
          <w:lang w:val="en-US" w:eastAsia="zh-CN"/>
        </w:rPr>
        <w:t>八</w:t>
      </w:r>
      <w:r>
        <w:rPr>
          <w:rFonts w:hint="eastAsia" w:ascii="楷体" w:hAnsi="楷体" w:eastAsia="楷体"/>
          <w:color w:val="000000"/>
          <w:kern w:val="0"/>
          <w:sz w:val="32"/>
          <w:szCs w:val="24"/>
          <w:highlight w:val="white"/>
          <w:lang w:val="en-US"/>
        </w:rPr>
        <w:t>、一般公共预算财政拨款</w:t>
      </w:r>
      <w:r>
        <w:rPr>
          <w:rFonts w:hint="eastAsia" w:ascii="楷体" w:hAnsi="楷体" w:eastAsia="楷体"/>
          <w:color w:val="000000"/>
          <w:kern w:val="0"/>
          <w:sz w:val="32"/>
          <w:szCs w:val="24"/>
          <w:highlight w:val="white"/>
          <w:lang w:val="en-US" w:eastAsia="zh-CN"/>
        </w:rPr>
        <w:t>“</w:t>
      </w:r>
      <w:r>
        <w:rPr>
          <w:rFonts w:hint="eastAsia" w:ascii="楷体" w:hAnsi="楷体" w:eastAsia="楷体"/>
          <w:color w:val="000000"/>
          <w:kern w:val="0"/>
          <w:sz w:val="32"/>
          <w:szCs w:val="24"/>
          <w:highlight w:val="white"/>
          <w:lang w:val="en-US"/>
        </w:rPr>
        <w:t>三公</w:t>
      </w:r>
      <w:r>
        <w:rPr>
          <w:rFonts w:hint="eastAsia" w:ascii="楷体" w:hAnsi="楷体" w:eastAsia="楷体"/>
          <w:color w:val="000000"/>
          <w:kern w:val="0"/>
          <w:sz w:val="32"/>
          <w:szCs w:val="24"/>
          <w:highlight w:val="white"/>
          <w:lang w:val="en-US" w:eastAsia="zh-CN"/>
        </w:rPr>
        <w:t>”</w:t>
      </w:r>
      <w:r>
        <w:rPr>
          <w:rFonts w:hint="eastAsia" w:ascii="楷体" w:hAnsi="楷体" w:eastAsia="楷体"/>
          <w:color w:val="000000"/>
          <w:kern w:val="0"/>
          <w:sz w:val="32"/>
          <w:szCs w:val="24"/>
          <w:highlight w:val="white"/>
          <w:lang w:val="en-US"/>
        </w:rPr>
        <w:t>经费支出决算情况说明</w:t>
      </w:r>
    </w:p>
    <w:p>
      <w:pPr>
        <w:spacing w:beforeLines="0" w:afterLines="0" w:line="520" w:lineRule="exact"/>
        <w:ind w:firstLine="700"/>
        <w:jc w:val="left"/>
        <w:rPr>
          <w:rFonts w:hint="eastAsia" w:ascii="楷体" w:hAnsi="楷体" w:eastAsia="楷体"/>
          <w:color w:val="000000"/>
          <w:kern w:val="0"/>
          <w:sz w:val="32"/>
          <w:szCs w:val="24"/>
          <w:highlight w:val="white"/>
          <w:lang w:val="en-US"/>
        </w:rPr>
      </w:pPr>
      <w:r>
        <w:rPr>
          <w:rFonts w:hint="eastAsia" w:ascii="楷体" w:hAnsi="楷体" w:eastAsia="楷体"/>
          <w:color w:val="000000"/>
          <w:kern w:val="0"/>
          <w:sz w:val="32"/>
          <w:szCs w:val="24"/>
          <w:highlight w:val="white"/>
          <w:lang w:val="en-US"/>
        </w:rPr>
        <w:t>九、预算绩效情况说明</w:t>
      </w:r>
    </w:p>
    <w:p>
      <w:pPr>
        <w:spacing w:beforeLines="0" w:afterLines="0" w:line="520" w:lineRule="exact"/>
        <w:ind w:firstLine="700"/>
        <w:jc w:val="left"/>
        <w:rPr>
          <w:rFonts w:hint="eastAsia" w:ascii="楷体" w:hAnsi="楷体" w:eastAsia="楷体"/>
          <w:color w:val="000000"/>
          <w:kern w:val="0"/>
          <w:sz w:val="32"/>
          <w:szCs w:val="24"/>
          <w:highlight w:val="white"/>
          <w:lang w:val="en-US"/>
        </w:rPr>
      </w:pPr>
      <w:r>
        <w:rPr>
          <w:rFonts w:hint="eastAsia" w:ascii="楷体" w:hAnsi="楷体" w:eastAsia="楷体"/>
          <w:color w:val="000000"/>
          <w:kern w:val="0"/>
          <w:sz w:val="32"/>
          <w:szCs w:val="24"/>
          <w:highlight w:val="white"/>
          <w:lang w:val="en-US"/>
        </w:rPr>
        <w:t>十、其他重要事项情况说明</w:t>
      </w:r>
    </w:p>
    <w:p>
      <w:pPr>
        <w:spacing w:beforeLines="0" w:afterLines="0" w:line="520" w:lineRule="exact"/>
        <w:ind w:firstLine="700"/>
        <w:jc w:val="left"/>
        <w:rPr>
          <w:rFonts w:hint="eastAsia" w:ascii="仿宋" w:hAnsi="仿宋" w:eastAsia="仿宋"/>
          <w:color w:val="000000"/>
          <w:kern w:val="0"/>
          <w:sz w:val="32"/>
          <w:szCs w:val="24"/>
          <w:highlight w:val="white"/>
          <w:lang w:val="en-US"/>
        </w:rPr>
      </w:pPr>
    </w:p>
    <w:p>
      <w:pPr>
        <w:spacing w:beforeLines="0" w:afterLines="0" w:line="520" w:lineRule="exact"/>
        <w:rPr>
          <w:rFonts w:hint="eastAsia" w:ascii="黑体" w:hAnsi="黑体" w:eastAsia="黑体"/>
          <w:color w:val="000000"/>
          <w:kern w:val="0"/>
          <w:sz w:val="32"/>
          <w:szCs w:val="24"/>
          <w:highlight w:val="white"/>
          <w:lang w:val="en-US"/>
        </w:rPr>
      </w:pPr>
      <w:r>
        <w:rPr>
          <w:rFonts w:hint="eastAsia" w:ascii="黑体" w:hAnsi="黑体" w:eastAsia="黑体"/>
          <w:color w:val="000000"/>
          <w:kern w:val="0"/>
          <w:sz w:val="32"/>
          <w:szCs w:val="24"/>
          <w:highlight w:val="white"/>
          <w:lang w:val="en-US" w:eastAsia="zh-CN"/>
        </w:rPr>
        <w:t xml:space="preserve">第四部分  </w:t>
      </w:r>
      <w:r>
        <w:rPr>
          <w:rFonts w:hint="eastAsia" w:ascii="黑体" w:hAnsi="黑体" w:eastAsia="黑体"/>
          <w:color w:val="000000"/>
          <w:kern w:val="0"/>
          <w:sz w:val="32"/>
          <w:szCs w:val="24"/>
          <w:highlight w:val="white"/>
          <w:lang w:val="en-US"/>
        </w:rPr>
        <w:t>名词解释</w:t>
      </w:r>
    </w:p>
    <w:p>
      <w:pPr>
        <w:spacing w:beforeLines="0" w:afterLines="0" w:line="520" w:lineRule="exact"/>
        <w:rPr>
          <w:rFonts w:hint="eastAsia" w:ascii="黑体" w:hAnsi="黑体" w:eastAsia="黑体"/>
          <w:color w:val="000000"/>
          <w:kern w:val="0"/>
          <w:sz w:val="32"/>
          <w:szCs w:val="24"/>
          <w:highlight w:val="white"/>
          <w:lang w:val="en-US" w:eastAsia="zh-CN"/>
        </w:rPr>
      </w:pPr>
      <w:r>
        <w:rPr>
          <w:rFonts w:hint="eastAsia" w:ascii="黑体" w:hAnsi="黑体" w:eastAsia="黑体"/>
          <w:color w:val="000000"/>
          <w:kern w:val="0"/>
          <w:sz w:val="32"/>
          <w:szCs w:val="24"/>
          <w:highlight w:val="white"/>
          <w:lang w:val="en-US" w:eastAsia="zh-CN"/>
        </w:rPr>
        <w:t>第五部分  附 件</w:t>
      </w:r>
    </w:p>
    <w:p>
      <w:pPr>
        <w:numPr>
          <w:ilvl w:val="0"/>
          <w:numId w:val="0"/>
        </w:numPr>
        <w:spacing w:beforeLines="0" w:afterLines="0" w:line="520" w:lineRule="exact"/>
        <w:jc w:val="left"/>
        <w:rPr>
          <w:rFonts w:hint="eastAsia" w:ascii="黑体" w:hAnsi="黑体" w:eastAsia="黑体"/>
          <w:b/>
          <w:color w:val="000000"/>
          <w:kern w:val="0"/>
          <w:sz w:val="28"/>
          <w:szCs w:val="24"/>
          <w:highlight w:val="white"/>
          <w:lang w:val="en-US"/>
        </w:rPr>
      </w:pPr>
    </w:p>
    <w:p>
      <w:pPr>
        <w:numPr>
          <w:ilvl w:val="0"/>
          <w:numId w:val="0"/>
        </w:numPr>
        <w:spacing w:beforeLines="0" w:afterLines="0" w:line="520" w:lineRule="exact"/>
        <w:jc w:val="left"/>
        <w:rPr>
          <w:rFonts w:hint="eastAsia" w:ascii="黑体" w:hAnsi="黑体" w:eastAsia="黑体"/>
          <w:b/>
          <w:color w:val="000000"/>
          <w:kern w:val="0"/>
          <w:sz w:val="28"/>
          <w:szCs w:val="24"/>
          <w:highlight w:val="white"/>
          <w:lang w:val="en-US"/>
        </w:rPr>
      </w:pPr>
    </w:p>
    <w:p>
      <w:pPr>
        <w:numPr>
          <w:ilvl w:val="0"/>
          <w:numId w:val="0"/>
        </w:numPr>
        <w:spacing w:beforeLines="0" w:afterLines="0" w:line="520" w:lineRule="exact"/>
        <w:jc w:val="left"/>
        <w:rPr>
          <w:rFonts w:hint="eastAsia" w:ascii="黑体" w:hAnsi="黑体" w:eastAsia="黑体"/>
          <w:b/>
          <w:color w:val="000000"/>
          <w:kern w:val="0"/>
          <w:sz w:val="28"/>
          <w:szCs w:val="24"/>
          <w:highlight w:val="white"/>
          <w:lang w:val="en-US"/>
        </w:rPr>
      </w:pPr>
    </w:p>
    <w:p>
      <w:pPr>
        <w:numPr>
          <w:ilvl w:val="0"/>
          <w:numId w:val="0"/>
        </w:numPr>
        <w:spacing w:beforeLines="0" w:afterLines="0" w:line="520" w:lineRule="exact"/>
        <w:jc w:val="left"/>
        <w:rPr>
          <w:rFonts w:hint="eastAsia" w:ascii="黑体" w:hAnsi="黑体" w:eastAsia="黑体"/>
          <w:b/>
          <w:color w:val="000000"/>
          <w:kern w:val="0"/>
          <w:sz w:val="28"/>
          <w:szCs w:val="24"/>
          <w:highlight w:val="white"/>
          <w:lang w:val="en-US"/>
        </w:rPr>
      </w:pPr>
    </w:p>
    <w:p>
      <w:pPr>
        <w:numPr>
          <w:ilvl w:val="0"/>
          <w:numId w:val="0"/>
        </w:numPr>
        <w:spacing w:beforeLines="0" w:afterLines="0" w:line="520" w:lineRule="exact"/>
        <w:jc w:val="left"/>
        <w:rPr>
          <w:rFonts w:hint="eastAsia" w:ascii="黑体" w:hAnsi="黑体" w:eastAsia="黑体"/>
          <w:b/>
          <w:color w:val="000000"/>
          <w:kern w:val="0"/>
          <w:sz w:val="28"/>
          <w:szCs w:val="24"/>
          <w:highlight w:val="white"/>
          <w:lang w:val="en-US"/>
        </w:rPr>
      </w:pPr>
    </w:p>
    <w:p>
      <w:pPr>
        <w:numPr>
          <w:ilvl w:val="0"/>
          <w:numId w:val="0"/>
        </w:numPr>
        <w:spacing w:beforeLines="0" w:afterLines="0" w:line="520" w:lineRule="exact"/>
        <w:jc w:val="left"/>
        <w:rPr>
          <w:rFonts w:hint="eastAsia" w:ascii="黑体" w:hAnsi="黑体" w:eastAsia="黑体"/>
          <w:b/>
          <w:color w:val="000000"/>
          <w:kern w:val="0"/>
          <w:sz w:val="28"/>
          <w:szCs w:val="24"/>
          <w:highlight w:val="white"/>
          <w:lang w:val="en-US"/>
        </w:rPr>
      </w:pPr>
    </w:p>
    <w:p>
      <w:pPr>
        <w:numPr>
          <w:ilvl w:val="0"/>
          <w:numId w:val="0"/>
        </w:numPr>
        <w:spacing w:beforeLines="0" w:afterLines="0" w:line="520" w:lineRule="exact"/>
        <w:jc w:val="left"/>
        <w:rPr>
          <w:rFonts w:hint="eastAsia" w:ascii="黑体" w:hAnsi="黑体" w:eastAsia="黑体"/>
          <w:b/>
          <w:color w:val="000000"/>
          <w:kern w:val="0"/>
          <w:sz w:val="28"/>
          <w:szCs w:val="24"/>
          <w:highlight w:val="white"/>
          <w:lang w:val="en-US"/>
        </w:rPr>
      </w:pPr>
    </w:p>
    <w:p>
      <w:pPr>
        <w:numPr>
          <w:ilvl w:val="0"/>
          <w:numId w:val="0"/>
        </w:numPr>
        <w:spacing w:beforeLines="0" w:afterLines="0" w:line="520" w:lineRule="exact"/>
        <w:jc w:val="left"/>
        <w:rPr>
          <w:rFonts w:hint="eastAsia" w:ascii="黑体" w:hAnsi="黑体" w:eastAsia="黑体"/>
          <w:b/>
          <w:color w:val="000000"/>
          <w:kern w:val="0"/>
          <w:sz w:val="28"/>
          <w:szCs w:val="24"/>
          <w:highlight w:val="white"/>
          <w:lang w:val="en-US"/>
        </w:rPr>
      </w:pPr>
    </w:p>
    <w:p>
      <w:pPr>
        <w:numPr>
          <w:ilvl w:val="0"/>
          <w:numId w:val="0"/>
        </w:numPr>
        <w:spacing w:beforeLines="0" w:afterLines="0" w:line="520" w:lineRule="exact"/>
        <w:jc w:val="left"/>
        <w:rPr>
          <w:rFonts w:hint="eastAsia" w:ascii="黑体" w:hAnsi="黑体" w:eastAsia="黑体"/>
          <w:b/>
          <w:color w:val="000000"/>
          <w:kern w:val="0"/>
          <w:sz w:val="28"/>
          <w:szCs w:val="24"/>
          <w:highlight w:val="white"/>
          <w:lang w:val="en-US"/>
        </w:rPr>
      </w:pPr>
    </w:p>
    <w:p>
      <w:pPr>
        <w:numPr>
          <w:ilvl w:val="0"/>
          <w:numId w:val="0"/>
        </w:numPr>
        <w:spacing w:beforeLines="0" w:afterLines="0" w:line="520" w:lineRule="exact"/>
        <w:jc w:val="left"/>
        <w:rPr>
          <w:rFonts w:hint="eastAsia" w:ascii="黑体" w:hAnsi="黑体" w:eastAsia="黑体"/>
          <w:b/>
          <w:color w:val="000000"/>
          <w:kern w:val="0"/>
          <w:sz w:val="28"/>
          <w:szCs w:val="24"/>
          <w:highlight w:val="white"/>
          <w:lang w:val="en-US"/>
        </w:rPr>
      </w:pPr>
    </w:p>
    <w:p>
      <w:pPr>
        <w:numPr>
          <w:ilvl w:val="0"/>
          <w:numId w:val="0"/>
        </w:numPr>
        <w:spacing w:beforeLines="0" w:afterLines="0" w:line="520" w:lineRule="exact"/>
        <w:jc w:val="left"/>
        <w:rPr>
          <w:rFonts w:hint="eastAsia" w:ascii="黑体" w:hAnsi="黑体" w:eastAsia="黑体"/>
          <w:b/>
          <w:color w:val="000000"/>
          <w:kern w:val="0"/>
          <w:sz w:val="28"/>
          <w:szCs w:val="24"/>
          <w:highlight w:val="white"/>
          <w:lang w:val="en-US"/>
        </w:rPr>
      </w:pPr>
    </w:p>
    <w:p>
      <w:pPr>
        <w:numPr>
          <w:ilvl w:val="0"/>
          <w:numId w:val="0"/>
        </w:numPr>
        <w:spacing w:beforeLines="0" w:afterLines="0" w:line="520" w:lineRule="exact"/>
        <w:jc w:val="left"/>
        <w:rPr>
          <w:rFonts w:hint="eastAsia" w:ascii="黑体" w:hAnsi="黑体" w:eastAsia="黑体"/>
          <w:b/>
          <w:color w:val="000000"/>
          <w:kern w:val="0"/>
          <w:sz w:val="28"/>
          <w:szCs w:val="24"/>
          <w:highlight w:val="white"/>
          <w:lang w:val="en-US"/>
        </w:rPr>
      </w:pPr>
    </w:p>
    <w:p>
      <w:pPr>
        <w:numPr>
          <w:ilvl w:val="0"/>
          <w:numId w:val="0"/>
        </w:numPr>
        <w:spacing w:beforeLines="0" w:afterLines="0" w:line="520" w:lineRule="exact"/>
        <w:jc w:val="left"/>
        <w:rPr>
          <w:rFonts w:hint="eastAsia" w:ascii="黑体" w:hAnsi="黑体" w:eastAsia="黑体"/>
          <w:b/>
          <w:color w:val="000000"/>
          <w:kern w:val="0"/>
          <w:sz w:val="28"/>
          <w:szCs w:val="24"/>
          <w:highlight w:val="white"/>
          <w:lang w:val="en-US"/>
        </w:rPr>
      </w:pPr>
    </w:p>
    <w:p>
      <w:pPr>
        <w:numPr>
          <w:ilvl w:val="0"/>
          <w:numId w:val="0"/>
        </w:numPr>
        <w:spacing w:beforeLines="0" w:afterLines="0" w:line="520" w:lineRule="exact"/>
        <w:jc w:val="left"/>
        <w:rPr>
          <w:rFonts w:hint="eastAsia" w:ascii="黑体" w:hAnsi="黑体" w:eastAsia="黑体"/>
          <w:b/>
          <w:color w:val="000000"/>
          <w:kern w:val="0"/>
          <w:sz w:val="28"/>
          <w:szCs w:val="24"/>
          <w:highlight w:val="white"/>
          <w:lang w:val="en-US"/>
        </w:rPr>
      </w:pPr>
    </w:p>
    <w:p>
      <w:pPr>
        <w:numPr>
          <w:ilvl w:val="0"/>
          <w:numId w:val="0"/>
        </w:numPr>
        <w:spacing w:beforeLines="0" w:afterLines="0" w:line="520" w:lineRule="exact"/>
        <w:jc w:val="left"/>
        <w:rPr>
          <w:rFonts w:hint="eastAsia" w:ascii="黑体" w:hAnsi="黑体" w:eastAsia="黑体"/>
          <w:b/>
          <w:color w:val="000000"/>
          <w:kern w:val="0"/>
          <w:sz w:val="28"/>
          <w:szCs w:val="24"/>
          <w:highlight w:val="white"/>
          <w:lang w:val="en-US"/>
        </w:rPr>
      </w:pPr>
    </w:p>
    <w:p>
      <w:pPr>
        <w:numPr>
          <w:ilvl w:val="0"/>
          <w:numId w:val="0"/>
        </w:numPr>
        <w:spacing w:beforeLines="0" w:afterLines="0" w:line="520" w:lineRule="exact"/>
        <w:jc w:val="left"/>
        <w:rPr>
          <w:rFonts w:hint="eastAsia" w:ascii="黑体" w:hAnsi="黑体" w:eastAsia="黑体"/>
          <w:b/>
          <w:color w:val="000000"/>
          <w:kern w:val="0"/>
          <w:sz w:val="28"/>
          <w:szCs w:val="24"/>
          <w:highlight w:val="white"/>
          <w:lang w:val="en-US"/>
        </w:rPr>
      </w:pPr>
    </w:p>
    <w:p>
      <w:pPr>
        <w:keepNext/>
        <w:keepLines/>
        <w:spacing w:beforeLines="0" w:afterLines="0"/>
        <w:ind w:firstLine="640"/>
        <w:jc w:val="center"/>
        <w:rPr>
          <w:rFonts w:hint="eastAsia" w:ascii="黑体" w:hAnsi="黑体" w:eastAsia="黑体"/>
          <w:b/>
          <w:color w:val="auto"/>
          <w:sz w:val="32"/>
          <w:szCs w:val="24"/>
          <w:highlight w:val="white"/>
          <w:lang w:val="en-US"/>
        </w:rPr>
      </w:pPr>
      <w:r>
        <w:rPr>
          <w:rFonts w:hint="eastAsia" w:ascii="黑体" w:hAnsi="黑体" w:eastAsia="黑体"/>
          <w:b/>
          <w:color w:val="auto"/>
          <w:sz w:val="32"/>
          <w:szCs w:val="24"/>
          <w:highlight w:val="white"/>
          <w:lang w:val="en-US"/>
        </w:rPr>
        <w:t>第一部分</w:t>
      </w:r>
      <w:r>
        <w:rPr>
          <w:rFonts w:hint="eastAsia" w:ascii="黑体" w:hAnsi="黑体" w:eastAsia="黑体"/>
          <w:b/>
          <w:color w:val="auto"/>
          <w:sz w:val="32"/>
          <w:szCs w:val="24"/>
          <w:highlight w:val="white"/>
          <w:lang w:val="en-US" w:eastAsia="zh-CN"/>
        </w:rPr>
        <w:t xml:space="preserve">  </w:t>
      </w:r>
      <w:r>
        <w:rPr>
          <w:rFonts w:hint="eastAsia" w:ascii="黑体" w:hAnsi="黑体" w:eastAsia="黑体"/>
          <w:b/>
          <w:color w:val="auto"/>
          <w:sz w:val="32"/>
          <w:szCs w:val="24"/>
          <w:highlight w:val="white"/>
          <w:lang w:val="zh-CN"/>
        </w:rPr>
        <w:t>益阳市赫山区发展和改革局</w:t>
      </w:r>
      <w:r>
        <w:rPr>
          <w:rFonts w:hint="eastAsia" w:ascii="黑体" w:hAnsi="黑体" w:eastAsia="黑体"/>
          <w:b/>
          <w:color w:val="auto"/>
          <w:sz w:val="32"/>
          <w:szCs w:val="24"/>
          <w:highlight w:val="white"/>
          <w:lang w:val="en-US"/>
        </w:rPr>
        <w:t>概况</w:t>
      </w:r>
    </w:p>
    <w:p>
      <w:pPr>
        <w:keepNext/>
        <w:keepLines/>
        <w:spacing w:beforeLines="0" w:afterLines="0"/>
        <w:ind w:firstLine="640"/>
        <w:rPr>
          <w:rFonts w:hint="eastAsia" w:ascii="黑体" w:hAnsi="黑体" w:eastAsia="黑体"/>
          <w:color w:val="auto"/>
          <w:sz w:val="32"/>
          <w:szCs w:val="24"/>
          <w:highlight w:val="white"/>
          <w:lang w:val="en-US"/>
        </w:rPr>
      </w:pPr>
    </w:p>
    <w:p>
      <w:pPr>
        <w:keepNext/>
        <w:keepLines/>
        <w:spacing w:beforeLines="0" w:afterLines="0"/>
        <w:ind w:firstLine="640"/>
        <w:rPr>
          <w:rFonts w:hint="eastAsia" w:ascii="楷体" w:hAnsi="楷体" w:eastAsia="楷体"/>
          <w:b/>
          <w:color w:val="auto"/>
          <w:sz w:val="32"/>
          <w:szCs w:val="24"/>
          <w:highlight w:val="white"/>
          <w:lang w:val="en-US"/>
        </w:rPr>
      </w:pPr>
      <w:r>
        <w:rPr>
          <w:rFonts w:hint="eastAsia" w:ascii="楷体" w:hAnsi="楷体" w:eastAsia="楷体"/>
          <w:b/>
          <w:color w:val="auto"/>
          <w:sz w:val="32"/>
          <w:szCs w:val="24"/>
          <w:highlight w:val="white"/>
          <w:lang w:val="en-US"/>
        </w:rPr>
        <w:t>一、</w:t>
      </w:r>
      <w:r>
        <w:rPr>
          <w:rFonts w:hint="eastAsia" w:ascii="楷体" w:hAnsi="楷体" w:eastAsia="楷体"/>
          <w:b/>
          <w:color w:val="auto"/>
          <w:sz w:val="32"/>
          <w:szCs w:val="24"/>
          <w:highlight w:val="white"/>
          <w:lang w:val="zh-CN"/>
        </w:rPr>
        <w:t>部门职责</w:t>
      </w:r>
    </w:p>
    <w:p>
      <w:pPr>
        <w:widowControl w:val="0"/>
        <w:numPr>
          <w:ilvl w:val="0"/>
          <w:numId w:val="0"/>
        </w:numPr>
        <w:spacing w:beforeLines="0" w:afterLines="0" w:line="560" w:lineRule="exact"/>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益阳市赫山区发展和改革局位于益阳大道东415号，是赫山区人民政府工作部门，为正科级，对外加挂益阳市赫山区粮食和物资储备局牌子，主要工作职能包括：</w:t>
      </w:r>
    </w:p>
    <w:p>
      <w:pPr>
        <w:widowControl w:val="0"/>
        <w:numPr>
          <w:ilvl w:val="0"/>
          <w:numId w:val="0"/>
        </w:numPr>
        <w:spacing w:beforeLines="0" w:afterLines="0" w:line="560" w:lineRule="exact"/>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一）拟订并组织实施全区国民经济和社会发展战略、中长期规划和年度计划，统筹协调相关总体规划、区域规划与专项规划。提出全区国民经济发展、价格总水平调控和优化重大经济结构的目标、政策，提出综合运用各种经济手段和政策的建议，受区政府委托向区人民代表大会提交国民经济和社会发展计划的报告。</w:t>
      </w:r>
    </w:p>
    <w:p>
      <w:pPr>
        <w:widowControl w:val="0"/>
        <w:numPr>
          <w:ilvl w:val="0"/>
          <w:numId w:val="0"/>
        </w:numPr>
        <w:spacing w:beforeLines="0" w:afterLines="0" w:line="560" w:lineRule="exact"/>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（二）研究全区宏观经济运行、总量平衡、经济安全和总体产业安全等重要问题并提出宏观调控政策建议，协调解决经济运行中的重大问题，调节国民经济运行。</w:t>
      </w:r>
    </w:p>
    <w:p>
      <w:pPr>
        <w:widowControl w:val="0"/>
        <w:numPr>
          <w:ilvl w:val="0"/>
          <w:numId w:val="0"/>
        </w:numPr>
        <w:spacing w:beforeLines="0" w:afterLines="0" w:line="560" w:lineRule="exact"/>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（三）汇总社会资金总体运行情况，参与制定财政、金融、土地政策并综合分析政策执行效果。会同有关部门完善宏观调控协设机制，统筹推进产业、创业等投资基金的发展和制度建设。</w:t>
      </w:r>
    </w:p>
    <w:p>
      <w:pPr>
        <w:widowControl w:val="0"/>
        <w:numPr>
          <w:ilvl w:val="0"/>
          <w:numId w:val="0"/>
        </w:numPr>
        <w:spacing w:beforeLines="0" w:afterLines="0" w:line="560" w:lineRule="exact"/>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（四）指导推进和综合协调全区经济体制改革，研究全区经济体制改革和对外开放重大问题；组织拟订综合性经济体制改革方案，协调有关专项改革方案。</w:t>
      </w:r>
    </w:p>
    <w:p>
      <w:pPr>
        <w:widowControl w:val="0"/>
        <w:numPr>
          <w:ilvl w:val="0"/>
          <w:numId w:val="0"/>
        </w:numPr>
        <w:spacing w:beforeLines="0" w:afterLines="0" w:line="560" w:lineRule="exact"/>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五）拟订全区全社会固定资产投资总规模和投资结构的调控目标、政策及措施；统筹安排区级财政性基本建设资金和投资项目，编制下达政府投资年度计划；规划全区重大建设项目和生产力布局，按规定权限审批、核准、备案全区相关 建设、投资项目；研究提出全区利用外资和境外投资的战略、规划、总量平衡和结构优化的目标和政策；指导和监督国外贷款建设资金的使用，引导民间投资方向；牵头组织编制特重大自然灾害的灾后恢复重建规划，协调有关重大问题；研究提出区重点建设项目计划；负责政府投资项目代建制实施的指导、协调和监督管理；指导工程咨询业发展。</w:t>
      </w:r>
    </w:p>
    <w:p>
      <w:pPr>
        <w:widowControl w:val="0"/>
        <w:numPr>
          <w:ilvl w:val="0"/>
          <w:numId w:val="0"/>
        </w:numPr>
        <w:spacing w:beforeLines="0" w:afterLines="0" w:line="560" w:lineRule="exact"/>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六）组织拟订综合性产业政策，负责协调第一、二、三产业发展的重大问题并衔接平衡相关发展规划和重大政策，负责综合交通运输体系规划与国民经济和社会发展规划的衔接平衡；协调农业和农村经济社会发展的重大问题；负责制定发展战略性新兴产业规划，研究提出新型工业化和产业集群发展的政策措施；会同有关部门研究拟订高新技术产业、服务业发展规划和重大政策，实施高新技术产业发展的宏观指导，协调解决重大技术装备推广应用等方面的重大问题。</w:t>
      </w:r>
    </w:p>
    <w:p>
      <w:pPr>
        <w:widowControl w:val="0"/>
        <w:numPr>
          <w:ilvl w:val="0"/>
          <w:numId w:val="0"/>
        </w:numPr>
        <w:spacing w:beforeLines="0" w:afterLines="0" w:line="560" w:lineRule="exact"/>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七）贯彻落实国家中部崛起、长江经济带开发建设的政策措施，研究分析区域经济发展情况，组织编制区域规划、跨区县（市）城市群规划并协调实施；研究统筹推进洞庭湖生态经济区加快发展的战略、规划和重大政策。拟订全区以工代赈规划和计划；参与研究拟订全区城镇化发展战略和重大政策措施。拟订开发园区发展规划和政策；拟订对口支援工作规划和年度计划，并组织实施；承担区对口支援工作的统筹和协调。</w:t>
      </w:r>
    </w:p>
    <w:p>
      <w:pPr>
        <w:widowControl w:val="0"/>
        <w:numPr>
          <w:ilvl w:val="0"/>
          <w:numId w:val="0"/>
        </w:numPr>
        <w:spacing w:beforeLines="0" w:afterLines="0" w:line="560" w:lineRule="exact"/>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八）承担重要商品总量平衡和宏观调控，编制重要农产品、工业品和原材料进出口总量平衡计划并监督执行，根据经济运行情况对计划进行调整；拟定重要战略物资储备计划，负责组织收储、动用、轮换和管理，会同有关部门管理粮食、棉花和食糖等储备；牵头负责全区物流发展工作，拟订现代物流业发展战略、规划，协调物流业发展重大布局。</w:t>
      </w:r>
    </w:p>
    <w:p>
      <w:pPr>
        <w:widowControl w:val="0"/>
        <w:numPr>
          <w:ilvl w:val="0"/>
          <w:numId w:val="0"/>
        </w:numPr>
        <w:spacing w:beforeLines="0" w:afterLines="0" w:line="560" w:lineRule="exact"/>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九）贯彻执行粮食流通和物流储备管理的政策法规；制定并组织实施全区粮食产业发展规划；承担全区粮食流通宏观调控，落实国家粮食购销政策；研究提出全区级粮食和物资储备规划、储备品种目录建议，组织实施区级粮食、棉花、食糖等战略物资和救灾物资收储、轮换和日常管理；贯彻落实国家粮食和物资储备仓储管理有关技术标准和规范；负责粮食流通、加工行业安全生产的监督管理，承担区级粮食、棉花、食糖等物资承储企业安全的监管责任；拟订并组织实施全区粮食流通设施建设规划；负责粮食流通监督检查和粮食行政执法工作，负责粮食收购、储存、运输环节粮食质量安全和原粮卫生的监督管理，组织实施粮食库存检查工作；承担粮食安全省长责任制考核日常工作。</w:t>
      </w:r>
    </w:p>
    <w:p>
      <w:pPr>
        <w:widowControl w:val="0"/>
        <w:numPr>
          <w:ilvl w:val="0"/>
          <w:numId w:val="0"/>
        </w:numPr>
        <w:spacing w:beforeLines="0" w:afterLines="0" w:line="560" w:lineRule="exact"/>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十）负责社会发展与国民经济发展的政策衔接；组织拟订社会发展战略、总体规划和年度计划；拟订人口发展战略、规划及人口政策；参与拟订科学技术、教育、文化体育、卫生、民政等发展政策；统筹推进基本公共服务体系建设和收入分配制度改革；研究提出促进就业、完善社会保障与经济协调发展的政策建议；协调社会事业发展和改革中的重大问题及政策；参与推进深化医药卫生体制改革工作。</w:t>
      </w:r>
    </w:p>
    <w:p>
      <w:pPr>
        <w:widowControl w:val="0"/>
        <w:numPr>
          <w:ilvl w:val="0"/>
          <w:numId w:val="0"/>
        </w:numPr>
        <w:spacing w:beforeLines="0" w:afterLines="0" w:line="560" w:lineRule="exact"/>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十一）研究分析经济社会与资源、环境协调发展的重大问题，研究提出能源消费总量控制目标的建议，牵头拟订能源消费总量控制工作方案并组织实施；负责节能监管的综合协调工作，组织拟订循环经济发展、能源资源节约和综合利用规划、政策并协调实施；参与编制生态文明建设、环境保护规划，协调生态建设、能源资源节约和综合利用的重大问题，会同有关部门提出建议健全生态补偿机制的政策措施；综合协调节能环保产业和清洁生产促进有关工作；组织实施固定资产投资项目节能评估和审查。</w:t>
      </w:r>
    </w:p>
    <w:p>
      <w:pPr>
        <w:widowControl w:val="0"/>
        <w:numPr>
          <w:ilvl w:val="0"/>
          <w:numId w:val="0"/>
        </w:numPr>
        <w:spacing w:beforeLines="0" w:afterLines="0" w:line="560" w:lineRule="exact"/>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十二）研究提出全区能源发展战略、规划、产业政策并组织实施；监测能源发展状况，衔接能源生产建设和供需平衡；组织推进能源重大设备研发，指导能源科技进步、成套设备的引进消化创新，组织协调能源行业重大示范工程和推广应用能源行业新产品、新技术、新设备；规划能源重大建设项目布局，按权限核准、审核、申报和安排能源重大建设项目。</w:t>
      </w:r>
    </w:p>
    <w:p>
      <w:pPr>
        <w:widowControl w:val="0"/>
        <w:numPr>
          <w:ilvl w:val="0"/>
          <w:numId w:val="0"/>
        </w:numPr>
        <w:spacing w:beforeLines="0" w:afterLines="0" w:line="560" w:lineRule="exact"/>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十三）负责本行政区域内招投标活动的指导、协调、监督、管理，会同有关部门拟订招投标配套规定；依照投资管理权限核准建设项目的招标方式、招标组织形式、招标范围，对书面评标报告进行备案管理；负责重大建设项目建设过程中工程招投标的监督检查和工业项目招投标活动的监督执法；对全区招投标过程中各有关行政监督部门招投执法情况进行监督，对招标代理机构进行监督检查；依照权限对招投标活动中的违法行为进行行政处罚。</w:t>
      </w:r>
    </w:p>
    <w:p>
      <w:pPr>
        <w:widowControl w:val="0"/>
        <w:numPr>
          <w:ilvl w:val="0"/>
          <w:numId w:val="0"/>
        </w:numPr>
        <w:spacing w:beforeLines="0" w:afterLines="0" w:line="560" w:lineRule="exact"/>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十四）编制和执行全区价格改革规划，拟订并组织实施价格政策；监测、分析市场价格形势，组织实施价格总水平调控；管理国家、省、市列名管理的商品和服务价格（药品和医疗服务价格除外），监管实行市场调节价的商品和服务价格，承担行政事业性收费管理工作；负责价格调节基金管理，依法对重大自然灾害和特殊时期实施临时价格干预措施，负责价格公共服务工作；负责价格成本调查和监审；负责管理、监督价格认证工作。</w:t>
      </w:r>
    </w:p>
    <w:p>
      <w:pPr>
        <w:widowControl w:val="0"/>
        <w:numPr>
          <w:ilvl w:val="0"/>
          <w:numId w:val="0"/>
        </w:numPr>
        <w:spacing w:beforeLines="0" w:afterLines="0" w:line="560" w:lineRule="exact"/>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（十五）研究制定推进社会信用体系建设的规划和政策措施，统筹推进统一的信用信息平台建设，促进信用信息资源的整合与运用，协调社会信用体系建设中的重大问题。</w:t>
      </w:r>
    </w:p>
    <w:p>
      <w:pPr>
        <w:widowControl w:val="0"/>
        <w:numPr>
          <w:ilvl w:val="0"/>
          <w:numId w:val="0"/>
        </w:numPr>
        <w:spacing w:beforeLines="0" w:afterLines="0" w:line="560" w:lineRule="exact"/>
        <w:ind w:firstLine="640" w:firstLineChars="200"/>
        <w:rPr>
          <w:rFonts w:hint="eastAsia" w:ascii="仿宋" w:hAnsi="仿宋" w:eastAsia="仿宋"/>
          <w:sz w:val="32"/>
          <w:szCs w:val="24"/>
          <w:lang w:val="en-US" w:eastAsia="zh-CN"/>
        </w:rPr>
      </w:pPr>
      <w:r>
        <w:rPr>
          <w:rFonts w:hint="eastAsia" w:ascii="仿宋" w:hAnsi="仿宋" w:eastAsia="仿宋"/>
          <w:sz w:val="32"/>
          <w:szCs w:val="24"/>
          <w:lang w:val="en-US" w:eastAsia="zh-CN"/>
        </w:rPr>
        <w:t>（十六）研究拟订推进经济建设与国防建设协调发展的战略和规划，协调有关重大问题；组织编制全区国民经济动员和装备动员规划、计划，并组织实施有关工作。</w:t>
      </w:r>
    </w:p>
    <w:p>
      <w:pPr>
        <w:numPr>
          <w:ilvl w:val="0"/>
          <w:numId w:val="0"/>
        </w:numPr>
        <w:spacing w:beforeLines="0" w:afterLines="0"/>
        <w:ind w:firstLine="640" w:firstLineChars="200"/>
        <w:jc w:val="left"/>
        <w:outlineLvl w:val="2"/>
        <w:rPr>
          <w:rFonts w:hint="eastAsia" w:ascii="仿宋_GB2312" w:hAnsi="仿宋_GB2312" w:eastAsia="仿宋_GB2312"/>
          <w:sz w:val="32"/>
          <w:szCs w:val="24"/>
        </w:rPr>
      </w:pPr>
      <w:r>
        <w:rPr>
          <w:rFonts w:hint="eastAsia" w:ascii="仿宋_GB2312" w:hAnsi="仿宋_GB2312" w:eastAsia="仿宋_GB2312"/>
          <w:sz w:val="32"/>
          <w:szCs w:val="24"/>
          <w:lang w:eastAsia="zh-CN"/>
        </w:rPr>
        <w:t>（十七）</w:t>
      </w:r>
      <w:r>
        <w:rPr>
          <w:rFonts w:hint="eastAsia" w:ascii="仿宋_GB2312" w:hAnsi="仿宋_GB2312" w:eastAsia="仿宋_GB2312"/>
          <w:sz w:val="32"/>
          <w:szCs w:val="24"/>
        </w:rPr>
        <w:t>承办区人民政府交办的其他事项。</w:t>
      </w:r>
    </w:p>
    <w:p>
      <w:pPr>
        <w:keepNext/>
        <w:keepLines/>
        <w:spacing w:beforeLines="0" w:afterLines="0"/>
        <w:ind w:firstLine="640"/>
        <w:rPr>
          <w:rFonts w:hint="eastAsia" w:ascii="楷体" w:hAnsi="楷体" w:eastAsia="楷体"/>
          <w:b/>
          <w:color w:val="auto"/>
          <w:sz w:val="32"/>
          <w:szCs w:val="24"/>
          <w:highlight w:val="white"/>
          <w:lang w:val="en-US"/>
        </w:rPr>
      </w:pPr>
      <w:r>
        <w:rPr>
          <w:rFonts w:hint="eastAsia" w:ascii="楷体" w:hAnsi="楷体" w:eastAsia="楷体"/>
          <w:b/>
          <w:color w:val="auto"/>
          <w:sz w:val="32"/>
          <w:szCs w:val="24"/>
          <w:highlight w:val="white"/>
          <w:lang w:val="en-US"/>
        </w:rPr>
        <w:t>二、机构设置</w:t>
      </w:r>
    </w:p>
    <w:p>
      <w:pPr>
        <w:numPr>
          <w:ilvl w:val="0"/>
          <w:numId w:val="0"/>
        </w:numPr>
        <w:spacing w:beforeLines="0" w:afterLines="0" w:line="560" w:lineRule="exact"/>
        <w:ind w:firstLine="640" w:firstLineChars="200"/>
        <w:jc w:val="left"/>
        <w:outlineLvl w:val="2"/>
        <w:rPr>
          <w:rFonts w:hint="eastAsia" w:ascii="仿宋" w:hAnsi="仿宋" w:eastAsia="仿宋"/>
          <w:sz w:val="32"/>
          <w:szCs w:val="24"/>
          <w:lang w:val="en-US" w:eastAsia="zh-CN"/>
        </w:rPr>
      </w:pPr>
      <w:r>
        <w:rPr>
          <w:rFonts w:hint="eastAsia" w:ascii="仿宋" w:hAnsi="仿宋" w:eastAsia="仿宋"/>
          <w:sz w:val="32"/>
          <w:szCs w:val="24"/>
          <w:lang w:val="en-US" w:eastAsia="zh-CN"/>
        </w:rPr>
        <w:t>益阳市赫山区发展和改革局设24个内设机构：（一）办公室。（二）财务审计股。（三）人事教育股。（四）法规股（政务服务股）。（五）价费管理股。（六）价格监测调控股。（七）成本调查与监审股。（八）粮食调控股。（九）粮食产业发展股。（十）长江经济带和洞庭湖发展股。（十一）基础产业股。（十二）资源节约和环境保护股（节能监察股）。（十三）招投标管理股。（十四）社会发展股（规划及经济运行调节和国民经济综合股）。（十五）服务业和经济贸易股。（十六）财政金融和综合建设股。（十七）重点办（固定资产投资股）。（十八）工业和高技术发展股。（十九）能源股。（二十）优化经济发展环境股。（二十一）国有资产管理办公室。（二十二）物资和能源储备股（赫山区国防动员委员会国民经济动员办公室、赫山区国防动员委员会装备动员办公室）。（二十三）农业农村经济股。（二十四）益沅桃办（两型办）。</w:t>
      </w:r>
    </w:p>
    <w:p>
      <w:pPr>
        <w:numPr>
          <w:ilvl w:val="0"/>
          <w:numId w:val="0"/>
        </w:numPr>
        <w:spacing w:beforeLines="0" w:afterLines="0" w:line="560" w:lineRule="exact"/>
        <w:ind w:firstLine="640" w:firstLineChars="200"/>
        <w:jc w:val="left"/>
        <w:outlineLvl w:val="2"/>
        <w:rPr>
          <w:rFonts w:hint="eastAsia" w:ascii="仿宋" w:hAnsi="仿宋" w:eastAsia="仿宋"/>
          <w:sz w:val="32"/>
          <w:szCs w:val="24"/>
          <w:lang w:val="en-US" w:eastAsia="zh-CN"/>
        </w:rPr>
      </w:pPr>
      <w:r>
        <w:rPr>
          <w:rFonts w:hint="eastAsia" w:ascii="仿宋" w:hAnsi="仿宋" w:eastAsia="仿宋"/>
          <w:sz w:val="32"/>
          <w:szCs w:val="24"/>
          <w:lang w:val="en-US" w:eastAsia="zh-CN"/>
        </w:rPr>
        <w:t>所属二级机构分别是益阳市赫山区粮食行政执法大队和益阳市赫山区价格认证中心，均为股级公益一类事业单位,均未独立核算。</w:t>
      </w:r>
    </w:p>
    <w:p>
      <w:pPr>
        <w:numPr>
          <w:ilvl w:val="0"/>
          <w:numId w:val="0"/>
        </w:numPr>
        <w:spacing w:beforeLines="0" w:afterLines="0" w:line="560" w:lineRule="exact"/>
        <w:ind w:firstLine="640" w:firstLineChars="200"/>
        <w:jc w:val="left"/>
        <w:outlineLvl w:val="2"/>
        <w:rPr>
          <w:rFonts w:hint="eastAsia" w:ascii="楷体" w:hAnsi="楷体" w:eastAsia="楷体"/>
          <w:b/>
          <w:color w:val="auto"/>
          <w:sz w:val="32"/>
          <w:szCs w:val="24"/>
          <w:highlight w:val="white"/>
          <w:lang w:val="en-US"/>
        </w:rPr>
      </w:pPr>
      <w:r>
        <w:rPr>
          <w:rFonts w:hint="eastAsia" w:ascii="仿宋" w:hAnsi="仿宋" w:eastAsia="仿宋"/>
          <w:sz w:val="32"/>
          <w:szCs w:val="24"/>
          <w:lang w:val="en-US" w:eastAsia="zh-CN"/>
        </w:rPr>
        <w:t xml:space="preserve">2019年年末实有职工人数60人，其中行政编26人（含公务员22人，工勤4人），事业编34人（含自收自支26人，全额拨款事业编制8人）；离休人员1人，退休人员75人。 </w:t>
      </w:r>
      <w:r>
        <w:rPr>
          <w:rFonts w:hint="eastAsia" w:ascii="仿宋" w:hAnsi="仿宋" w:eastAsia="仿宋"/>
          <w:sz w:val="32"/>
          <w:szCs w:val="24"/>
          <w:lang w:val="en-US" w:eastAsia="zh-CN"/>
        </w:rPr>
        <w:br w:type="textWrapping"/>
      </w:r>
      <w:r>
        <w:rPr>
          <w:rFonts w:hint="eastAsia" w:ascii="仿宋" w:hAnsi="仿宋" w:eastAsia="仿宋"/>
          <w:sz w:val="32"/>
          <w:szCs w:val="24"/>
          <w:lang w:val="en-US" w:eastAsia="zh-CN"/>
        </w:rPr>
        <w:t xml:space="preserve">    </w:t>
      </w:r>
      <w:r>
        <w:rPr>
          <w:rFonts w:hint="eastAsia" w:ascii="楷体" w:hAnsi="楷体" w:eastAsia="楷体"/>
          <w:b/>
          <w:color w:val="auto"/>
          <w:sz w:val="32"/>
          <w:szCs w:val="24"/>
          <w:highlight w:val="white"/>
          <w:lang w:val="en-US" w:eastAsia="zh-CN"/>
        </w:rPr>
        <w:t>三、部门</w:t>
      </w:r>
      <w:r>
        <w:rPr>
          <w:rFonts w:hint="eastAsia" w:ascii="楷体" w:hAnsi="楷体" w:eastAsia="楷体"/>
          <w:b/>
          <w:color w:val="auto"/>
          <w:sz w:val="32"/>
          <w:szCs w:val="24"/>
          <w:highlight w:val="white"/>
          <w:lang w:val="en-US"/>
        </w:rPr>
        <w:t>决算单位构成</w:t>
      </w:r>
    </w:p>
    <w:p>
      <w:pPr>
        <w:numPr>
          <w:ilvl w:val="0"/>
          <w:numId w:val="0"/>
        </w:numPr>
        <w:spacing w:beforeLines="0" w:afterLines="0" w:line="560" w:lineRule="exact"/>
        <w:ind w:firstLine="640" w:firstLineChars="200"/>
        <w:jc w:val="left"/>
        <w:outlineLvl w:val="2"/>
        <w:rPr>
          <w:rFonts w:hint="eastAsia" w:ascii="仿宋" w:hAnsi="仿宋" w:eastAsia="仿宋"/>
          <w:sz w:val="32"/>
          <w:szCs w:val="24"/>
          <w:lang w:val="en-US" w:eastAsia="zh-CN"/>
        </w:rPr>
      </w:pPr>
      <w:r>
        <w:rPr>
          <w:rFonts w:hint="eastAsia" w:ascii="仿宋" w:hAnsi="仿宋" w:eastAsia="仿宋"/>
          <w:sz w:val="32"/>
          <w:szCs w:val="24"/>
          <w:lang w:val="en-US" w:eastAsia="zh-CN"/>
        </w:rPr>
        <w:t>从决算单位构成看，我部门只有本级，没有其他二级预算单位（所属二级机构有益阳市赫山区粮食行政执法大队和益阳市赫山区价格认证中心，经费开支在机关本级，财务未分开核算，不单独公开），因此，2019年部门决算编制范围包括：益阳市赫山区发展和改革局本级决算。</w:t>
      </w:r>
    </w:p>
    <w:p>
      <w:pPr>
        <w:numPr>
          <w:ilvl w:val="0"/>
          <w:numId w:val="0"/>
        </w:numPr>
        <w:spacing w:beforeLines="0" w:afterLines="0" w:line="520" w:lineRule="exact"/>
        <w:jc w:val="left"/>
        <w:rPr>
          <w:rFonts w:hint="eastAsia" w:ascii="黑体" w:hAnsi="黑体" w:eastAsia="黑体"/>
          <w:color w:val="000000"/>
          <w:kern w:val="0"/>
          <w:sz w:val="32"/>
          <w:szCs w:val="24"/>
          <w:highlight w:val="white"/>
          <w:lang w:val="en-US"/>
        </w:rPr>
      </w:pPr>
      <w:r>
        <w:rPr>
          <w:rFonts w:hint="eastAsia" w:ascii="黑体" w:hAnsi="黑体" w:eastAsia="黑体"/>
          <w:color w:val="auto"/>
          <w:sz w:val="32"/>
          <w:szCs w:val="24"/>
          <w:highlight w:val="white"/>
          <w:lang w:val="en-US" w:eastAsia="zh-CN"/>
        </w:rPr>
        <w:t xml:space="preserve">第二部分 </w:t>
      </w:r>
      <w:r>
        <w:rPr>
          <w:rFonts w:hint="eastAsia" w:ascii="黑体" w:hAnsi="黑体" w:eastAsia="黑体"/>
          <w:color w:val="auto"/>
          <w:sz w:val="32"/>
          <w:szCs w:val="24"/>
          <w:highlight w:val="white"/>
          <w:lang w:val="zh-CN"/>
        </w:rPr>
        <w:t>益阳市赫山区发展和改革局</w:t>
      </w:r>
      <w:r>
        <w:rPr>
          <w:rFonts w:hint="eastAsia" w:ascii="黑体" w:hAnsi="黑体" w:eastAsia="黑体"/>
          <w:color w:val="auto"/>
          <w:sz w:val="32"/>
          <w:szCs w:val="24"/>
          <w:highlight w:val="white"/>
          <w:lang w:val="en-US"/>
        </w:rPr>
        <w:t>2019年度部门决算表</w:t>
      </w:r>
    </w:p>
    <w:p>
      <w:pPr>
        <w:numPr>
          <w:ilvl w:val="0"/>
          <w:numId w:val="0"/>
        </w:numPr>
        <w:spacing w:beforeLines="0" w:afterLines="0" w:line="520" w:lineRule="exact"/>
        <w:ind w:firstLine="960" w:firstLineChars="3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表1：</w:t>
      </w:r>
      <w:r>
        <w:rPr>
          <w:rFonts w:hint="eastAsia" w:ascii="仿宋" w:hAnsi="仿宋" w:eastAsia="仿宋"/>
          <w:color w:val="000000"/>
          <w:kern w:val="0"/>
          <w:sz w:val="32"/>
          <w:szCs w:val="24"/>
          <w:highlight w:val="white"/>
          <w:lang w:val="en-US"/>
        </w:rPr>
        <w:t>收入支出决算总表</w:t>
      </w:r>
    </w:p>
    <w:p>
      <w:pPr>
        <w:spacing w:beforeLines="0" w:afterLines="0" w:line="520" w:lineRule="exact"/>
        <w:ind w:firstLine="960" w:firstLineChars="3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表2：</w:t>
      </w:r>
      <w:r>
        <w:rPr>
          <w:rFonts w:hint="eastAsia" w:ascii="仿宋" w:hAnsi="仿宋" w:eastAsia="仿宋"/>
          <w:color w:val="000000"/>
          <w:kern w:val="0"/>
          <w:sz w:val="32"/>
          <w:szCs w:val="24"/>
          <w:highlight w:val="white"/>
          <w:lang w:val="en-US"/>
        </w:rPr>
        <w:t>收入决算表</w:t>
      </w:r>
    </w:p>
    <w:p>
      <w:pPr>
        <w:spacing w:beforeLines="0" w:afterLines="0" w:line="520" w:lineRule="exact"/>
        <w:ind w:firstLine="960" w:firstLineChars="3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表3：</w:t>
      </w:r>
      <w:r>
        <w:rPr>
          <w:rFonts w:hint="eastAsia" w:ascii="仿宋" w:hAnsi="仿宋" w:eastAsia="仿宋"/>
          <w:color w:val="000000"/>
          <w:kern w:val="0"/>
          <w:sz w:val="32"/>
          <w:szCs w:val="24"/>
          <w:highlight w:val="white"/>
          <w:lang w:val="en-US"/>
        </w:rPr>
        <w:t>支出决算表</w:t>
      </w:r>
    </w:p>
    <w:p>
      <w:pPr>
        <w:numPr>
          <w:ilvl w:val="0"/>
          <w:numId w:val="0"/>
        </w:numPr>
        <w:spacing w:beforeLines="0" w:afterLines="0" w:line="520" w:lineRule="exact"/>
        <w:ind w:firstLine="960" w:firstLineChars="300"/>
        <w:jc w:val="left"/>
        <w:rPr>
          <w:rFonts w:hint="eastAsia" w:ascii="仿宋" w:hAnsi="仿宋" w:eastAsia="仿宋"/>
          <w:color w:val="000000"/>
          <w:kern w:val="0"/>
          <w:sz w:val="32"/>
          <w:szCs w:val="24"/>
          <w:highlight w:val="white"/>
          <w:lang w:val="en-US" w:eastAsia="zh-CN"/>
        </w:rPr>
      </w:pPr>
      <w:r>
        <w:rPr>
          <w:rFonts w:hint="eastAsia" w:ascii="仿宋" w:hAnsi="仿宋" w:eastAsia="仿宋"/>
          <w:color w:val="000000"/>
          <w:kern w:val="0"/>
          <w:sz w:val="32"/>
          <w:szCs w:val="24"/>
          <w:highlight w:val="white"/>
          <w:lang w:val="en-US" w:eastAsia="zh-CN"/>
        </w:rPr>
        <w:t>表4：财政拨款收入支出决算总表</w:t>
      </w:r>
    </w:p>
    <w:p>
      <w:pPr>
        <w:numPr>
          <w:ilvl w:val="0"/>
          <w:numId w:val="0"/>
        </w:numPr>
        <w:spacing w:beforeLines="0" w:afterLines="0" w:line="520" w:lineRule="exact"/>
        <w:ind w:firstLine="960" w:firstLineChars="300"/>
        <w:jc w:val="left"/>
        <w:rPr>
          <w:rFonts w:hint="eastAsia" w:ascii="仿宋" w:hAnsi="仿宋" w:eastAsia="仿宋"/>
          <w:color w:val="000000"/>
          <w:kern w:val="0"/>
          <w:sz w:val="32"/>
          <w:szCs w:val="24"/>
          <w:highlight w:val="white"/>
          <w:lang w:val="en-US" w:eastAsia="zh-CN"/>
        </w:rPr>
      </w:pPr>
      <w:r>
        <w:rPr>
          <w:rFonts w:hint="eastAsia" w:ascii="仿宋" w:hAnsi="仿宋" w:eastAsia="仿宋"/>
          <w:color w:val="000000"/>
          <w:kern w:val="0"/>
          <w:sz w:val="32"/>
          <w:szCs w:val="24"/>
          <w:highlight w:val="white"/>
          <w:lang w:val="en-US" w:eastAsia="zh-CN"/>
        </w:rPr>
        <w:t>表5：一般公共预算财政拨款支出决算表</w:t>
      </w:r>
    </w:p>
    <w:p>
      <w:pPr>
        <w:numPr>
          <w:ilvl w:val="0"/>
          <w:numId w:val="0"/>
        </w:numPr>
        <w:spacing w:beforeLines="0" w:afterLines="0" w:line="520" w:lineRule="exact"/>
        <w:ind w:firstLine="960" w:firstLineChars="300"/>
        <w:jc w:val="left"/>
        <w:rPr>
          <w:rFonts w:hint="eastAsia" w:ascii="仿宋" w:hAnsi="仿宋" w:eastAsia="仿宋"/>
          <w:color w:val="000000"/>
          <w:kern w:val="0"/>
          <w:sz w:val="32"/>
          <w:szCs w:val="24"/>
          <w:highlight w:val="white"/>
          <w:lang w:val="en-US" w:eastAsia="zh-CN"/>
        </w:rPr>
      </w:pPr>
      <w:r>
        <w:rPr>
          <w:rFonts w:hint="eastAsia" w:ascii="仿宋" w:hAnsi="仿宋" w:eastAsia="仿宋"/>
          <w:color w:val="000000"/>
          <w:kern w:val="0"/>
          <w:sz w:val="32"/>
          <w:szCs w:val="24"/>
          <w:highlight w:val="white"/>
          <w:lang w:val="en-US" w:eastAsia="zh-CN"/>
        </w:rPr>
        <w:t>表6：一般公共预算财政拨款基本支出决算表</w:t>
      </w:r>
    </w:p>
    <w:p>
      <w:pPr>
        <w:numPr>
          <w:ilvl w:val="0"/>
          <w:numId w:val="0"/>
        </w:numPr>
        <w:spacing w:beforeLines="0" w:afterLines="0" w:line="520" w:lineRule="exact"/>
        <w:ind w:firstLine="960" w:firstLineChars="300"/>
        <w:jc w:val="left"/>
        <w:rPr>
          <w:rFonts w:hint="eastAsia" w:ascii="仿宋" w:hAnsi="仿宋" w:eastAsia="仿宋"/>
          <w:color w:val="000000"/>
          <w:kern w:val="0"/>
          <w:sz w:val="32"/>
          <w:szCs w:val="24"/>
          <w:highlight w:val="white"/>
          <w:lang w:val="en-US" w:eastAsia="zh-CN"/>
        </w:rPr>
      </w:pPr>
      <w:r>
        <w:rPr>
          <w:rFonts w:hint="eastAsia" w:ascii="仿宋" w:hAnsi="仿宋" w:eastAsia="仿宋"/>
          <w:color w:val="000000"/>
          <w:kern w:val="0"/>
          <w:sz w:val="32"/>
          <w:szCs w:val="24"/>
          <w:highlight w:val="white"/>
          <w:lang w:val="en-US" w:eastAsia="zh-CN"/>
        </w:rPr>
        <w:t>表7：一般公共预算财政拨款“三公”经费支出决算表</w:t>
      </w:r>
    </w:p>
    <w:p>
      <w:pPr>
        <w:numPr>
          <w:ilvl w:val="0"/>
          <w:numId w:val="0"/>
        </w:numPr>
        <w:spacing w:beforeLines="0" w:afterLines="0" w:line="520" w:lineRule="exact"/>
        <w:ind w:firstLine="960" w:firstLineChars="300"/>
        <w:jc w:val="left"/>
        <w:rPr>
          <w:rFonts w:hint="eastAsia" w:ascii="仿宋" w:hAnsi="仿宋" w:eastAsia="仿宋"/>
          <w:color w:val="000000"/>
          <w:kern w:val="0"/>
          <w:sz w:val="32"/>
          <w:szCs w:val="24"/>
          <w:highlight w:val="white"/>
          <w:lang w:val="en-US" w:eastAsia="zh-CN"/>
        </w:rPr>
      </w:pPr>
      <w:r>
        <w:rPr>
          <w:rFonts w:hint="eastAsia" w:ascii="仿宋" w:hAnsi="仿宋" w:eastAsia="仿宋"/>
          <w:color w:val="000000"/>
          <w:kern w:val="0"/>
          <w:sz w:val="32"/>
          <w:szCs w:val="24"/>
          <w:highlight w:val="white"/>
          <w:lang w:val="en-US" w:eastAsia="zh-CN"/>
        </w:rPr>
        <w:t>表8：政府性基金预算财政拨款收入支出决算表</w:t>
      </w:r>
    </w:p>
    <w:p>
      <w:pPr>
        <w:numPr>
          <w:ilvl w:val="0"/>
          <w:numId w:val="0"/>
        </w:numPr>
        <w:spacing w:beforeLines="0" w:afterLines="0" w:line="520" w:lineRule="exact"/>
        <w:ind w:firstLine="960" w:firstLineChars="300"/>
        <w:jc w:val="left"/>
        <w:rPr>
          <w:rFonts w:hint="eastAsia" w:ascii="仿宋" w:hAnsi="仿宋" w:eastAsia="仿宋"/>
          <w:color w:val="auto"/>
          <w:sz w:val="32"/>
          <w:szCs w:val="24"/>
          <w:highlight w:val="white"/>
          <w:lang w:val="en-US" w:eastAsia="zh-CN"/>
        </w:rPr>
      </w:pPr>
      <w:r>
        <w:rPr>
          <w:rFonts w:hint="eastAsia" w:ascii="仿宋" w:hAnsi="仿宋" w:eastAsia="仿宋"/>
          <w:color w:val="000000"/>
          <w:kern w:val="0"/>
          <w:sz w:val="32"/>
          <w:szCs w:val="24"/>
          <w:highlight w:val="white"/>
          <w:lang w:val="en-US" w:eastAsia="zh-CN"/>
        </w:rPr>
        <w:t>说明：表8无数据，益阳市赫山区发展和改革局2019年没有政府性基金收入，也没有政府性基金安排的支出，故本表无数据。</w:t>
      </w:r>
    </w:p>
    <w:p>
      <w:pPr>
        <w:keepNext/>
        <w:keepLines/>
        <w:spacing w:beforeLines="0" w:afterLines="0"/>
        <w:ind w:firstLine="640"/>
        <w:rPr>
          <w:rFonts w:hint="eastAsia" w:ascii="黑体" w:hAnsi="黑体" w:eastAsia="黑体"/>
          <w:color w:val="auto"/>
          <w:sz w:val="32"/>
          <w:szCs w:val="24"/>
          <w:highlight w:val="white"/>
          <w:lang w:val="en-US"/>
        </w:rPr>
      </w:pPr>
      <w:r>
        <w:rPr>
          <w:rFonts w:hint="eastAsia" w:ascii="黑体" w:hAnsi="黑体" w:eastAsia="黑体"/>
          <w:color w:val="auto"/>
          <w:sz w:val="32"/>
          <w:szCs w:val="24"/>
          <w:highlight w:val="white"/>
          <w:lang w:val="en-US"/>
        </w:rPr>
        <w:t xml:space="preserve">第三部分 </w:t>
      </w:r>
      <w:r>
        <w:rPr>
          <w:rFonts w:hint="eastAsia" w:ascii="黑体" w:hAnsi="黑体" w:eastAsia="黑体"/>
          <w:color w:val="auto"/>
          <w:sz w:val="32"/>
          <w:szCs w:val="24"/>
          <w:highlight w:val="white"/>
          <w:lang w:val="zh-CN"/>
        </w:rPr>
        <w:t>益阳市赫山区发展和改革局</w:t>
      </w:r>
      <w:r>
        <w:rPr>
          <w:rFonts w:hint="eastAsia" w:ascii="黑体" w:hAnsi="黑体" w:eastAsia="黑体"/>
          <w:color w:val="auto"/>
          <w:sz w:val="32"/>
          <w:szCs w:val="24"/>
          <w:highlight w:val="white"/>
          <w:lang w:val="en-US"/>
        </w:rPr>
        <w:t>2019年度部门决算情况说明</w:t>
      </w:r>
    </w:p>
    <w:p>
      <w:pPr>
        <w:keepNext/>
        <w:keepLines/>
        <w:spacing w:beforeLines="0" w:afterLines="0"/>
        <w:ind w:firstLine="641"/>
        <w:rPr>
          <w:rFonts w:hint="eastAsia" w:ascii="楷体" w:hAnsi="楷体" w:eastAsia="楷体"/>
          <w:b/>
          <w:color w:val="auto"/>
          <w:sz w:val="32"/>
          <w:szCs w:val="24"/>
          <w:highlight w:val="white"/>
          <w:lang w:val="en-US"/>
        </w:rPr>
      </w:pPr>
      <w:r>
        <w:rPr>
          <w:rFonts w:hint="eastAsia" w:ascii="楷体" w:hAnsi="楷体" w:eastAsia="楷体"/>
          <w:b/>
          <w:color w:val="auto"/>
          <w:sz w:val="32"/>
          <w:szCs w:val="24"/>
          <w:highlight w:val="white"/>
          <w:lang w:val="en-US"/>
        </w:rPr>
        <w:t>一、收入支出决算总体情况说明</w:t>
      </w:r>
    </w:p>
    <w:p>
      <w:pPr>
        <w:keepNext/>
        <w:keepLines/>
        <w:spacing w:beforeLines="0" w:afterLines="0" w:line="560" w:lineRule="exact"/>
        <w:ind w:firstLine="641"/>
        <w:rPr>
          <w:rFonts w:hint="eastAsia" w:ascii="仿宋" w:hAnsi="仿宋" w:eastAsia="仿宋"/>
          <w:color w:val="auto"/>
          <w:sz w:val="32"/>
          <w:szCs w:val="24"/>
          <w:highlight w:val="white"/>
          <w:lang w:val="zh-CN"/>
        </w:rPr>
      </w:pPr>
      <w:r>
        <w:rPr>
          <w:rFonts w:hint="eastAsia" w:ascii="仿宋" w:hAnsi="仿宋" w:eastAsia="仿宋"/>
          <w:color w:val="auto"/>
          <w:sz w:val="32"/>
          <w:szCs w:val="24"/>
          <w:highlight w:val="white"/>
          <w:lang w:val="zh-CN"/>
        </w:rPr>
        <w:t>2019年度收入总计</w:t>
      </w:r>
      <w:r>
        <w:rPr>
          <w:rFonts w:hint="eastAsia" w:ascii="仿宋" w:hAnsi="仿宋" w:eastAsia="仿宋"/>
          <w:color w:val="auto"/>
          <w:sz w:val="32"/>
          <w:szCs w:val="24"/>
          <w:highlight w:val="white"/>
          <w:lang w:val="en-US" w:eastAsia="zh-CN"/>
        </w:rPr>
        <w:t>1239.81万元</w:t>
      </w:r>
      <w:r>
        <w:rPr>
          <w:rFonts w:hint="eastAsia" w:ascii="仿宋" w:hAnsi="仿宋" w:eastAsia="仿宋"/>
          <w:color w:val="auto"/>
          <w:sz w:val="32"/>
          <w:szCs w:val="24"/>
          <w:highlight w:val="white"/>
          <w:lang w:val="zh-CN"/>
        </w:rPr>
        <w:t>、比上年同期</w:t>
      </w:r>
      <w:r>
        <w:rPr>
          <w:rFonts w:hint="eastAsia" w:ascii="仿宋" w:hAnsi="仿宋" w:eastAsia="仿宋"/>
          <w:color w:val="auto"/>
          <w:sz w:val="32"/>
          <w:szCs w:val="24"/>
          <w:highlight w:val="white"/>
          <w:lang w:val="en-US" w:eastAsia="zh-CN"/>
        </w:rPr>
        <w:t>增加84.14万元，增长7.28%；</w:t>
      </w:r>
      <w:r>
        <w:rPr>
          <w:rFonts w:hint="eastAsia" w:ascii="仿宋" w:hAnsi="仿宋" w:eastAsia="仿宋"/>
          <w:color w:val="auto"/>
          <w:sz w:val="32"/>
          <w:szCs w:val="24"/>
          <w:highlight w:val="white"/>
          <w:lang w:val="zh-CN"/>
        </w:rPr>
        <w:t>支出总计1,239.81万元，与2018年相比增加84.14万元，增长7.28%。主要原因是</w:t>
      </w:r>
      <w:r>
        <w:rPr>
          <w:rFonts w:hint="eastAsia" w:ascii="仿宋" w:hAnsi="仿宋" w:eastAsia="仿宋"/>
          <w:color w:val="auto"/>
          <w:sz w:val="32"/>
          <w:szCs w:val="24"/>
          <w:highlight w:val="white"/>
          <w:lang w:val="en-US" w:eastAsia="zh-CN"/>
        </w:rPr>
        <w:t>2019年</w:t>
      </w:r>
      <w:r>
        <w:rPr>
          <w:rFonts w:hint="eastAsia" w:ascii="仿宋" w:hAnsi="仿宋" w:eastAsia="仿宋"/>
          <w:color w:val="auto"/>
          <w:sz w:val="32"/>
          <w:szCs w:val="24"/>
          <w:highlight w:val="white"/>
          <w:lang w:val="zh-CN"/>
        </w:rPr>
        <w:t>机构改革，原区粮食局整体合并至发改局后，虽然</w:t>
      </w:r>
      <w:r>
        <w:rPr>
          <w:rFonts w:hint="eastAsia" w:ascii="仿宋" w:hAnsi="仿宋" w:eastAsia="仿宋"/>
          <w:color w:val="auto"/>
          <w:sz w:val="32"/>
          <w:szCs w:val="24"/>
          <w:highlight w:val="white"/>
          <w:lang w:val="en-US" w:eastAsia="zh-CN"/>
        </w:rPr>
        <w:t>2019年财务单独核算，但仍</w:t>
      </w:r>
      <w:r>
        <w:rPr>
          <w:rFonts w:hint="eastAsia" w:ascii="仿宋" w:hAnsi="仿宋" w:eastAsia="仿宋"/>
          <w:color w:val="auto"/>
          <w:sz w:val="32"/>
          <w:szCs w:val="24"/>
          <w:highlight w:val="white"/>
          <w:lang w:val="zh-CN"/>
        </w:rPr>
        <w:t>有部分开支在发改局，再加上</w:t>
      </w:r>
      <w:r>
        <w:rPr>
          <w:rFonts w:hint="eastAsia" w:ascii="仿宋" w:hAnsi="仿宋" w:eastAsia="仿宋"/>
          <w:color w:val="auto"/>
          <w:sz w:val="32"/>
          <w:szCs w:val="24"/>
          <w:highlight w:val="white"/>
          <w:lang w:val="en-US" w:eastAsia="zh-CN"/>
        </w:rPr>
        <w:t>2019年我局易地扶贫工作、立项争资工作、固定资产投资工作任务重，经费开支增大</w:t>
      </w:r>
      <w:r>
        <w:rPr>
          <w:rFonts w:hint="eastAsia" w:ascii="仿宋" w:hAnsi="仿宋" w:eastAsia="仿宋"/>
          <w:color w:val="auto"/>
          <w:sz w:val="32"/>
          <w:szCs w:val="24"/>
          <w:highlight w:val="white"/>
          <w:lang w:val="zh-CN"/>
        </w:rPr>
        <w:t>。</w:t>
      </w:r>
    </w:p>
    <w:p>
      <w:pPr>
        <w:keepNext/>
        <w:keepLines/>
        <w:spacing w:beforeLines="0" w:afterLines="0"/>
        <w:ind w:firstLine="641"/>
        <w:rPr>
          <w:rFonts w:hint="eastAsia" w:ascii="楷体" w:hAnsi="楷体" w:eastAsia="楷体"/>
          <w:b/>
          <w:color w:val="auto"/>
          <w:sz w:val="32"/>
          <w:szCs w:val="24"/>
          <w:highlight w:val="white"/>
          <w:lang w:val="en-US"/>
        </w:rPr>
      </w:pPr>
      <w:r>
        <w:rPr>
          <w:rFonts w:hint="eastAsia" w:ascii="楷体" w:hAnsi="楷体" w:eastAsia="楷体"/>
          <w:b/>
          <w:color w:val="auto"/>
          <w:sz w:val="32"/>
          <w:szCs w:val="24"/>
          <w:highlight w:val="white"/>
          <w:lang w:val="en-US"/>
        </w:rPr>
        <w:t>二、收入决算情况说明</w:t>
      </w:r>
    </w:p>
    <w:p>
      <w:pPr>
        <w:keepNext/>
        <w:keepLines/>
        <w:spacing w:beforeLines="0" w:afterLines="0" w:line="560" w:lineRule="exact"/>
        <w:ind w:firstLine="641"/>
        <w:rPr>
          <w:rFonts w:hint="eastAsia" w:ascii="仿宋" w:hAnsi="仿宋" w:eastAsia="仿宋"/>
          <w:color w:val="auto"/>
          <w:sz w:val="32"/>
          <w:szCs w:val="24"/>
          <w:highlight w:val="white"/>
          <w:lang w:val="en-US"/>
        </w:rPr>
      </w:pPr>
      <w:r>
        <w:rPr>
          <w:rFonts w:hint="eastAsia" w:ascii="仿宋" w:hAnsi="仿宋" w:eastAsia="仿宋"/>
          <w:color w:val="auto"/>
          <w:sz w:val="32"/>
          <w:szCs w:val="24"/>
          <w:highlight w:val="white"/>
          <w:lang w:val="en-US"/>
        </w:rPr>
        <w:t>本年收入合计1,147.06万元，其中：财政拨款收入864.99万元，占75.41%。其他收入282.07万元，占24.59%。</w:t>
      </w:r>
    </w:p>
    <w:p>
      <w:pPr>
        <w:keepNext/>
        <w:keepLines/>
        <w:spacing w:beforeLines="0" w:afterLines="0"/>
        <w:ind w:firstLine="641"/>
        <w:rPr>
          <w:rFonts w:hint="eastAsia" w:ascii="楷体" w:hAnsi="楷体" w:eastAsia="楷体"/>
          <w:b/>
          <w:color w:val="auto"/>
          <w:sz w:val="32"/>
          <w:szCs w:val="24"/>
          <w:highlight w:val="white"/>
          <w:lang w:val="en-US"/>
        </w:rPr>
      </w:pPr>
      <w:r>
        <w:rPr>
          <w:rFonts w:hint="eastAsia" w:ascii="楷体" w:hAnsi="楷体" w:eastAsia="楷体"/>
          <w:b/>
          <w:color w:val="auto"/>
          <w:sz w:val="32"/>
          <w:szCs w:val="24"/>
          <w:highlight w:val="white"/>
          <w:lang w:val="en-US"/>
        </w:rPr>
        <w:t>三、支出决算情况说明</w:t>
      </w:r>
    </w:p>
    <w:p>
      <w:pPr>
        <w:keepNext/>
        <w:keepLines/>
        <w:spacing w:beforeLines="0" w:afterLines="0" w:line="560" w:lineRule="exact"/>
        <w:ind w:firstLine="641"/>
        <w:rPr>
          <w:rFonts w:hint="eastAsia" w:ascii="仿宋" w:hAnsi="仿宋" w:eastAsia="仿宋"/>
          <w:color w:val="auto"/>
          <w:sz w:val="32"/>
          <w:szCs w:val="24"/>
          <w:highlight w:val="white"/>
          <w:lang w:val="en-US"/>
        </w:rPr>
      </w:pPr>
      <w:r>
        <w:rPr>
          <w:rFonts w:hint="eastAsia" w:ascii="仿宋" w:hAnsi="仿宋" w:eastAsia="仿宋"/>
          <w:color w:val="auto"/>
          <w:sz w:val="32"/>
          <w:szCs w:val="24"/>
          <w:highlight w:val="white"/>
          <w:lang w:val="en-US"/>
        </w:rPr>
        <w:t>本年支出合计932.08万元，其中：基本支出</w:t>
      </w:r>
      <w:r>
        <w:rPr>
          <w:rFonts w:hint="eastAsia" w:ascii="仿宋" w:hAnsi="仿宋" w:eastAsia="仿宋"/>
          <w:color w:val="auto"/>
          <w:sz w:val="32"/>
          <w:szCs w:val="24"/>
          <w:highlight w:val="white"/>
          <w:lang w:val="zh-CN"/>
        </w:rPr>
        <w:t>864.01万元，</w:t>
      </w:r>
      <w:r>
        <w:rPr>
          <w:rFonts w:hint="eastAsia" w:ascii="仿宋" w:hAnsi="仿宋" w:eastAsia="仿宋"/>
          <w:color w:val="auto"/>
          <w:sz w:val="32"/>
          <w:szCs w:val="24"/>
          <w:highlight w:val="white"/>
          <w:lang w:val="en-US"/>
        </w:rPr>
        <w:t>占92.7%。项目支出68.07万元，占7.3%。</w:t>
      </w:r>
    </w:p>
    <w:p>
      <w:pPr>
        <w:keepNext/>
        <w:keepLines/>
        <w:spacing w:beforeLines="0" w:afterLines="0"/>
        <w:ind w:firstLine="641"/>
        <w:rPr>
          <w:rFonts w:hint="eastAsia" w:ascii="楷体" w:hAnsi="楷体" w:eastAsia="楷体"/>
          <w:b/>
          <w:color w:val="auto"/>
          <w:sz w:val="32"/>
          <w:szCs w:val="24"/>
          <w:highlight w:val="white"/>
          <w:lang w:val="en-US"/>
        </w:rPr>
      </w:pPr>
      <w:r>
        <w:rPr>
          <w:rFonts w:hint="eastAsia" w:ascii="楷体" w:hAnsi="楷体" w:eastAsia="楷体"/>
          <w:b/>
          <w:color w:val="auto"/>
          <w:sz w:val="32"/>
          <w:szCs w:val="24"/>
          <w:highlight w:val="white"/>
          <w:lang w:val="en-US" w:eastAsia="zh-CN"/>
        </w:rPr>
        <w:t>四、</w:t>
      </w:r>
      <w:r>
        <w:rPr>
          <w:rFonts w:hint="eastAsia" w:ascii="楷体" w:hAnsi="楷体" w:eastAsia="楷体"/>
          <w:b/>
          <w:color w:val="auto"/>
          <w:sz w:val="32"/>
          <w:szCs w:val="24"/>
          <w:highlight w:val="white"/>
          <w:lang w:val="en-US"/>
        </w:rPr>
        <w:t xml:space="preserve">财政拨款收入支出决算总体情况说明 </w:t>
      </w:r>
    </w:p>
    <w:p>
      <w:pPr>
        <w:keepNext/>
        <w:keepLines/>
        <w:spacing w:beforeLines="0" w:afterLines="0" w:line="560" w:lineRule="exact"/>
        <w:ind w:firstLine="641"/>
        <w:rPr>
          <w:rFonts w:hint="eastAsia" w:ascii="仿宋" w:hAnsi="仿宋" w:eastAsia="仿宋"/>
          <w:color w:val="auto"/>
          <w:sz w:val="32"/>
          <w:szCs w:val="24"/>
          <w:highlight w:val="white"/>
          <w:lang w:val="zh-CN"/>
        </w:rPr>
      </w:pPr>
      <w:r>
        <w:rPr>
          <w:rFonts w:hint="eastAsia" w:ascii="仿宋" w:hAnsi="仿宋" w:eastAsia="仿宋"/>
          <w:color w:val="auto"/>
          <w:sz w:val="32"/>
          <w:szCs w:val="24"/>
          <w:highlight w:val="white"/>
          <w:lang w:val="en-US"/>
        </w:rPr>
        <w:t>2019年度财政拨款收、支总计889.66万元，</w:t>
      </w:r>
      <w:r>
        <w:rPr>
          <w:rFonts w:hint="eastAsia" w:ascii="仿宋" w:hAnsi="仿宋" w:eastAsia="仿宋"/>
          <w:color w:val="auto"/>
          <w:sz w:val="32"/>
          <w:szCs w:val="24"/>
          <w:highlight w:val="white"/>
          <w:lang w:val="zh-CN"/>
        </w:rPr>
        <w:t>与2018年相比，</w:t>
      </w:r>
      <w:r>
        <w:rPr>
          <w:rFonts w:hint="eastAsia" w:ascii="仿宋" w:hAnsi="仿宋" w:eastAsia="仿宋"/>
          <w:color w:val="auto"/>
          <w:sz w:val="32"/>
          <w:szCs w:val="24"/>
          <w:highlight w:val="white"/>
          <w:lang w:val="en-US"/>
        </w:rPr>
        <w:t>财政拨款收、支总计各增加131.96万元，增长17.42%。</w:t>
      </w:r>
      <w:r>
        <w:rPr>
          <w:rFonts w:hint="eastAsia" w:ascii="仿宋" w:hAnsi="仿宋" w:eastAsia="仿宋"/>
          <w:color w:val="auto"/>
          <w:sz w:val="32"/>
          <w:szCs w:val="24"/>
          <w:highlight w:val="white"/>
          <w:lang w:val="zh-CN"/>
        </w:rPr>
        <w:t>主要原因是</w:t>
      </w:r>
      <w:r>
        <w:rPr>
          <w:rFonts w:hint="eastAsia" w:ascii="仿宋" w:hAnsi="仿宋" w:eastAsia="仿宋"/>
          <w:color w:val="auto"/>
          <w:sz w:val="32"/>
          <w:szCs w:val="24"/>
          <w:highlight w:val="white"/>
          <w:lang w:val="en-US" w:eastAsia="zh-CN"/>
        </w:rPr>
        <w:t>2019年</w:t>
      </w:r>
      <w:r>
        <w:rPr>
          <w:rFonts w:hint="eastAsia" w:ascii="仿宋" w:hAnsi="仿宋" w:eastAsia="仿宋"/>
          <w:color w:val="auto"/>
          <w:sz w:val="32"/>
          <w:szCs w:val="24"/>
          <w:highlight w:val="white"/>
          <w:lang w:val="zh-CN"/>
        </w:rPr>
        <w:t>机构改革，原区粮食局整体合并至发改局后，虽然</w:t>
      </w:r>
      <w:r>
        <w:rPr>
          <w:rFonts w:hint="eastAsia" w:ascii="仿宋" w:hAnsi="仿宋" w:eastAsia="仿宋"/>
          <w:color w:val="auto"/>
          <w:sz w:val="32"/>
          <w:szCs w:val="24"/>
          <w:highlight w:val="white"/>
          <w:lang w:val="en-US" w:eastAsia="zh-CN"/>
        </w:rPr>
        <w:t>2019年财务单独核算，但仍</w:t>
      </w:r>
      <w:r>
        <w:rPr>
          <w:rFonts w:hint="eastAsia" w:ascii="仿宋" w:hAnsi="仿宋" w:eastAsia="仿宋"/>
          <w:color w:val="auto"/>
          <w:sz w:val="32"/>
          <w:szCs w:val="24"/>
          <w:highlight w:val="white"/>
          <w:lang w:val="zh-CN"/>
        </w:rPr>
        <w:t>有部分开支在发改局，再加上</w:t>
      </w:r>
      <w:r>
        <w:rPr>
          <w:rFonts w:hint="eastAsia" w:ascii="仿宋" w:hAnsi="仿宋" w:eastAsia="仿宋"/>
          <w:color w:val="auto"/>
          <w:sz w:val="32"/>
          <w:szCs w:val="24"/>
          <w:highlight w:val="white"/>
          <w:lang w:val="en-US" w:eastAsia="zh-CN"/>
        </w:rPr>
        <w:t>2019年我局易地扶贫工作、立项争资工作、固定资产投资工作任务重，经费开支增大</w:t>
      </w:r>
      <w:r>
        <w:rPr>
          <w:rFonts w:hint="eastAsia" w:ascii="仿宋" w:hAnsi="仿宋" w:eastAsia="仿宋"/>
          <w:color w:val="auto"/>
          <w:sz w:val="32"/>
          <w:szCs w:val="24"/>
          <w:highlight w:val="white"/>
          <w:lang w:val="zh-CN"/>
        </w:rPr>
        <w:t>。</w:t>
      </w:r>
    </w:p>
    <w:p>
      <w:pPr>
        <w:keepNext/>
        <w:keepLines/>
        <w:spacing w:beforeLines="0" w:afterLines="0"/>
        <w:ind w:firstLine="641"/>
        <w:rPr>
          <w:rFonts w:hint="eastAsia" w:ascii="楷体" w:hAnsi="楷体" w:eastAsia="楷体"/>
          <w:b/>
          <w:color w:val="auto"/>
          <w:sz w:val="32"/>
          <w:szCs w:val="24"/>
          <w:highlight w:val="white"/>
          <w:lang w:val="en-US" w:eastAsia="zh-CN"/>
        </w:rPr>
      </w:pPr>
      <w:r>
        <w:rPr>
          <w:rFonts w:hint="eastAsia" w:ascii="楷体" w:hAnsi="楷体" w:eastAsia="楷体"/>
          <w:b/>
          <w:color w:val="auto"/>
          <w:sz w:val="32"/>
          <w:szCs w:val="24"/>
          <w:highlight w:val="white"/>
          <w:lang w:val="en-US" w:eastAsia="zh-CN"/>
        </w:rPr>
        <w:t>五、一般公共预算财政拨款支出决算情况说明</w:t>
      </w:r>
    </w:p>
    <w:p>
      <w:pPr>
        <w:keepNext/>
        <w:keepLines/>
        <w:spacing w:beforeLines="0" w:afterLines="0"/>
        <w:ind w:firstLine="641"/>
        <w:rPr>
          <w:rFonts w:hint="eastAsia" w:ascii="仿宋" w:hAnsi="仿宋" w:eastAsia="仿宋"/>
          <w:b/>
          <w:color w:val="auto"/>
          <w:sz w:val="32"/>
          <w:szCs w:val="24"/>
          <w:highlight w:val="white"/>
          <w:lang w:val="en-US"/>
        </w:rPr>
      </w:pPr>
      <w:r>
        <w:rPr>
          <w:rFonts w:hint="eastAsia" w:ascii="仿宋" w:hAnsi="仿宋" w:eastAsia="仿宋"/>
          <w:b/>
          <w:color w:val="auto"/>
          <w:sz w:val="32"/>
          <w:szCs w:val="24"/>
          <w:highlight w:val="white"/>
          <w:lang w:val="en-US"/>
        </w:rPr>
        <w:t>（一）</w:t>
      </w:r>
      <w:r>
        <w:rPr>
          <w:rFonts w:hint="eastAsia" w:ascii="仿宋" w:hAnsi="仿宋" w:eastAsia="仿宋"/>
          <w:b/>
          <w:color w:val="auto"/>
          <w:sz w:val="32"/>
          <w:szCs w:val="24"/>
          <w:highlight w:val="white"/>
          <w:lang w:val="en-US" w:eastAsia="zh-CN"/>
        </w:rPr>
        <w:t>一般公共预算</w:t>
      </w:r>
      <w:r>
        <w:rPr>
          <w:rFonts w:hint="eastAsia" w:ascii="仿宋" w:hAnsi="仿宋" w:eastAsia="仿宋"/>
          <w:b/>
          <w:color w:val="auto"/>
          <w:sz w:val="32"/>
          <w:szCs w:val="24"/>
          <w:highlight w:val="white"/>
          <w:lang w:val="zh-CN"/>
        </w:rPr>
        <w:t>财政</w:t>
      </w:r>
      <w:r>
        <w:rPr>
          <w:rFonts w:hint="eastAsia" w:ascii="仿宋" w:hAnsi="仿宋" w:eastAsia="仿宋"/>
          <w:b/>
          <w:color w:val="auto"/>
          <w:sz w:val="32"/>
          <w:szCs w:val="24"/>
          <w:highlight w:val="white"/>
          <w:lang w:val="en-US"/>
        </w:rPr>
        <w:t>拨款支出决算总体情况</w:t>
      </w:r>
    </w:p>
    <w:p>
      <w:pPr>
        <w:keepNext/>
        <w:keepLines/>
        <w:spacing w:beforeLines="0" w:afterLines="0" w:line="560" w:lineRule="exact"/>
        <w:ind w:firstLine="641"/>
        <w:rPr>
          <w:rFonts w:hint="eastAsia" w:ascii="仿宋" w:hAnsi="仿宋" w:eastAsia="仿宋"/>
          <w:color w:val="auto"/>
          <w:sz w:val="32"/>
          <w:szCs w:val="24"/>
          <w:highlight w:val="white"/>
          <w:lang w:val="zh-CN" w:eastAsia="zh-CN"/>
        </w:rPr>
      </w:pPr>
      <w:r>
        <w:rPr>
          <w:rFonts w:hint="eastAsia" w:ascii="仿宋" w:hAnsi="仿宋" w:eastAsia="仿宋"/>
          <w:color w:val="auto"/>
          <w:sz w:val="32"/>
          <w:szCs w:val="24"/>
          <w:highlight w:val="white"/>
          <w:lang w:val="en-US" w:eastAsia="zh-CN"/>
        </w:rPr>
        <w:t>2019年度财政拨款支出846.74万元，占本年支出合计的90.84%。与2018年度相比，财政拨款支出增加114万元，增长15.51%,</w:t>
      </w:r>
      <w:r>
        <w:rPr>
          <w:rFonts w:hint="eastAsia" w:ascii="仿宋" w:hAnsi="仿宋" w:eastAsia="仿宋"/>
          <w:color w:val="auto"/>
          <w:sz w:val="32"/>
          <w:szCs w:val="24"/>
          <w:highlight w:val="white"/>
          <w:lang w:val="zh-CN" w:eastAsia="zh-CN"/>
        </w:rPr>
        <w:t>主要原因是</w:t>
      </w:r>
      <w:r>
        <w:rPr>
          <w:rFonts w:hint="eastAsia" w:ascii="仿宋" w:hAnsi="仿宋" w:eastAsia="仿宋"/>
          <w:color w:val="auto"/>
          <w:sz w:val="32"/>
          <w:szCs w:val="24"/>
          <w:highlight w:val="white"/>
          <w:lang w:val="en-US" w:eastAsia="zh-CN"/>
        </w:rPr>
        <w:t>2019年</w:t>
      </w:r>
      <w:r>
        <w:rPr>
          <w:rFonts w:hint="eastAsia" w:ascii="仿宋" w:hAnsi="仿宋" w:eastAsia="仿宋"/>
          <w:color w:val="auto"/>
          <w:sz w:val="32"/>
          <w:szCs w:val="24"/>
          <w:highlight w:val="white"/>
          <w:lang w:val="zh-CN" w:eastAsia="zh-CN"/>
        </w:rPr>
        <w:t>机构改革，原区粮食局整体合并至发改局后，虽然</w:t>
      </w:r>
      <w:r>
        <w:rPr>
          <w:rFonts w:hint="eastAsia" w:ascii="仿宋" w:hAnsi="仿宋" w:eastAsia="仿宋"/>
          <w:color w:val="auto"/>
          <w:sz w:val="32"/>
          <w:szCs w:val="24"/>
          <w:highlight w:val="white"/>
          <w:lang w:val="en-US" w:eastAsia="zh-CN"/>
        </w:rPr>
        <w:t>2019年财务单独核算，但仍</w:t>
      </w:r>
      <w:r>
        <w:rPr>
          <w:rFonts w:hint="eastAsia" w:ascii="仿宋" w:hAnsi="仿宋" w:eastAsia="仿宋"/>
          <w:color w:val="auto"/>
          <w:sz w:val="32"/>
          <w:szCs w:val="24"/>
          <w:highlight w:val="white"/>
          <w:lang w:val="zh-CN" w:eastAsia="zh-CN"/>
        </w:rPr>
        <w:t>有部分开支在发改局，再加上</w:t>
      </w:r>
      <w:r>
        <w:rPr>
          <w:rFonts w:hint="eastAsia" w:ascii="仿宋" w:hAnsi="仿宋" w:eastAsia="仿宋"/>
          <w:color w:val="auto"/>
          <w:sz w:val="32"/>
          <w:szCs w:val="24"/>
          <w:highlight w:val="white"/>
          <w:lang w:val="en-US" w:eastAsia="zh-CN"/>
        </w:rPr>
        <w:t>2019年我局易地扶贫工作、立项争资工作、固定资产投资工作任务重，经费开支增大</w:t>
      </w:r>
      <w:r>
        <w:rPr>
          <w:rFonts w:hint="eastAsia" w:ascii="仿宋" w:hAnsi="仿宋" w:eastAsia="仿宋"/>
          <w:color w:val="auto"/>
          <w:sz w:val="32"/>
          <w:szCs w:val="24"/>
          <w:highlight w:val="white"/>
          <w:lang w:val="zh-CN" w:eastAsia="zh-CN"/>
        </w:rPr>
        <w:t>。</w:t>
      </w:r>
    </w:p>
    <w:p>
      <w:pPr>
        <w:keepNext/>
        <w:keepLines/>
        <w:spacing w:beforeLines="0" w:afterLines="0"/>
        <w:ind w:firstLine="641"/>
        <w:rPr>
          <w:rFonts w:hint="eastAsia" w:ascii="仿宋" w:hAnsi="仿宋" w:eastAsia="仿宋"/>
          <w:b/>
          <w:color w:val="auto"/>
          <w:sz w:val="32"/>
          <w:szCs w:val="24"/>
          <w:highlight w:val="white"/>
          <w:lang w:val="en-US"/>
        </w:rPr>
      </w:pPr>
      <w:r>
        <w:rPr>
          <w:rFonts w:hint="eastAsia" w:ascii="仿宋" w:hAnsi="仿宋" w:eastAsia="仿宋"/>
          <w:b/>
          <w:color w:val="auto"/>
          <w:sz w:val="32"/>
          <w:szCs w:val="24"/>
          <w:highlight w:val="white"/>
          <w:lang w:val="en-US"/>
        </w:rPr>
        <w:t>（二）</w:t>
      </w:r>
      <w:r>
        <w:rPr>
          <w:rFonts w:hint="eastAsia" w:ascii="仿宋" w:hAnsi="仿宋" w:eastAsia="仿宋"/>
          <w:b/>
          <w:color w:val="auto"/>
          <w:sz w:val="32"/>
          <w:szCs w:val="24"/>
          <w:highlight w:val="white"/>
          <w:lang w:val="en-US" w:eastAsia="zh-CN"/>
        </w:rPr>
        <w:t>一般公共预算</w:t>
      </w:r>
      <w:r>
        <w:rPr>
          <w:rFonts w:hint="eastAsia" w:ascii="仿宋" w:hAnsi="仿宋" w:eastAsia="仿宋"/>
          <w:b/>
          <w:color w:val="auto"/>
          <w:sz w:val="32"/>
          <w:szCs w:val="24"/>
          <w:highlight w:val="white"/>
          <w:lang w:val="en-US"/>
        </w:rPr>
        <w:t>财政拨款支出决算结构情况</w:t>
      </w:r>
    </w:p>
    <w:p>
      <w:pPr>
        <w:keepNext/>
        <w:keepLines/>
        <w:spacing w:beforeLines="0" w:afterLines="0" w:line="560" w:lineRule="exact"/>
        <w:ind w:firstLine="641"/>
        <w:rPr>
          <w:rFonts w:hint="eastAsia" w:ascii="仿宋" w:hAnsi="仿宋" w:eastAsia="仿宋"/>
          <w:color w:val="auto"/>
          <w:sz w:val="32"/>
          <w:szCs w:val="24"/>
          <w:highlight w:val="white"/>
          <w:lang w:val="en-US" w:eastAsia="zh-CN"/>
        </w:rPr>
      </w:pPr>
      <w:r>
        <w:rPr>
          <w:rFonts w:hint="eastAsia" w:ascii="仿宋" w:hAnsi="仿宋" w:eastAsia="仿宋"/>
          <w:color w:val="auto"/>
          <w:sz w:val="32"/>
          <w:szCs w:val="24"/>
          <w:highlight w:val="white"/>
          <w:lang w:val="en-US"/>
        </w:rPr>
        <w:t>2019年度财政拨款支出846.74万元，</w:t>
      </w:r>
      <w:r>
        <w:rPr>
          <w:rFonts w:hint="eastAsia" w:ascii="仿宋" w:hAnsi="仿宋" w:eastAsia="仿宋"/>
          <w:color w:val="auto"/>
          <w:sz w:val="32"/>
          <w:szCs w:val="24"/>
          <w:highlight w:val="white"/>
          <w:lang w:val="zh-CN"/>
        </w:rPr>
        <w:t>主要用于以下方面：</w:t>
      </w:r>
      <w:r>
        <w:rPr>
          <w:rFonts w:hint="eastAsia" w:ascii="仿宋" w:hAnsi="仿宋" w:eastAsia="仿宋"/>
          <w:color w:val="auto"/>
          <w:sz w:val="32"/>
          <w:szCs w:val="24"/>
          <w:highlight w:val="white"/>
          <w:lang w:val="en-US"/>
        </w:rPr>
        <w:t>一般公共服务（类）支出744.47万元，占87.92%；社会保障和就业（类）支出52.53万元，占6.2%；卫生健康（类）支出30.19万元，占3.57%；住房保障（类）支出19.54万元，占2.31%</w:t>
      </w:r>
      <w:r>
        <w:rPr>
          <w:rFonts w:hint="eastAsia" w:ascii="仿宋" w:hAnsi="仿宋" w:eastAsia="仿宋"/>
          <w:color w:val="auto"/>
          <w:sz w:val="32"/>
          <w:szCs w:val="24"/>
          <w:highlight w:val="white"/>
          <w:lang w:val="en-US" w:eastAsia="zh-CN"/>
        </w:rPr>
        <w:t>。</w:t>
      </w:r>
    </w:p>
    <w:p>
      <w:pPr>
        <w:keepNext/>
        <w:keepLines/>
        <w:spacing w:beforeLines="0" w:afterLines="0"/>
        <w:ind w:firstLine="641"/>
        <w:rPr>
          <w:rFonts w:hint="eastAsia" w:ascii="仿宋" w:hAnsi="仿宋" w:eastAsia="仿宋"/>
          <w:b/>
          <w:color w:val="auto"/>
          <w:sz w:val="32"/>
          <w:szCs w:val="24"/>
          <w:highlight w:val="white"/>
          <w:lang w:val="en-US"/>
        </w:rPr>
      </w:pPr>
      <w:r>
        <w:rPr>
          <w:rFonts w:hint="eastAsia" w:ascii="仿宋" w:hAnsi="仿宋" w:eastAsia="仿宋"/>
          <w:b/>
          <w:color w:val="auto"/>
          <w:sz w:val="32"/>
          <w:szCs w:val="24"/>
          <w:highlight w:val="white"/>
          <w:lang w:val="en-US"/>
        </w:rPr>
        <w:t>（三）</w:t>
      </w:r>
      <w:r>
        <w:rPr>
          <w:rFonts w:hint="eastAsia" w:ascii="仿宋" w:hAnsi="仿宋" w:eastAsia="仿宋"/>
          <w:b/>
          <w:color w:val="auto"/>
          <w:sz w:val="32"/>
          <w:szCs w:val="24"/>
          <w:highlight w:val="white"/>
          <w:lang w:val="en-US" w:eastAsia="zh-CN"/>
        </w:rPr>
        <w:t>一般公共预算</w:t>
      </w:r>
      <w:r>
        <w:rPr>
          <w:rFonts w:hint="eastAsia" w:ascii="仿宋" w:hAnsi="仿宋" w:eastAsia="仿宋"/>
          <w:b/>
          <w:color w:val="auto"/>
          <w:sz w:val="32"/>
          <w:szCs w:val="24"/>
          <w:highlight w:val="white"/>
          <w:lang w:val="en-US"/>
        </w:rPr>
        <w:t>财政拨款支出决算具体情况</w:t>
      </w:r>
    </w:p>
    <w:p>
      <w:pPr>
        <w:keepNext/>
        <w:keepLines/>
        <w:spacing w:beforeLines="0" w:afterLines="0" w:line="560" w:lineRule="exact"/>
        <w:ind w:firstLine="641"/>
        <w:rPr>
          <w:rFonts w:hint="eastAsia" w:ascii="仿宋" w:hAnsi="仿宋" w:eastAsia="仿宋"/>
          <w:color w:val="auto"/>
          <w:sz w:val="32"/>
          <w:szCs w:val="24"/>
          <w:highlight w:val="white"/>
          <w:lang w:val="en-US"/>
        </w:rPr>
      </w:pPr>
      <w:r>
        <w:rPr>
          <w:rFonts w:hint="eastAsia" w:ascii="仿宋" w:hAnsi="仿宋" w:eastAsia="仿宋"/>
          <w:color w:val="auto"/>
          <w:sz w:val="32"/>
          <w:szCs w:val="24"/>
          <w:highlight w:val="white"/>
          <w:lang w:val="en-US"/>
        </w:rPr>
        <w:t>2019年度财政拨款支出年初预算为</w:t>
      </w:r>
      <w:r>
        <w:rPr>
          <w:rFonts w:hint="eastAsia" w:ascii="仿宋" w:hAnsi="仿宋" w:eastAsia="仿宋"/>
          <w:color w:val="auto"/>
          <w:sz w:val="32"/>
          <w:szCs w:val="24"/>
          <w:highlight w:val="white"/>
          <w:lang w:val="en-US" w:eastAsia="zh-CN"/>
        </w:rPr>
        <w:t>614</w:t>
      </w:r>
      <w:r>
        <w:rPr>
          <w:rFonts w:hint="eastAsia" w:ascii="仿宋" w:hAnsi="仿宋" w:eastAsia="仿宋"/>
          <w:color w:val="auto"/>
          <w:sz w:val="32"/>
          <w:szCs w:val="24"/>
          <w:highlight w:val="white"/>
          <w:lang w:val="en-US"/>
        </w:rPr>
        <w:t>万元，支出决算为846.74万元，完成年初预算的</w:t>
      </w:r>
      <w:r>
        <w:rPr>
          <w:rFonts w:hint="eastAsia" w:ascii="仿宋" w:hAnsi="仿宋" w:eastAsia="仿宋"/>
          <w:color w:val="auto"/>
          <w:sz w:val="32"/>
          <w:szCs w:val="24"/>
          <w:highlight w:val="white"/>
          <w:lang w:val="en-US" w:eastAsia="zh-CN"/>
        </w:rPr>
        <w:t>137.9</w:t>
      </w:r>
      <w:r>
        <w:rPr>
          <w:rFonts w:hint="eastAsia" w:ascii="仿宋" w:hAnsi="仿宋" w:eastAsia="仿宋"/>
          <w:color w:val="auto"/>
          <w:sz w:val="32"/>
          <w:szCs w:val="24"/>
          <w:highlight w:val="white"/>
          <w:lang w:val="en-US"/>
        </w:rPr>
        <w:t>%。</w:t>
      </w:r>
    </w:p>
    <w:p>
      <w:pPr>
        <w:keepNext/>
        <w:keepLines/>
        <w:spacing w:beforeLines="0" w:afterLines="0" w:line="560" w:lineRule="exact"/>
        <w:ind w:firstLine="641"/>
        <w:rPr>
          <w:rFonts w:hint="eastAsia" w:ascii="仿宋" w:hAnsi="仿宋" w:eastAsia="仿宋"/>
          <w:color w:val="auto"/>
          <w:sz w:val="32"/>
          <w:szCs w:val="24"/>
          <w:highlight w:val="white"/>
          <w:lang w:val="en-US" w:eastAsia="zh-CN"/>
        </w:rPr>
      </w:pPr>
      <w:r>
        <w:rPr>
          <w:rFonts w:hint="eastAsia" w:ascii="仿宋" w:hAnsi="仿宋" w:eastAsia="仿宋"/>
          <w:color w:val="auto"/>
          <w:sz w:val="32"/>
          <w:szCs w:val="24"/>
          <w:highlight w:val="white"/>
          <w:lang w:val="en-US"/>
        </w:rPr>
        <w:t>201</w:t>
      </w:r>
      <w:r>
        <w:rPr>
          <w:rFonts w:hint="eastAsia" w:ascii="仿宋" w:hAnsi="仿宋" w:eastAsia="仿宋"/>
          <w:color w:val="auto"/>
          <w:sz w:val="32"/>
          <w:szCs w:val="24"/>
          <w:highlight w:val="white"/>
          <w:lang w:val="en-US" w:eastAsia="zh-CN"/>
        </w:rPr>
        <w:t>9</w:t>
      </w:r>
      <w:r>
        <w:rPr>
          <w:rFonts w:hint="eastAsia" w:ascii="仿宋" w:hAnsi="仿宋" w:eastAsia="仿宋"/>
          <w:color w:val="auto"/>
          <w:sz w:val="32"/>
          <w:szCs w:val="24"/>
          <w:highlight w:val="white"/>
          <w:lang w:val="en-US"/>
        </w:rPr>
        <w:t>年度财政拨款支出年初预算为</w:t>
      </w:r>
      <w:r>
        <w:rPr>
          <w:rFonts w:hint="eastAsia" w:ascii="仿宋" w:hAnsi="仿宋" w:eastAsia="仿宋"/>
          <w:color w:val="auto"/>
          <w:sz w:val="32"/>
          <w:szCs w:val="24"/>
          <w:highlight w:val="white"/>
          <w:lang w:val="en-US" w:eastAsia="zh-CN"/>
        </w:rPr>
        <w:t>614万</w:t>
      </w:r>
      <w:r>
        <w:rPr>
          <w:rFonts w:hint="eastAsia" w:ascii="仿宋" w:hAnsi="仿宋" w:eastAsia="仿宋"/>
          <w:color w:val="auto"/>
          <w:sz w:val="32"/>
          <w:szCs w:val="24"/>
          <w:highlight w:val="white"/>
          <w:lang w:val="en-US"/>
        </w:rPr>
        <w:t>元，其中</w:t>
      </w:r>
      <w:r>
        <w:rPr>
          <w:rFonts w:hint="eastAsia" w:ascii="仿宋" w:hAnsi="仿宋" w:eastAsia="仿宋"/>
          <w:color w:val="auto"/>
          <w:sz w:val="32"/>
          <w:szCs w:val="24"/>
          <w:highlight w:val="white"/>
          <w:lang w:val="en-US" w:eastAsia="zh-CN"/>
        </w:rPr>
        <w:t>，一般公共服务支出479万元，社会保障和就业支出79万元，卫生健康支出34万元，住房保障支出22万元。</w:t>
      </w:r>
    </w:p>
    <w:p>
      <w:pPr>
        <w:keepNext/>
        <w:keepLines/>
        <w:spacing w:beforeLines="0" w:afterLines="0" w:line="560" w:lineRule="exact"/>
        <w:ind w:firstLine="641"/>
        <w:rPr>
          <w:rFonts w:hint="eastAsia" w:ascii="仿宋" w:hAnsi="仿宋" w:eastAsia="仿宋"/>
          <w:color w:val="auto"/>
          <w:sz w:val="32"/>
          <w:szCs w:val="24"/>
          <w:highlight w:val="white"/>
          <w:lang w:val="en-US" w:eastAsia="zh-CN"/>
        </w:rPr>
      </w:pPr>
      <w:r>
        <w:rPr>
          <w:rFonts w:hint="eastAsia" w:ascii="仿宋" w:hAnsi="仿宋" w:eastAsia="仿宋"/>
          <w:color w:val="auto"/>
          <w:sz w:val="32"/>
          <w:szCs w:val="24"/>
          <w:highlight w:val="white"/>
          <w:lang w:val="en-US"/>
        </w:rPr>
        <w:t>2019年</w:t>
      </w:r>
      <w:r>
        <w:rPr>
          <w:rFonts w:hint="eastAsia" w:ascii="仿宋" w:hAnsi="仿宋" w:eastAsia="仿宋"/>
          <w:color w:val="auto"/>
          <w:sz w:val="32"/>
          <w:szCs w:val="24"/>
          <w:highlight w:val="white"/>
          <w:lang w:val="en-US" w:eastAsia="zh-CN"/>
        </w:rPr>
        <w:t>度</w:t>
      </w:r>
      <w:r>
        <w:rPr>
          <w:rFonts w:hint="eastAsia" w:ascii="仿宋" w:hAnsi="仿宋" w:eastAsia="仿宋"/>
          <w:color w:val="auto"/>
          <w:sz w:val="32"/>
          <w:szCs w:val="24"/>
          <w:highlight w:val="white"/>
          <w:lang w:val="en-US"/>
        </w:rPr>
        <w:t>财政拨款支出846.74万元，</w:t>
      </w:r>
      <w:r>
        <w:rPr>
          <w:rFonts w:hint="eastAsia" w:ascii="仿宋" w:hAnsi="仿宋" w:eastAsia="仿宋"/>
          <w:color w:val="auto"/>
          <w:sz w:val="32"/>
          <w:szCs w:val="24"/>
          <w:highlight w:val="white"/>
          <w:lang w:val="zh-CN"/>
        </w:rPr>
        <w:t>主要用于以下方面：</w:t>
      </w:r>
      <w:r>
        <w:rPr>
          <w:rFonts w:hint="eastAsia" w:ascii="仿宋" w:hAnsi="仿宋" w:eastAsia="仿宋"/>
          <w:color w:val="auto"/>
          <w:sz w:val="32"/>
          <w:szCs w:val="24"/>
          <w:highlight w:val="white"/>
          <w:lang w:val="en-US"/>
        </w:rPr>
        <w:t>一般公共服务（类）支出744.47万元，占87.92%；社会保障和就业（类）支出52.53万元，占6.2%；卫生健康（类）支出30.19万元，占3.57%；住房保障（类）支出19.54万元，占2.31%</w:t>
      </w:r>
      <w:r>
        <w:rPr>
          <w:rFonts w:hint="eastAsia" w:ascii="仿宋" w:hAnsi="仿宋" w:eastAsia="仿宋"/>
          <w:color w:val="auto"/>
          <w:sz w:val="32"/>
          <w:szCs w:val="24"/>
          <w:highlight w:val="white"/>
          <w:lang w:val="en-US" w:eastAsia="zh-CN"/>
        </w:rPr>
        <w:t>。</w:t>
      </w:r>
    </w:p>
    <w:p>
      <w:pPr>
        <w:keepNext/>
        <w:keepLines/>
        <w:spacing w:beforeLines="0" w:afterLines="0" w:line="560" w:lineRule="exact"/>
        <w:ind w:firstLine="641"/>
        <w:rPr>
          <w:rFonts w:hint="eastAsia" w:ascii="仿宋" w:hAnsi="仿宋" w:eastAsia="仿宋"/>
          <w:color w:val="auto"/>
          <w:sz w:val="32"/>
          <w:szCs w:val="24"/>
          <w:highlight w:val="white"/>
          <w:lang w:val="zh-CN"/>
        </w:rPr>
      </w:pPr>
      <w:r>
        <w:rPr>
          <w:rFonts w:hint="eastAsia" w:ascii="仿宋" w:hAnsi="仿宋" w:eastAsia="仿宋"/>
          <w:color w:val="auto"/>
          <w:sz w:val="32"/>
          <w:szCs w:val="24"/>
          <w:highlight w:val="white"/>
          <w:lang w:val="en-US" w:eastAsia="zh-CN"/>
        </w:rPr>
        <w:t>主要原因为2019年发改局人员分为机关工作人员和自收自支事业编制人员，计入机关的人员经费有所减少，自收自支人员经费计入国资办，另外由于业务工作量增加，导致公共服务支出经费增加。</w:t>
      </w:r>
      <w:r>
        <w:rPr>
          <w:rFonts w:hint="eastAsia" w:ascii="仿宋" w:hAnsi="仿宋" w:eastAsia="仿宋"/>
          <w:color w:val="auto"/>
          <w:sz w:val="32"/>
          <w:szCs w:val="24"/>
          <w:highlight w:val="white"/>
          <w:lang w:val="en-US"/>
        </w:rPr>
        <w:t xml:space="preserve">                                                                                                                                                                                                                                                                                                                                                                                                                                                                                                                                                                                                                                                                                                                                                                                                                                                                                                                                                                                                                                                                                                                                                                                                                                                                                                                                                                                                                                                                                                                                                                                                                                                                                                                                                                                                                                                                                                                                                                                                                                                                                                                                                                                                                                                                                                                                                                                                                                                                                                                                                                                                                                                                                                                                                                                                                                                                                                                                                                                                                                                                                                                                                                                                                                                                                                                                                                                                                                                                                                                                                                                                                                                                                                                                                                                                                                                                                                                                                                                                                                                                                                                                                                                                                </w:t>
      </w:r>
      <w:r>
        <w:rPr>
          <w:rFonts w:hint="eastAsia" w:ascii="仿宋" w:hAnsi="仿宋" w:eastAsia="仿宋"/>
          <w:color w:val="auto"/>
          <w:sz w:val="32"/>
          <w:szCs w:val="24"/>
          <w:highlight w:val="white"/>
          <w:lang w:val="en-US"/>
        </w:rPr>
        <w:t xml:space="preserve">                                                                                                                                                                                                                                                                                                                                                                                                                                                                                                                                                                                                                                                                                                                                                                                                                                                                                                                                                                                                                                                                                                                                                                                                                                                                                   </w:t>
      </w:r>
    </w:p>
    <w:p>
      <w:pPr>
        <w:keepNext/>
        <w:keepLines/>
        <w:spacing w:beforeLines="0" w:afterLines="0"/>
        <w:ind w:firstLine="641"/>
        <w:rPr>
          <w:rFonts w:hint="eastAsia" w:ascii="楷体" w:hAnsi="楷体" w:eastAsia="楷体"/>
          <w:b/>
          <w:color w:val="auto"/>
          <w:sz w:val="32"/>
          <w:szCs w:val="24"/>
          <w:highlight w:val="white"/>
          <w:lang w:val="en-US" w:eastAsia="zh-CN"/>
        </w:rPr>
      </w:pPr>
      <w:r>
        <w:rPr>
          <w:rFonts w:hint="eastAsia" w:ascii="楷体" w:hAnsi="楷体" w:eastAsia="楷体"/>
          <w:b/>
          <w:color w:val="auto"/>
          <w:sz w:val="32"/>
          <w:szCs w:val="24"/>
          <w:highlight w:val="white"/>
          <w:lang w:val="en-US" w:eastAsia="zh-CN"/>
        </w:rPr>
        <w:t>六、一般公共预算财政拨款基本支出决算情况说明</w:t>
      </w:r>
    </w:p>
    <w:p>
      <w:pPr>
        <w:keepNext/>
        <w:keepLines/>
        <w:spacing w:beforeLines="0" w:afterLines="0" w:line="560" w:lineRule="exact"/>
        <w:ind w:firstLine="641"/>
        <w:rPr>
          <w:rFonts w:hint="eastAsia" w:ascii="仿宋" w:hAnsi="仿宋" w:eastAsia="仿宋"/>
          <w:color w:val="auto"/>
          <w:sz w:val="32"/>
          <w:szCs w:val="24"/>
          <w:highlight w:val="white"/>
          <w:lang w:val="en-US"/>
        </w:rPr>
      </w:pPr>
      <w:r>
        <w:rPr>
          <w:rFonts w:hint="eastAsia" w:ascii="仿宋" w:hAnsi="仿宋" w:eastAsia="仿宋"/>
          <w:color w:val="auto"/>
          <w:sz w:val="32"/>
          <w:szCs w:val="24"/>
          <w:highlight w:val="white"/>
          <w:lang w:val="zh-CN"/>
        </w:rPr>
        <w:t xml:space="preserve">  2019年度一般公共预算</w:t>
      </w:r>
      <w:r>
        <w:rPr>
          <w:rFonts w:hint="eastAsia" w:ascii="仿宋" w:hAnsi="仿宋" w:eastAsia="仿宋"/>
          <w:color w:val="auto"/>
          <w:sz w:val="32"/>
          <w:szCs w:val="24"/>
          <w:highlight w:val="white"/>
          <w:lang w:val="en-US"/>
        </w:rPr>
        <w:t>财政拨款基本支出846.74万元，其中:人员经费456.05万元，主要包括基本工资、津贴补贴、</w:t>
      </w:r>
      <w:r>
        <w:rPr>
          <w:rFonts w:hint="eastAsia" w:ascii="仿宋" w:hAnsi="仿宋" w:eastAsia="仿宋"/>
          <w:color w:val="auto"/>
          <w:sz w:val="32"/>
          <w:szCs w:val="24"/>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仿宋" w:hAnsi="仿宋" w:eastAsia="仿宋"/>
          <w:color w:val="auto"/>
          <w:sz w:val="32"/>
          <w:szCs w:val="24"/>
          <w:highlight w:val="white"/>
          <w:lang w:val="en-US"/>
        </w:rPr>
        <w:t>公用经费390.69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pPr>
        <w:keepNext/>
        <w:keepLines/>
        <w:spacing w:beforeLines="0" w:afterLines="0"/>
        <w:ind w:firstLine="641"/>
        <w:rPr>
          <w:rFonts w:hint="eastAsia" w:ascii="楷体" w:hAnsi="楷体" w:eastAsia="楷体"/>
          <w:b/>
          <w:color w:val="auto"/>
          <w:sz w:val="32"/>
          <w:szCs w:val="24"/>
          <w:highlight w:val="white"/>
          <w:lang w:val="en-US" w:eastAsia="zh-CN"/>
        </w:rPr>
      </w:pPr>
      <w:r>
        <w:rPr>
          <w:rFonts w:hint="eastAsia" w:ascii="楷体" w:hAnsi="楷体" w:eastAsia="楷体"/>
          <w:b/>
          <w:color w:val="auto"/>
          <w:sz w:val="32"/>
          <w:szCs w:val="24"/>
          <w:highlight w:val="white"/>
          <w:lang w:val="en-US" w:eastAsia="zh-CN"/>
        </w:rPr>
        <w:t>七、政府性基金预算财政拨款收入支出预算情况说明</w:t>
      </w:r>
    </w:p>
    <w:p>
      <w:pPr>
        <w:keepNext/>
        <w:keepLines/>
        <w:numPr>
          <w:ilvl w:val="0"/>
          <w:numId w:val="0"/>
        </w:numPr>
        <w:spacing w:beforeLines="0" w:afterLines="0" w:line="560" w:lineRule="exact"/>
        <w:ind w:firstLine="640"/>
        <w:rPr>
          <w:rFonts w:hint="eastAsia" w:ascii="仿宋" w:hAnsi="仿宋" w:eastAsia="仿宋"/>
          <w:color w:val="auto"/>
          <w:sz w:val="32"/>
          <w:szCs w:val="24"/>
          <w:highlight w:val="white"/>
          <w:lang w:val="en-US" w:eastAsia="zh-CN"/>
        </w:rPr>
      </w:pPr>
      <w:r>
        <w:rPr>
          <w:rFonts w:hint="eastAsia" w:ascii="仿宋" w:hAnsi="仿宋" w:eastAsia="仿宋"/>
          <w:color w:val="auto"/>
          <w:sz w:val="32"/>
          <w:szCs w:val="24"/>
          <w:highlight w:val="white"/>
          <w:lang w:val="en-US" w:eastAsia="zh-CN"/>
        </w:rPr>
        <w:t>2019年度本单位没有政府性基金收入，也没有政府性基金安排的支出，故本表无数据。</w:t>
      </w:r>
    </w:p>
    <w:p>
      <w:pPr>
        <w:keepNext/>
        <w:keepLines/>
        <w:spacing w:beforeLines="0" w:afterLines="0"/>
        <w:ind w:firstLine="641"/>
        <w:rPr>
          <w:rFonts w:hint="eastAsia" w:ascii="楷体" w:hAnsi="楷体" w:eastAsia="楷体"/>
          <w:b/>
          <w:color w:val="auto"/>
          <w:sz w:val="32"/>
          <w:szCs w:val="24"/>
          <w:highlight w:val="white"/>
          <w:lang w:val="zh-CN" w:eastAsia="zh-CN"/>
        </w:rPr>
      </w:pPr>
      <w:r>
        <w:rPr>
          <w:rFonts w:hint="eastAsia" w:ascii="楷体" w:hAnsi="楷体" w:eastAsia="楷体"/>
          <w:b/>
          <w:color w:val="auto"/>
          <w:sz w:val="32"/>
          <w:szCs w:val="24"/>
          <w:highlight w:val="white"/>
          <w:lang w:val="en-US" w:eastAsia="zh-CN"/>
        </w:rPr>
        <w:t>八、</w:t>
      </w:r>
      <w:r>
        <w:rPr>
          <w:rFonts w:hint="eastAsia" w:ascii="楷体" w:hAnsi="楷体" w:eastAsia="楷体"/>
          <w:b/>
          <w:color w:val="auto"/>
          <w:sz w:val="32"/>
          <w:szCs w:val="24"/>
          <w:highlight w:val="white"/>
          <w:lang w:val="zh-CN" w:eastAsia="zh-CN"/>
        </w:rPr>
        <w:t>一般公共预算财政拨款“三公”经费支出决算情况说明</w:t>
      </w:r>
    </w:p>
    <w:p>
      <w:pPr>
        <w:keepNext/>
        <w:keepLines/>
        <w:spacing w:beforeLines="0" w:afterLines="0" w:line="560" w:lineRule="exact"/>
        <w:ind w:firstLine="641"/>
        <w:rPr>
          <w:rFonts w:hint="eastAsia" w:ascii="仿宋" w:hAnsi="仿宋" w:eastAsia="仿宋"/>
          <w:color w:val="auto"/>
          <w:sz w:val="32"/>
          <w:szCs w:val="24"/>
          <w:highlight w:val="white"/>
          <w:lang w:val="zh-CN"/>
        </w:rPr>
      </w:pPr>
      <w:r>
        <w:rPr>
          <w:rFonts w:hint="eastAsia" w:ascii="仿宋" w:hAnsi="仿宋" w:eastAsia="仿宋"/>
          <w:color w:val="auto"/>
          <w:sz w:val="32"/>
          <w:szCs w:val="24"/>
          <w:highlight w:val="white"/>
          <w:lang w:val="zh-CN"/>
        </w:rPr>
        <w:t>（一）“三公”经费财政拨款支出决算总体情况说明。</w:t>
      </w:r>
    </w:p>
    <w:p>
      <w:pPr>
        <w:keepNext/>
        <w:keepLines/>
        <w:spacing w:beforeLines="0" w:afterLines="0" w:line="560" w:lineRule="exact"/>
        <w:ind w:firstLine="641"/>
        <w:rPr>
          <w:rFonts w:hint="eastAsia" w:ascii="仿宋" w:hAnsi="仿宋" w:eastAsia="仿宋"/>
          <w:color w:val="auto"/>
          <w:sz w:val="32"/>
          <w:szCs w:val="24"/>
          <w:highlight w:val="white"/>
          <w:lang w:val="zh-CN"/>
        </w:rPr>
      </w:pPr>
      <w:r>
        <w:rPr>
          <w:rFonts w:hint="eastAsia" w:ascii="仿宋" w:hAnsi="仿宋" w:eastAsia="仿宋"/>
          <w:color w:val="auto"/>
          <w:sz w:val="32"/>
          <w:szCs w:val="24"/>
          <w:highlight w:val="white"/>
          <w:lang w:val="en-US"/>
        </w:rPr>
        <w:t>2019年度“三公”经费财政拨款支出预算为29.4万元，支出决算为29.38万元,</w:t>
      </w:r>
      <w:r>
        <w:rPr>
          <w:rFonts w:hint="eastAsia" w:ascii="仿宋" w:hAnsi="仿宋" w:eastAsia="仿宋"/>
          <w:color w:val="auto"/>
          <w:sz w:val="32"/>
          <w:szCs w:val="24"/>
          <w:highlight w:val="white"/>
          <w:lang w:val="zh-CN"/>
        </w:rPr>
        <w:t xml:space="preserve">完成预算的99.93%，其中：无因公出国（境）费支出预算与决算；无公务用车购置费及运行维护费支出预算与预算。   </w:t>
      </w:r>
    </w:p>
    <w:p>
      <w:pPr>
        <w:keepNext/>
        <w:keepLines/>
        <w:spacing w:beforeLines="0" w:afterLines="0" w:line="560" w:lineRule="exact"/>
        <w:ind w:firstLine="641"/>
        <w:rPr>
          <w:rFonts w:hint="eastAsia" w:ascii="仿宋" w:hAnsi="仿宋" w:eastAsia="仿宋"/>
          <w:color w:val="auto"/>
          <w:sz w:val="32"/>
          <w:szCs w:val="24"/>
          <w:highlight w:val="white"/>
          <w:lang w:val="zh-CN"/>
        </w:rPr>
      </w:pPr>
      <w:r>
        <w:rPr>
          <w:rFonts w:hint="eastAsia" w:ascii="仿宋" w:hAnsi="仿宋" w:eastAsia="仿宋"/>
          <w:color w:val="auto"/>
          <w:sz w:val="32"/>
          <w:szCs w:val="24"/>
          <w:highlight w:val="white"/>
          <w:lang w:val="zh-CN"/>
        </w:rPr>
        <w:t>公务接待费支出预算为29.4万元，支出决算为29.38万元,完成预算的99.93%,决算数小于预算数的主要原因是是认真贯彻落实中央“八项规定”精神和厉行节约要求，从严控制“三公”经费开支，全年实际支出比预算有所节约。  与上年相比减少0.0</w:t>
      </w:r>
      <w:r>
        <w:rPr>
          <w:rFonts w:hint="eastAsia" w:ascii="仿宋" w:hAnsi="仿宋" w:eastAsia="仿宋"/>
          <w:color w:val="auto"/>
          <w:sz w:val="32"/>
          <w:szCs w:val="24"/>
          <w:highlight w:val="white"/>
          <w:lang w:val="en-US" w:eastAsia="zh-CN"/>
        </w:rPr>
        <w:t>2</w:t>
      </w:r>
      <w:r>
        <w:rPr>
          <w:rFonts w:hint="eastAsia" w:ascii="仿宋" w:hAnsi="仿宋" w:eastAsia="仿宋"/>
          <w:color w:val="auto"/>
          <w:sz w:val="32"/>
          <w:szCs w:val="24"/>
          <w:highlight w:val="white"/>
          <w:lang w:val="zh-CN"/>
        </w:rPr>
        <w:t>万元，减少0.07%,减少主要原因是认真贯彻落实中央“八项规定”精神和厉行节约要求，从严控制“三公”经费开支，全年支出比上年有所压减。</w:t>
      </w:r>
    </w:p>
    <w:p>
      <w:pPr>
        <w:keepNext/>
        <w:keepLines/>
        <w:spacing w:beforeLines="0" w:afterLines="0" w:line="560" w:lineRule="exact"/>
        <w:ind w:firstLine="641"/>
        <w:rPr>
          <w:rFonts w:hint="eastAsia" w:ascii="仿宋" w:hAnsi="仿宋" w:eastAsia="仿宋"/>
          <w:color w:val="auto"/>
          <w:sz w:val="32"/>
          <w:szCs w:val="24"/>
          <w:highlight w:val="white"/>
          <w:lang w:val="zh-CN"/>
        </w:rPr>
      </w:pPr>
      <w:r>
        <w:rPr>
          <w:rFonts w:hint="eastAsia" w:ascii="仿宋" w:hAnsi="仿宋" w:eastAsia="仿宋"/>
          <w:color w:val="auto"/>
          <w:sz w:val="32"/>
          <w:szCs w:val="24"/>
          <w:highlight w:val="white"/>
          <w:lang w:val="zh-CN"/>
        </w:rPr>
        <w:t>（二）“三公”经费财政拨款支出决算具体情况说明。</w:t>
      </w:r>
    </w:p>
    <w:p>
      <w:pPr>
        <w:keepNext/>
        <w:keepLines/>
        <w:spacing w:beforeLines="0" w:afterLines="0" w:line="560" w:lineRule="exact"/>
        <w:ind w:firstLine="641"/>
        <w:rPr>
          <w:rFonts w:hint="eastAsia" w:ascii="仿宋" w:hAnsi="仿宋" w:eastAsia="仿宋"/>
          <w:color w:val="auto"/>
          <w:sz w:val="32"/>
          <w:szCs w:val="24"/>
          <w:highlight w:val="white"/>
          <w:lang w:val="zh-CN"/>
        </w:rPr>
      </w:pPr>
      <w:r>
        <w:rPr>
          <w:rFonts w:hint="eastAsia" w:ascii="仿宋" w:hAnsi="仿宋" w:eastAsia="仿宋"/>
          <w:color w:val="auto"/>
          <w:sz w:val="32"/>
          <w:szCs w:val="24"/>
          <w:highlight w:val="white"/>
          <w:lang w:val="zh-CN"/>
        </w:rPr>
        <w:t>2019年度“三公”经费财政拨款支出决算中，公务接待费决算29.38万元，占100%。具体情况如下：</w:t>
      </w:r>
    </w:p>
    <w:p>
      <w:pPr>
        <w:keepNext/>
        <w:keepLines/>
        <w:spacing w:beforeLines="0" w:afterLines="0" w:line="560" w:lineRule="exact"/>
        <w:ind w:firstLine="641"/>
        <w:rPr>
          <w:rFonts w:hint="eastAsia" w:ascii="仿宋" w:hAnsi="仿宋" w:eastAsia="仿宋"/>
          <w:color w:val="auto"/>
          <w:sz w:val="32"/>
          <w:szCs w:val="24"/>
          <w:highlight w:val="white"/>
          <w:lang w:val="en-US" w:eastAsia="zh-CN"/>
        </w:rPr>
      </w:pPr>
      <w:r>
        <w:rPr>
          <w:rFonts w:hint="eastAsia" w:ascii="仿宋" w:hAnsi="仿宋" w:eastAsia="仿宋"/>
          <w:color w:val="auto"/>
          <w:sz w:val="32"/>
          <w:szCs w:val="24"/>
          <w:highlight w:val="white"/>
          <w:lang w:val="en-US" w:eastAsia="zh-CN"/>
        </w:rPr>
        <w:t>1、</w:t>
      </w:r>
      <w:r>
        <w:rPr>
          <w:rFonts w:hint="eastAsia" w:ascii="仿宋" w:hAnsi="仿宋" w:eastAsia="仿宋"/>
          <w:color w:val="auto"/>
          <w:sz w:val="32"/>
          <w:szCs w:val="24"/>
          <w:highlight w:val="white"/>
          <w:lang w:val="zh-CN"/>
        </w:rPr>
        <w:t>因公出国（境）情况说明：因公出国（</w:t>
      </w:r>
      <w:r>
        <w:rPr>
          <w:rFonts w:hint="eastAsia" w:ascii="仿宋" w:hAnsi="仿宋" w:eastAsia="仿宋"/>
          <w:color w:val="auto"/>
          <w:sz w:val="32"/>
          <w:szCs w:val="24"/>
          <w:highlight w:val="white"/>
          <w:lang w:val="en-US" w:eastAsia="zh-CN"/>
        </w:rPr>
        <w:t>境</w:t>
      </w:r>
      <w:r>
        <w:rPr>
          <w:rFonts w:hint="eastAsia" w:ascii="仿宋" w:hAnsi="仿宋" w:eastAsia="仿宋"/>
          <w:color w:val="auto"/>
          <w:sz w:val="32"/>
          <w:szCs w:val="24"/>
          <w:highlight w:val="white"/>
          <w:lang w:val="zh-CN"/>
        </w:rPr>
        <w:t>）</w:t>
      </w:r>
      <w:r>
        <w:rPr>
          <w:rFonts w:hint="eastAsia" w:ascii="仿宋" w:hAnsi="仿宋" w:eastAsia="仿宋"/>
          <w:color w:val="auto"/>
          <w:sz w:val="32"/>
          <w:szCs w:val="24"/>
          <w:highlight w:val="white"/>
          <w:lang w:val="en-US" w:eastAsia="zh-CN"/>
        </w:rPr>
        <w:t>团组数为0人次。</w:t>
      </w:r>
    </w:p>
    <w:p>
      <w:pPr>
        <w:keepNext/>
        <w:keepLines/>
        <w:spacing w:beforeLines="0" w:afterLines="0" w:line="560" w:lineRule="exact"/>
        <w:ind w:firstLine="641"/>
        <w:rPr>
          <w:rFonts w:hint="eastAsia" w:ascii="仿宋" w:hAnsi="仿宋" w:eastAsia="仿宋"/>
          <w:color w:val="auto"/>
          <w:sz w:val="32"/>
          <w:szCs w:val="24"/>
          <w:highlight w:val="white"/>
          <w:lang w:val="en-US" w:eastAsia="zh-CN"/>
        </w:rPr>
      </w:pPr>
      <w:r>
        <w:rPr>
          <w:rFonts w:hint="eastAsia" w:ascii="仿宋" w:hAnsi="仿宋" w:eastAsia="仿宋"/>
          <w:color w:val="auto"/>
          <w:sz w:val="32"/>
          <w:szCs w:val="24"/>
          <w:highlight w:val="white"/>
          <w:lang w:val="en-US" w:eastAsia="zh-CN"/>
        </w:rPr>
        <w:t>2、公务用车购置及运行经费情况说明：公务用车购置支出0万元，公务用车运行经费支出为0万元,公车保有量为0台。</w:t>
      </w:r>
    </w:p>
    <w:p>
      <w:pPr>
        <w:keepNext/>
        <w:keepLines/>
        <w:spacing w:beforeLines="0" w:afterLines="0" w:line="560" w:lineRule="exact"/>
        <w:ind w:firstLine="641"/>
        <w:rPr>
          <w:rFonts w:hint="eastAsia" w:ascii="仿宋" w:hAnsi="仿宋" w:eastAsia="仿宋"/>
          <w:color w:val="auto"/>
          <w:sz w:val="32"/>
          <w:szCs w:val="24"/>
          <w:highlight w:val="white"/>
          <w:lang w:val="zh-CN"/>
        </w:rPr>
      </w:pPr>
    </w:p>
    <w:p>
      <w:pPr>
        <w:keepNext/>
        <w:keepLines/>
        <w:spacing w:beforeLines="0" w:afterLines="0" w:line="560" w:lineRule="exact"/>
        <w:ind w:firstLine="641"/>
        <w:rPr>
          <w:rFonts w:hint="eastAsia" w:ascii="仿宋" w:hAnsi="仿宋" w:eastAsia="仿宋"/>
          <w:color w:val="auto"/>
          <w:sz w:val="32"/>
          <w:szCs w:val="24"/>
          <w:highlight w:val="white"/>
          <w:lang w:val="zh-CN"/>
        </w:rPr>
      </w:pPr>
      <w:r>
        <w:rPr>
          <w:rFonts w:hint="eastAsia" w:ascii="仿宋" w:hAnsi="仿宋" w:eastAsia="仿宋"/>
          <w:color w:val="auto"/>
          <w:sz w:val="32"/>
          <w:szCs w:val="24"/>
          <w:highlight w:val="white"/>
          <w:lang w:val="en-US" w:eastAsia="zh-CN"/>
        </w:rPr>
        <w:t>3、公务接待情况说明：</w:t>
      </w:r>
      <w:r>
        <w:rPr>
          <w:rFonts w:hint="eastAsia" w:ascii="仿宋" w:hAnsi="仿宋" w:eastAsia="仿宋"/>
          <w:color w:val="auto"/>
          <w:sz w:val="32"/>
          <w:szCs w:val="24"/>
          <w:highlight w:val="white"/>
          <w:lang w:val="zh-CN"/>
        </w:rPr>
        <w:t>公务接待费预算为29.4万元，支出决算为29.38万元，完成预算的99.93%,主要是积极贯彻落实中央关于厉行节约的要求，从严控制公务接待行为。其中： 其他国内公务接待支出29.38万元。主要用于与有关单位交流工作情况及接受相关部门检查指导工作发生的接待支出。益阳市赫山区发展和改革局2019年共接待国内公务接待批次450个、接待人次2200人次（不包括陪同人员）。</w:t>
      </w:r>
    </w:p>
    <w:p>
      <w:pPr>
        <w:keepNext/>
        <w:keepLines/>
        <w:spacing w:beforeLines="0" w:afterLines="0"/>
        <w:ind w:firstLine="641"/>
        <w:rPr>
          <w:rFonts w:hint="eastAsia" w:ascii="楷体" w:hAnsi="楷体" w:eastAsia="楷体"/>
          <w:b/>
          <w:color w:val="auto"/>
          <w:sz w:val="32"/>
          <w:szCs w:val="24"/>
          <w:highlight w:val="white"/>
          <w:lang w:val="en-US" w:eastAsia="zh-CN"/>
        </w:rPr>
      </w:pPr>
      <w:r>
        <w:rPr>
          <w:rFonts w:hint="eastAsia" w:ascii="楷体" w:hAnsi="楷体" w:eastAsia="楷体"/>
          <w:b/>
          <w:color w:val="auto"/>
          <w:sz w:val="32"/>
          <w:szCs w:val="24"/>
          <w:highlight w:val="white"/>
          <w:lang w:val="en-US" w:eastAsia="zh-CN"/>
        </w:rPr>
        <w:t>九、预算绩效情况说明</w:t>
      </w:r>
    </w:p>
    <w:p>
      <w:pPr>
        <w:keepNext/>
        <w:keepLines/>
        <w:spacing w:beforeLines="0" w:afterLines="0" w:line="560" w:lineRule="exact"/>
        <w:ind w:firstLine="641"/>
        <w:rPr>
          <w:rFonts w:hint="eastAsia" w:ascii="仿宋" w:hAnsi="仿宋" w:eastAsia="仿宋"/>
          <w:color w:val="auto"/>
          <w:sz w:val="32"/>
          <w:szCs w:val="24"/>
          <w:highlight w:val="white"/>
          <w:lang w:val="en-US"/>
        </w:rPr>
      </w:pPr>
      <w:r>
        <w:rPr>
          <w:rFonts w:hint="eastAsia" w:ascii="仿宋" w:hAnsi="仿宋" w:eastAsia="仿宋"/>
          <w:color w:val="auto"/>
          <w:sz w:val="32"/>
          <w:szCs w:val="24"/>
          <w:highlight w:val="white"/>
          <w:lang w:val="en-US"/>
        </w:rPr>
        <w:t>（一）绩效管理工作开展情况。</w:t>
      </w:r>
    </w:p>
    <w:p>
      <w:pPr>
        <w:keepNext/>
        <w:keepLines/>
        <w:spacing w:beforeLines="0" w:afterLines="0" w:line="560" w:lineRule="exact"/>
        <w:ind w:firstLine="641"/>
        <w:rPr>
          <w:rFonts w:hint="eastAsia" w:ascii="仿宋" w:hAnsi="仿宋" w:eastAsia="仿宋"/>
          <w:color w:val="auto"/>
          <w:sz w:val="32"/>
          <w:szCs w:val="24"/>
          <w:highlight w:val="white"/>
          <w:lang w:val="zh-CN"/>
        </w:rPr>
      </w:pPr>
      <w:r>
        <w:rPr>
          <w:rFonts w:hint="eastAsia" w:ascii="仿宋" w:hAnsi="仿宋" w:eastAsia="仿宋"/>
          <w:color w:val="auto"/>
          <w:sz w:val="32"/>
          <w:szCs w:val="24"/>
          <w:highlight w:val="white"/>
          <w:lang w:val="zh-CN"/>
        </w:rPr>
        <w:t>201</w:t>
      </w:r>
      <w:r>
        <w:rPr>
          <w:rFonts w:hint="eastAsia" w:ascii="仿宋" w:hAnsi="仿宋" w:eastAsia="仿宋"/>
          <w:color w:val="auto"/>
          <w:sz w:val="32"/>
          <w:szCs w:val="24"/>
          <w:highlight w:val="white"/>
          <w:lang w:val="en-US" w:eastAsia="zh-CN"/>
        </w:rPr>
        <w:t>9</w:t>
      </w:r>
      <w:r>
        <w:rPr>
          <w:rFonts w:hint="eastAsia" w:ascii="仿宋" w:hAnsi="仿宋" w:eastAsia="仿宋"/>
          <w:color w:val="auto"/>
          <w:sz w:val="32"/>
          <w:szCs w:val="24"/>
          <w:highlight w:val="white"/>
          <w:lang w:val="zh-CN"/>
        </w:rPr>
        <w:t>年在区委、区政府和省、市粮食局的正确领导下，我们紧紧围绕年度目标任务，团结拼搏，锐意进取，扎实工作，全面完成了各项工作任务。</w:t>
      </w:r>
    </w:p>
    <w:p>
      <w:pPr>
        <w:keepNext/>
        <w:keepLines/>
        <w:spacing w:beforeLines="0" w:afterLines="0" w:line="560" w:lineRule="exact"/>
        <w:ind w:firstLine="641"/>
        <w:rPr>
          <w:rFonts w:hint="eastAsia" w:ascii="仿宋" w:hAnsi="仿宋" w:eastAsia="仿宋"/>
          <w:color w:val="auto"/>
          <w:sz w:val="32"/>
          <w:szCs w:val="24"/>
          <w:highlight w:val="white"/>
          <w:lang w:val="zh-CN" w:eastAsia="zh-CN"/>
        </w:rPr>
      </w:pPr>
      <w:r>
        <w:rPr>
          <w:rFonts w:hint="eastAsia" w:ascii="仿宋" w:hAnsi="仿宋" w:eastAsia="仿宋"/>
          <w:color w:val="auto"/>
          <w:sz w:val="32"/>
          <w:szCs w:val="24"/>
          <w:highlight w:val="white"/>
          <w:lang w:val="zh-CN"/>
        </w:rPr>
        <w:t>在区委区政府的正确领导及上级业务部门的精心指导下，</w:t>
      </w:r>
      <w:r>
        <w:rPr>
          <w:rFonts w:hint="eastAsia" w:ascii="仿宋" w:hAnsi="仿宋" w:eastAsia="仿宋"/>
          <w:color w:val="auto"/>
          <w:sz w:val="32"/>
          <w:szCs w:val="24"/>
          <w:highlight w:val="white"/>
          <w:lang w:val="zh-CN" w:eastAsia="zh-CN"/>
        </w:rPr>
        <w:t>我局粮食、物价、</w:t>
      </w:r>
      <w:r>
        <w:rPr>
          <w:rFonts w:hint="eastAsia" w:ascii="仿宋" w:hAnsi="仿宋" w:eastAsia="仿宋"/>
          <w:color w:val="auto"/>
          <w:sz w:val="32"/>
          <w:szCs w:val="24"/>
          <w:highlight w:val="white"/>
          <w:lang w:val="zh-CN"/>
        </w:rPr>
        <w:t>农经等其他常规性工作有序开展</w:t>
      </w:r>
      <w:r>
        <w:rPr>
          <w:rFonts w:hint="eastAsia" w:ascii="仿宋" w:hAnsi="仿宋" w:eastAsia="仿宋"/>
          <w:color w:val="auto"/>
          <w:sz w:val="32"/>
          <w:szCs w:val="24"/>
          <w:highlight w:val="white"/>
          <w:lang w:val="zh-CN" w:eastAsia="zh-CN"/>
        </w:rPr>
        <w:t>，取得了较为突出的成绩。粮食工作方面，一是</w:t>
      </w:r>
      <w:r>
        <w:rPr>
          <w:rFonts w:hint="eastAsia" w:ascii="仿宋" w:hAnsi="仿宋" w:eastAsia="仿宋"/>
          <w:color w:val="auto"/>
          <w:sz w:val="32"/>
          <w:szCs w:val="24"/>
          <w:highlight w:val="white"/>
          <w:lang w:val="zh-CN"/>
        </w:rPr>
        <w:t>粮食收储市场化转型</w:t>
      </w:r>
      <w:r>
        <w:rPr>
          <w:rFonts w:hint="eastAsia" w:ascii="仿宋" w:hAnsi="仿宋" w:eastAsia="仿宋"/>
          <w:color w:val="auto"/>
          <w:sz w:val="32"/>
          <w:szCs w:val="24"/>
          <w:highlight w:val="white"/>
          <w:lang w:val="zh-CN" w:eastAsia="zh-CN"/>
        </w:rPr>
        <w:t>加快推进。</w:t>
      </w:r>
      <w:r>
        <w:rPr>
          <w:rFonts w:hint="eastAsia" w:ascii="仿宋" w:hAnsi="仿宋" w:eastAsia="仿宋"/>
          <w:color w:val="auto"/>
          <w:sz w:val="32"/>
          <w:szCs w:val="24"/>
          <w:highlight w:val="white"/>
          <w:lang w:val="zh-CN"/>
        </w:rPr>
        <w:t>着力推动“政策市”向“市场市”转变</w:t>
      </w:r>
      <w:r>
        <w:rPr>
          <w:rFonts w:hint="eastAsia" w:ascii="仿宋" w:hAnsi="仿宋" w:eastAsia="仿宋"/>
          <w:color w:val="auto"/>
          <w:sz w:val="32"/>
          <w:szCs w:val="24"/>
          <w:highlight w:val="white"/>
          <w:lang w:val="zh-CN" w:eastAsia="zh-CN"/>
        </w:rPr>
        <w:t>，实现</w:t>
      </w:r>
      <w:r>
        <w:rPr>
          <w:rFonts w:hint="eastAsia" w:ascii="仿宋" w:hAnsi="仿宋" w:eastAsia="仿宋"/>
          <w:color w:val="auto"/>
          <w:sz w:val="32"/>
          <w:szCs w:val="24"/>
          <w:highlight w:val="white"/>
          <w:lang w:val="zh-CN"/>
        </w:rPr>
        <w:t>收购粮食42万吨。</w:t>
      </w:r>
      <w:r>
        <w:rPr>
          <w:rFonts w:hint="eastAsia" w:ascii="仿宋" w:hAnsi="仿宋" w:eastAsia="仿宋"/>
          <w:color w:val="auto"/>
          <w:sz w:val="32"/>
          <w:szCs w:val="24"/>
          <w:highlight w:val="white"/>
          <w:lang w:val="zh-CN" w:eastAsia="zh-CN"/>
        </w:rPr>
        <w:t>二是</w:t>
      </w:r>
      <w:r>
        <w:rPr>
          <w:rFonts w:hint="eastAsia" w:ascii="仿宋" w:hAnsi="仿宋" w:eastAsia="仿宋"/>
          <w:color w:val="auto"/>
          <w:sz w:val="32"/>
          <w:szCs w:val="24"/>
          <w:highlight w:val="white"/>
          <w:lang w:val="zh-CN"/>
        </w:rPr>
        <w:t>粮食企业科技创新</w:t>
      </w:r>
      <w:r>
        <w:rPr>
          <w:rFonts w:hint="eastAsia" w:ascii="仿宋" w:hAnsi="仿宋" w:eastAsia="仿宋"/>
          <w:color w:val="auto"/>
          <w:sz w:val="32"/>
          <w:szCs w:val="24"/>
          <w:highlight w:val="white"/>
          <w:lang w:val="zh-CN" w:eastAsia="zh-CN"/>
        </w:rPr>
        <w:t>取得突破。累计投入</w:t>
      </w:r>
      <w:r>
        <w:rPr>
          <w:rFonts w:hint="eastAsia" w:ascii="仿宋" w:hAnsi="仿宋" w:eastAsia="仿宋"/>
          <w:color w:val="auto"/>
          <w:sz w:val="32"/>
          <w:szCs w:val="24"/>
          <w:highlight w:val="white"/>
          <w:lang w:val="zh-CN"/>
        </w:rPr>
        <w:t>科技创新资金近2亿元，成功入选“中国好粮油”国家级示范县。</w:t>
      </w:r>
      <w:r>
        <w:rPr>
          <w:rFonts w:hint="eastAsia" w:ascii="仿宋" w:hAnsi="仿宋" w:eastAsia="仿宋"/>
          <w:color w:val="auto"/>
          <w:sz w:val="32"/>
          <w:szCs w:val="24"/>
          <w:highlight w:val="white"/>
          <w:lang w:val="zh-CN" w:eastAsia="zh-CN"/>
        </w:rPr>
        <w:t>三是</w:t>
      </w:r>
      <w:r>
        <w:rPr>
          <w:rFonts w:hint="eastAsia" w:ascii="仿宋" w:hAnsi="仿宋" w:eastAsia="仿宋"/>
          <w:color w:val="auto"/>
          <w:sz w:val="32"/>
          <w:szCs w:val="24"/>
          <w:highlight w:val="white"/>
          <w:lang w:val="zh-CN"/>
        </w:rPr>
        <w:t>加快粮食产业转型升级</w:t>
      </w:r>
      <w:r>
        <w:rPr>
          <w:rFonts w:hint="eastAsia" w:ascii="仿宋" w:hAnsi="仿宋" w:eastAsia="仿宋"/>
          <w:color w:val="auto"/>
          <w:sz w:val="32"/>
          <w:szCs w:val="24"/>
          <w:highlight w:val="white"/>
          <w:lang w:val="zh-CN" w:eastAsia="zh-CN"/>
        </w:rPr>
        <w:t>，</w:t>
      </w:r>
      <w:r>
        <w:rPr>
          <w:rFonts w:hint="eastAsia" w:ascii="仿宋" w:hAnsi="仿宋" w:eastAsia="仿宋"/>
          <w:color w:val="auto"/>
          <w:sz w:val="32"/>
          <w:szCs w:val="24"/>
          <w:highlight w:val="white"/>
          <w:lang w:val="zh-CN"/>
        </w:rPr>
        <w:t>着力打造“三品一标”，培育中国驰名商标3个、湖南省著名商标7个、区域性畅销品牌20多个</w:t>
      </w:r>
      <w:r>
        <w:rPr>
          <w:rFonts w:hint="eastAsia" w:ascii="仿宋" w:hAnsi="仿宋" w:eastAsia="仿宋"/>
          <w:color w:val="auto"/>
          <w:sz w:val="32"/>
          <w:szCs w:val="24"/>
          <w:highlight w:val="white"/>
          <w:lang w:val="zh-CN" w:eastAsia="zh-CN"/>
        </w:rPr>
        <w:t>。四是</w:t>
      </w:r>
      <w:r>
        <w:rPr>
          <w:rFonts w:hint="eastAsia" w:ascii="仿宋" w:hAnsi="仿宋" w:eastAsia="仿宋"/>
          <w:color w:val="auto"/>
          <w:sz w:val="32"/>
          <w:szCs w:val="24"/>
          <w:highlight w:val="white"/>
          <w:lang w:val="zh-CN"/>
        </w:rPr>
        <w:t>对全区国有粮食企业存量固定资产开展了全面调查。</w:t>
      </w:r>
      <w:r>
        <w:rPr>
          <w:rFonts w:hint="eastAsia" w:ascii="仿宋" w:hAnsi="仿宋" w:eastAsia="仿宋"/>
          <w:color w:val="auto"/>
          <w:sz w:val="32"/>
          <w:szCs w:val="24"/>
          <w:highlight w:val="white"/>
          <w:lang w:val="zh-CN" w:eastAsia="zh-CN"/>
        </w:rPr>
        <w:t>物价工作方面，加强了</w:t>
      </w:r>
      <w:r>
        <w:rPr>
          <w:rFonts w:hint="eastAsia" w:ascii="仿宋" w:hAnsi="仿宋" w:eastAsia="仿宋"/>
          <w:color w:val="auto"/>
          <w:sz w:val="32"/>
          <w:szCs w:val="24"/>
          <w:highlight w:val="white"/>
          <w:lang w:val="zh-CN"/>
        </w:rPr>
        <w:t>行政事业性收费</w:t>
      </w:r>
      <w:r>
        <w:rPr>
          <w:rFonts w:hint="eastAsia" w:ascii="仿宋" w:hAnsi="仿宋" w:eastAsia="仿宋"/>
          <w:color w:val="auto"/>
          <w:sz w:val="32"/>
          <w:szCs w:val="24"/>
          <w:highlight w:val="white"/>
          <w:lang w:val="zh-CN" w:eastAsia="zh-CN"/>
        </w:rPr>
        <w:t>、</w:t>
      </w:r>
      <w:r>
        <w:rPr>
          <w:rFonts w:hint="eastAsia" w:ascii="仿宋" w:hAnsi="仿宋" w:eastAsia="仿宋"/>
          <w:color w:val="auto"/>
          <w:sz w:val="32"/>
          <w:szCs w:val="24"/>
          <w:highlight w:val="white"/>
          <w:lang w:val="zh-CN"/>
        </w:rPr>
        <w:t>经营服务性价格</w:t>
      </w:r>
      <w:r>
        <w:rPr>
          <w:rFonts w:hint="eastAsia" w:ascii="仿宋" w:hAnsi="仿宋" w:eastAsia="仿宋"/>
          <w:color w:val="auto"/>
          <w:sz w:val="32"/>
          <w:szCs w:val="24"/>
          <w:highlight w:val="white"/>
          <w:lang w:val="zh-CN" w:eastAsia="zh-CN"/>
        </w:rPr>
        <w:t>、</w:t>
      </w:r>
      <w:r>
        <w:rPr>
          <w:rFonts w:hint="eastAsia" w:ascii="仿宋" w:hAnsi="仿宋" w:eastAsia="仿宋"/>
          <w:color w:val="auto"/>
          <w:sz w:val="32"/>
          <w:szCs w:val="24"/>
          <w:highlight w:val="white"/>
          <w:lang w:val="zh-CN"/>
        </w:rPr>
        <w:t>教育收费</w:t>
      </w:r>
      <w:r>
        <w:rPr>
          <w:rFonts w:hint="eastAsia" w:ascii="仿宋" w:hAnsi="仿宋" w:eastAsia="仿宋"/>
          <w:color w:val="auto"/>
          <w:sz w:val="32"/>
          <w:szCs w:val="24"/>
          <w:highlight w:val="white"/>
          <w:lang w:val="zh-CN" w:eastAsia="zh-CN"/>
        </w:rPr>
        <w:t>、</w:t>
      </w:r>
      <w:r>
        <w:rPr>
          <w:rFonts w:hint="eastAsia" w:ascii="仿宋" w:hAnsi="仿宋" w:eastAsia="仿宋"/>
          <w:color w:val="auto"/>
          <w:sz w:val="32"/>
          <w:szCs w:val="24"/>
          <w:highlight w:val="white"/>
          <w:lang w:val="zh-CN"/>
        </w:rPr>
        <w:t>一般工商业电价</w:t>
      </w:r>
      <w:r>
        <w:rPr>
          <w:rFonts w:hint="eastAsia" w:ascii="仿宋" w:hAnsi="仿宋" w:eastAsia="仿宋"/>
          <w:color w:val="auto"/>
          <w:sz w:val="32"/>
          <w:szCs w:val="24"/>
          <w:highlight w:val="white"/>
          <w:lang w:val="zh-CN" w:eastAsia="zh-CN"/>
        </w:rPr>
        <w:t>管理；</w:t>
      </w:r>
      <w:r>
        <w:rPr>
          <w:rFonts w:hint="eastAsia" w:ascii="仿宋" w:hAnsi="仿宋" w:eastAsia="仿宋"/>
          <w:color w:val="auto"/>
          <w:sz w:val="32"/>
          <w:szCs w:val="24"/>
          <w:highlight w:val="white"/>
          <w:lang w:val="zh-CN"/>
        </w:rPr>
        <w:t>狠抓农调、监测工作数据质量、分析研究</w:t>
      </w:r>
      <w:r>
        <w:rPr>
          <w:rFonts w:hint="eastAsia" w:ascii="仿宋" w:hAnsi="仿宋" w:eastAsia="仿宋"/>
          <w:color w:val="auto"/>
          <w:sz w:val="32"/>
          <w:szCs w:val="24"/>
          <w:highlight w:val="white"/>
          <w:lang w:val="zh-CN" w:eastAsia="zh-CN"/>
        </w:rPr>
        <w:t>，维护了市场价格稳定。农经工作方面，获得各级资金</w:t>
      </w:r>
      <w:r>
        <w:rPr>
          <w:rFonts w:hint="eastAsia" w:ascii="仿宋" w:hAnsi="仿宋" w:eastAsia="仿宋"/>
          <w:color w:val="auto"/>
          <w:sz w:val="32"/>
          <w:szCs w:val="24"/>
          <w:highlight w:val="white"/>
          <w:lang w:val="en-US" w:eastAsia="zh-CN"/>
        </w:rPr>
        <w:t>8098万元，申</w:t>
      </w:r>
      <w:r>
        <w:rPr>
          <w:rFonts w:hint="eastAsia" w:ascii="仿宋" w:hAnsi="仿宋" w:eastAsia="仿宋"/>
          <w:color w:val="auto"/>
          <w:sz w:val="32"/>
          <w:szCs w:val="24"/>
          <w:highlight w:val="white"/>
          <w:lang w:val="zh-CN"/>
        </w:rPr>
        <w:t>报2020年中央预算内投资项目13个</w:t>
      </w:r>
      <w:r>
        <w:rPr>
          <w:rFonts w:hint="eastAsia" w:ascii="仿宋" w:hAnsi="仿宋" w:eastAsia="仿宋"/>
          <w:color w:val="auto"/>
          <w:sz w:val="32"/>
          <w:szCs w:val="24"/>
          <w:highlight w:val="white"/>
          <w:lang w:val="zh-CN" w:eastAsia="zh-CN"/>
        </w:rPr>
        <w:t>；扎实做好了</w:t>
      </w:r>
      <w:r>
        <w:rPr>
          <w:rFonts w:hint="eastAsia" w:ascii="仿宋" w:hAnsi="仿宋" w:eastAsia="仿宋"/>
          <w:color w:val="auto"/>
          <w:sz w:val="32"/>
          <w:szCs w:val="24"/>
          <w:highlight w:val="white"/>
          <w:lang w:val="zh-CN"/>
        </w:rPr>
        <w:t>生猪规模化养殖</w:t>
      </w:r>
      <w:r>
        <w:rPr>
          <w:rFonts w:hint="eastAsia" w:ascii="仿宋" w:hAnsi="仿宋" w:eastAsia="仿宋"/>
          <w:color w:val="auto"/>
          <w:sz w:val="32"/>
          <w:szCs w:val="24"/>
          <w:highlight w:val="white"/>
          <w:lang w:val="zh-CN" w:eastAsia="zh-CN"/>
        </w:rPr>
        <w:t>、农村人居环境整治等事关民生的项目调研、入库、申报工作。</w:t>
      </w:r>
    </w:p>
    <w:p>
      <w:pPr>
        <w:keepNext/>
        <w:keepLines/>
        <w:spacing w:beforeLines="0" w:afterLines="0" w:line="560" w:lineRule="exact"/>
        <w:ind w:firstLine="641"/>
        <w:rPr>
          <w:rFonts w:hint="eastAsia" w:ascii="仿宋" w:hAnsi="仿宋" w:eastAsia="仿宋"/>
          <w:color w:val="auto"/>
          <w:sz w:val="32"/>
          <w:szCs w:val="24"/>
          <w:highlight w:val="white"/>
          <w:lang w:val="zh-CN" w:eastAsia="zh-CN"/>
        </w:rPr>
      </w:pPr>
      <w:r>
        <w:rPr>
          <w:rFonts w:hint="eastAsia" w:ascii="仿宋" w:hAnsi="仿宋" w:eastAsia="仿宋"/>
          <w:color w:val="auto"/>
          <w:sz w:val="32"/>
          <w:szCs w:val="24"/>
          <w:highlight w:val="white"/>
          <w:lang w:val="en-US" w:eastAsia="zh-CN"/>
        </w:rPr>
        <w:t xml:space="preserve"> 总体来说，包括</w:t>
      </w:r>
      <w:r>
        <w:rPr>
          <w:rFonts w:hint="eastAsia" w:ascii="仿宋" w:hAnsi="仿宋" w:eastAsia="仿宋"/>
          <w:color w:val="auto"/>
          <w:sz w:val="32"/>
          <w:szCs w:val="24"/>
          <w:highlight w:val="white"/>
          <w:lang w:val="zh-CN" w:eastAsia="zh-CN"/>
        </w:rPr>
        <w:t>服务业、</w:t>
      </w:r>
      <w:r>
        <w:rPr>
          <w:rFonts w:hint="eastAsia" w:ascii="仿宋" w:hAnsi="仿宋" w:eastAsia="仿宋"/>
          <w:color w:val="auto"/>
          <w:sz w:val="32"/>
          <w:szCs w:val="24"/>
          <w:highlight w:val="white"/>
          <w:lang w:val="zh-CN"/>
        </w:rPr>
        <w:t>社发、环资</w:t>
      </w:r>
      <w:r>
        <w:rPr>
          <w:rFonts w:hint="eastAsia" w:ascii="仿宋" w:hAnsi="仿宋" w:eastAsia="仿宋"/>
          <w:color w:val="auto"/>
          <w:sz w:val="32"/>
          <w:szCs w:val="24"/>
          <w:highlight w:val="white"/>
          <w:lang w:val="zh-CN" w:eastAsia="zh-CN"/>
        </w:rPr>
        <w:t>、招投标等在内的所有工作均</w:t>
      </w:r>
      <w:r>
        <w:rPr>
          <w:rFonts w:hint="eastAsia" w:ascii="仿宋" w:hAnsi="仿宋" w:eastAsia="仿宋"/>
          <w:color w:val="auto"/>
          <w:sz w:val="32"/>
          <w:szCs w:val="24"/>
          <w:highlight w:val="white"/>
          <w:lang w:val="en-US" w:eastAsia="zh-CN"/>
        </w:rPr>
        <w:t>基本完成了年初预定任务，部分工作超额完成指标。</w:t>
      </w:r>
    </w:p>
    <w:p>
      <w:pPr>
        <w:keepNext/>
        <w:keepLines/>
        <w:spacing w:beforeLines="0" w:afterLines="0" w:line="560" w:lineRule="exact"/>
        <w:ind w:firstLine="641"/>
        <w:rPr>
          <w:rFonts w:hint="eastAsia" w:ascii="仿宋" w:hAnsi="仿宋" w:eastAsia="仿宋"/>
          <w:color w:val="auto"/>
          <w:sz w:val="32"/>
          <w:szCs w:val="24"/>
          <w:highlight w:val="white"/>
          <w:lang w:val="en-US" w:eastAsia="zh-CN"/>
        </w:rPr>
      </w:pPr>
      <w:r>
        <w:rPr>
          <w:rFonts w:hint="eastAsia" w:ascii="仿宋" w:hAnsi="仿宋" w:eastAsia="仿宋"/>
          <w:color w:val="auto"/>
          <w:sz w:val="32"/>
          <w:szCs w:val="24"/>
          <w:highlight w:val="white"/>
          <w:lang w:val="en-US" w:eastAsia="zh-CN"/>
        </w:rPr>
        <w:t>综合以上各项指标，我局2019年的部门整体支出绩效自评分为91分，自评结果：优秀。</w:t>
      </w:r>
    </w:p>
    <w:p>
      <w:pPr>
        <w:keepNext/>
        <w:keepLines/>
        <w:spacing w:beforeLines="0" w:afterLines="0" w:line="560" w:lineRule="exact"/>
        <w:ind w:firstLine="641"/>
        <w:rPr>
          <w:rFonts w:hint="eastAsia" w:ascii="仿宋" w:hAnsi="仿宋" w:eastAsia="仿宋"/>
          <w:color w:val="auto"/>
          <w:sz w:val="32"/>
          <w:szCs w:val="24"/>
          <w:highlight w:val="white"/>
          <w:lang w:val="en-US"/>
        </w:rPr>
      </w:pPr>
      <w:r>
        <w:rPr>
          <w:rFonts w:hint="eastAsia" w:ascii="仿宋" w:hAnsi="仿宋" w:eastAsia="仿宋"/>
          <w:color w:val="auto"/>
          <w:sz w:val="32"/>
          <w:szCs w:val="24"/>
          <w:highlight w:val="white"/>
          <w:lang w:val="en-US" w:eastAsia="zh-CN"/>
        </w:rPr>
        <w:t>（二）</w:t>
      </w:r>
      <w:r>
        <w:rPr>
          <w:rFonts w:hint="eastAsia" w:ascii="仿宋" w:hAnsi="仿宋" w:eastAsia="仿宋"/>
          <w:color w:val="auto"/>
          <w:sz w:val="32"/>
          <w:szCs w:val="24"/>
          <w:highlight w:val="white"/>
          <w:lang w:val="en-US"/>
        </w:rPr>
        <w:t>部门决算中项目绩效自评结果。</w:t>
      </w:r>
    </w:p>
    <w:p>
      <w:pPr>
        <w:keepNext/>
        <w:keepLines/>
        <w:spacing w:beforeLines="0" w:afterLines="0" w:line="560" w:lineRule="exact"/>
        <w:ind w:firstLine="641"/>
        <w:rPr>
          <w:rFonts w:hint="eastAsia" w:ascii="仿宋" w:hAnsi="仿宋" w:eastAsia="仿宋"/>
          <w:color w:val="auto"/>
          <w:sz w:val="32"/>
          <w:szCs w:val="24"/>
          <w:highlight w:val="white"/>
          <w:lang w:val="en-US"/>
        </w:rPr>
      </w:pPr>
      <w:r>
        <w:rPr>
          <w:rFonts w:hint="eastAsia" w:ascii="仿宋" w:hAnsi="仿宋" w:eastAsia="仿宋"/>
          <w:color w:val="auto"/>
          <w:sz w:val="32"/>
          <w:szCs w:val="24"/>
          <w:highlight w:val="white"/>
          <w:lang w:val="en-US" w:eastAsia="zh-CN"/>
        </w:rPr>
        <w:t>根据绩效评价的要求，我局对优质粮油工程项目、乡村振兴编制项目、立项争资经费支出项目进行自评，评价结果均为优秀。</w:t>
      </w:r>
    </w:p>
    <w:p>
      <w:pPr>
        <w:keepNext/>
        <w:keepLines/>
        <w:spacing w:beforeLines="0" w:afterLines="0" w:line="560" w:lineRule="exact"/>
        <w:ind w:firstLine="641"/>
        <w:rPr>
          <w:rFonts w:hint="eastAsia" w:ascii="仿宋" w:hAnsi="仿宋" w:eastAsia="仿宋"/>
          <w:color w:val="auto"/>
          <w:sz w:val="32"/>
          <w:szCs w:val="24"/>
          <w:highlight w:val="white"/>
          <w:lang w:val="en-US"/>
        </w:rPr>
      </w:pPr>
      <w:r>
        <w:rPr>
          <w:rFonts w:hint="eastAsia" w:ascii="仿宋" w:hAnsi="仿宋" w:eastAsia="仿宋"/>
          <w:color w:val="auto"/>
          <w:sz w:val="32"/>
          <w:szCs w:val="24"/>
          <w:highlight w:val="white"/>
          <w:lang w:val="en-US" w:eastAsia="zh-CN"/>
        </w:rPr>
        <w:t>（三）</w:t>
      </w:r>
      <w:r>
        <w:rPr>
          <w:rFonts w:hint="eastAsia" w:ascii="仿宋" w:hAnsi="仿宋" w:eastAsia="仿宋"/>
          <w:color w:val="auto"/>
          <w:sz w:val="32"/>
          <w:szCs w:val="24"/>
          <w:highlight w:val="white"/>
          <w:lang w:val="en-US"/>
        </w:rPr>
        <w:t>以部门为主体开展的重点绩效评价结果。</w:t>
      </w:r>
    </w:p>
    <w:p>
      <w:pPr>
        <w:keepNext/>
        <w:keepLines/>
        <w:spacing w:beforeLines="0" w:afterLines="0" w:line="560" w:lineRule="exact"/>
        <w:ind w:firstLine="641"/>
        <w:rPr>
          <w:rFonts w:hint="eastAsia" w:ascii="仿宋" w:hAnsi="仿宋" w:eastAsia="仿宋"/>
          <w:color w:val="auto"/>
          <w:sz w:val="32"/>
          <w:szCs w:val="24"/>
          <w:highlight w:val="white"/>
          <w:lang w:val="en-US"/>
        </w:rPr>
      </w:pPr>
      <w:r>
        <w:rPr>
          <w:rFonts w:hint="eastAsia" w:ascii="仿宋" w:hAnsi="仿宋" w:eastAsia="仿宋"/>
          <w:color w:val="auto"/>
          <w:sz w:val="32"/>
          <w:szCs w:val="24"/>
          <w:highlight w:val="white"/>
          <w:lang w:val="zh-CN"/>
        </w:rPr>
        <w:t>根据《</w:t>
      </w:r>
      <w:r>
        <w:rPr>
          <w:rFonts w:hint="eastAsia" w:ascii="仿宋" w:hAnsi="仿宋" w:eastAsia="仿宋"/>
          <w:color w:val="auto"/>
          <w:sz w:val="32"/>
          <w:szCs w:val="24"/>
          <w:highlight w:val="white"/>
          <w:lang w:val="zh-CN" w:eastAsia="zh-CN"/>
        </w:rPr>
        <w:t>益阳市赫山区财政局</w:t>
      </w:r>
      <w:r>
        <w:rPr>
          <w:rFonts w:hint="eastAsia" w:ascii="仿宋" w:hAnsi="仿宋" w:eastAsia="仿宋"/>
          <w:color w:val="auto"/>
          <w:sz w:val="32"/>
          <w:szCs w:val="24"/>
          <w:highlight w:val="white"/>
          <w:lang w:val="zh-CN"/>
        </w:rPr>
        <w:t>关于做好</w:t>
      </w:r>
      <w:r>
        <w:rPr>
          <w:rFonts w:hint="eastAsia" w:ascii="仿宋" w:hAnsi="仿宋" w:eastAsia="仿宋"/>
          <w:color w:val="auto"/>
          <w:sz w:val="32"/>
          <w:szCs w:val="24"/>
          <w:highlight w:val="white"/>
          <w:lang w:val="zh-CN" w:eastAsia="zh-CN"/>
        </w:rPr>
        <w:t>201</w:t>
      </w:r>
      <w:r>
        <w:rPr>
          <w:rFonts w:hint="eastAsia" w:ascii="仿宋" w:hAnsi="仿宋" w:eastAsia="仿宋"/>
          <w:color w:val="auto"/>
          <w:sz w:val="32"/>
          <w:szCs w:val="24"/>
          <w:highlight w:val="white"/>
          <w:lang w:val="en-US" w:eastAsia="zh-CN"/>
        </w:rPr>
        <w:t>9</w:t>
      </w:r>
      <w:r>
        <w:rPr>
          <w:rFonts w:hint="eastAsia" w:ascii="仿宋" w:hAnsi="仿宋" w:eastAsia="仿宋"/>
          <w:color w:val="auto"/>
          <w:sz w:val="32"/>
          <w:szCs w:val="24"/>
          <w:highlight w:val="white"/>
          <w:lang w:val="zh-CN" w:eastAsia="zh-CN"/>
        </w:rPr>
        <w:t>年</w:t>
      </w:r>
      <w:r>
        <w:rPr>
          <w:rFonts w:hint="eastAsia" w:ascii="仿宋" w:hAnsi="仿宋" w:eastAsia="仿宋"/>
          <w:color w:val="auto"/>
          <w:sz w:val="32"/>
          <w:szCs w:val="24"/>
          <w:highlight w:val="white"/>
          <w:lang w:val="zh-CN"/>
        </w:rPr>
        <w:t>度预算绩效自评工作的通知》</w:t>
      </w:r>
      <w:r>
        <w:rPr>
          <w:rFonts w:hint="eastAsia" w:ascii="仿宋" w:hAnsi="仿宋" w:eastAsia="仿宋"/>
          <w:color w:val="auto"/>
          <w:sz w:val="32"/>
          <w:szCs w:val="24"/>
          <w:highlight w:val="white"/>
          <w:lang w:val="zh-CN" w:eastAsia="zh-CN"/>
        </w:rPr>
        <w:t>益赫财绩[</w:t>
      </w:r>
      <w:r>
        <w:rPr>
          <w:rFonts w:hint="eastAsia" w:ascii="仿宋" w:hAnsi="仿宋" w:eastAsia="仿宋"/>
          <w:color w:val="auto"/>
          <w:sz w:val="32"/>
          <w:szCs w:val="24"/>
          <w:highlight w:val="white"/>
          <w:lang w:val="en-US" w:eastAsia="zh-CN"/>
        </w:rPr>
        <w:t>2020</w:t>
      </w:r>
      <w:r>
        <w:rPr>
          <w:rFonts w:hint="eastAsia" w:ascii="仿宋" w:hAnsi="仿宋" w:eastAsia="仿宋"/>
          <w:color w:val="auto"/>
          <w:sz w:val="32"/>
          <w:szCs w:val="24"/>
          <w:highlight w:val="white"/>
          <w:lang w:val="zh-CN" w:eastAsia="zh-CN"/>
        </w:rPr>
        <w:t>]</w:t>
      </w:r>
      <w:r>
        <w:rPr>
          <w:rFonts w:hint="eastAsia" w:ascii="仿宋" w:hAnsi="仿宋" w:eastAsia="仿宋"/>
          <w:color w:val="auto"/>
          <w:sz w:val="32"/>
          <w:szCs w:val="24"/>
          <w:highlight w:val="white"/>
          <w:lang w:val="en-US" w:eastAsia="zh-CN"/>
        </w:rPr>
        <w:t>1号</w:t>
      </w:r>
      <w:r>
        <w:rPr>
          <w:rFonts w:hint="eastAsia" w:ascii="仿宋" w:hAnsi="仿宋" w:eastAsia="仿宋"/>
          <w:color w:val="auto"/>
          <w:sz w:val="32"/>
          <w:szCs w:val="24"/>
          <w:highlight w:val="white"/>
          <w:lang w:val="zh-CN"/>
        </w:rPr>
        <w:t>精神，为进一步规范财政资金管理，牢固树立预算绩效理念，强化支出责任，提高财政资金使用效益，我局认真组织进行了</w:t>
      </w:r>
      <w:r>
        <w:rPr>
          <w:rFonts w:hint="eastAsia" w:ascii="仿宋" w:hAnsi="仿宋" w:eastAsia="仿宋"/>
          <w:color w:val="auto"/>
          <w:sz w:val="32"/>
          <w:szCs w:val="24"/>
          <w:highlight w:val="white"/>
          <w:lang w:val="zh-CN" w:eastAsia="zh-CN"/>
        </w:rPr>
        <w:t>201</w:t>
      </w:r>
      <w:r>
        <w:rPr>
          <w:rFonts w:hint="eastAsia" w:ascii="仿宋" w:hAnsi="仿宋" w:eastAsia="仿宋"/>
          <w:color w:val="auto"/>
          <w:sz w:val="32"/>
          <w:szCs w:val="24"/>
          <w:highlight w:val="white"/>
          <w:lang w:val="en-US" w:eastAsia="zh-CN"/>
        </w:rPr>
        <w:t>9</w:t>
      </w:r>
      <w:r>
        <w:rPr>
          <w:rFonts w:hint="eastAsia" w:ascii="仿宋" w:hAnsi="仿宋" w:eastAsia="仿宋"/>
          <w:color w:val="auto"/>
          <w:sz w:val="32"/>
          <w:szCs w:val="24"/>
          <w:highlight w:val="white"/>
          <w:lang w:val="zh-CN" w:eastAsia="zh-CN"/>
        </w:rPr>
        <w:t>年</w:t>
      </w:r>
      <w:r>
        <w:rPr>
          <w:rFonts w:hint="eastAsia" w:ascii="仿宋" w:hAnsi="仿宋" w:eastAsia="仿宋"/>
          <w:color w:val="auto"/>
          <w:sz w:val="32"/>
          <w:szCs w:val="24"/>
          <w:highlight w:val="white"/>
          <w:lang w:val="zh-CN"/>
        </w:rPr>
        <w:t>度预算绩效自评工作</w:t>
      </w:r>
      <w:r>
        <w:rPr>
          <w:rFonts w:hint="eastAsia" w:ascii="仿宋" w:hAnsi="仿宋" w:eastAsia="仿宋"/>
          <w:color w:val="auto"/>
          <w:sz w:val="32"/>
          <w:szCs w:val="24"/>
          <w:highlight w:val="white"/>
          <w:lang w:val="en-US" w:eastAsia="zh-CN"/>
        </w:rPr>
        <w:t>,</w:t>
      </w:r>
      <w:r>
        <w:rPr>
          <w:rFonts w:hint="eastAsia" w:ascii="仿宋" w:hAnsi="仿宋" w:eastAsia="仿宋"/>
          <w:color w:val="auto"/>
          <w:sz w:val="32"/>
          <w:szCs w:val="24"/>
          <w:highlight w:val="white"/>
          <w:lang w:val="zh-CN"/>
        </w:rPr>
        <w:t>成立了自评工作领导小组，</w:t>
      </w:r>
      <w:r>
        <w:rPr>
          <w:rFonts w:hint="eastAsia" w:ascii="仿宋" w:hAnsi="仿宋" w:eastAsia="仿宋"/>
          <w:color w:val="auto"/>
          <w:sz w:val="32"/>
          <w:szCs w:val="24"/>
          <w:highlight w:val="white"/>
          <w:lang w:val="zh-CN" w:eastAsia="zh-CN"/>
        </w:rPr>
        <w:t>以曹超世书记为组长，分管财务的寿举局长为常务副组长，各副局长为主要成员，各股室负责人为具体负责人，由财务部门牵头对各股室的业务内容自评进行汇总，针对</w:t>
      </w:r>
      <w:r>
        <w:rPr>
          <w:rFonts w:hint="eastAsia" w:ascii="仿宋" w:hAnsi="仿宋" w:eastAsia="仿宋"/>
          <w:color w:val="auto"/>
          <w:sz w:val="32"/>
          <w:szCs w:val="24"/>
          <w:highlight w:val="white"/>
          <w:lang w:val="en-US" w:eastAsia="zh-CN"/>
        </w:rPr>
        <w:t>2019年原发改局整体支出情况，</w:t>
      </w:r>
      <w:r>
        <w:rPr>
          <w:rFonts w:hint="eastAsia" w:ascii="仿宋" w:hAnsi="仿宋" w:eastAsia="仿宋"/>
          <w:color w:val="auto"/>
          <w:sz w:val="32"/>
          <w:szCs w:val="24"/>
          <w:highlight w:val="white"/>
          <w:lang w:val="zh-CN" w:eastAsia="zh-CN"/>
        </w:rPr>
        <w:t>各股室</w:t>
      </w:r>
      <w:r>
        <w:rPr>
          <w:rFonts w:hint="eastAsia" w:ascii="仿宋" w:hAnsi="仿宋" w:eastAsia="仿宋"/>
          <w:color w:val="auto"/>
          <w:sz w:val="32"/>
          <w:szCs w:val="24"/>
          <w:highlight w:val="white"/>
          <w:lang w:val="zh-CN"/>
        </w:rPr>
        <w:t>对照自评方案进行研究和布署，严格按照自评方案的要求，对照各实施项目的内容逐条逐项自评。在自评过程发现问题，查找原因，及时纠正偏差，为下一步工作夯实基础。</w:t>
      </w:r>
    </w:p>
    <w:p>
      <w:pPr>
        <w:keepNext/>
        <w:keepLines/>
        <w:spacing w:beforeLines="0" w:afterLines="0" w:line="560" w:lineRule="exact"/>
        <w:ind w:firstLine="641"/>
        <w:rPr>
          <w:rFonts w:hint="eastAsia" w:ascii="仿宋" w:hAnsi="仿宋" w:eastAsia="仿宋"/>
          <w:color w:val="auto"/>
          <w:sz w:val="32"/>
          <w:szCs w:val="24"/>
          <w:highlight w:val="white"/>
          <w:lang w:val="en-US"/>
        </w:rPr>
      </w:pPr>
      <w:r>
        <w:rPr>
          <w:rFonts w:hint="eastAsia" w:ascii="仿宋" w:hAnsi="仿宋" w:eastAsia="仿宋"/>
          <w:color w:val="auto"/>
          <w:sz w:val="32"/>
          <w:szCs w:val="24"/>
          <w:highlight w:val="white"/>
          <w:lang w:val="en-US"/>
        </w:rPr>
        <w:t>根据重点绩效自评指标计分表评分，财政支出绩效自评结果为优。</w:t>
      </w:r>
    </w:p>
    <w:p>
      <w:pPr>
        <w:keepNext/>
        <w:keepLines/>
        <w:spacing w:beforeLines="0" w:afterLines="0" w:line="560" w:lineRule="exact"/>
        <w:ind w:firstLine="641"/>
        <w:rPr>
          <w:rFonts w:hint="eastAsia" w:ascii="楷体" w:hAnsi="楷体" w:eastAsia="楷体"/>
          <w:b/>
          <w:color w:val="auto"/>
          <w:sz w:val="32"/>
          <w:szCs w:val="24"/>
          <w:highlight w:val="white"/>
          <w:lang w:val="en-US"/>
        </w:rPr>
      </w:pPr>
      <w:r>
        <w:rPr>
          <w:rFonts w:hint="eastAsia" w:ascii="楷体" w:hAnsi="楷体" w:eastAsia="楷体"/>
          <w:b/>
          <w:color w:val="auto"/>
          <w:sz w:val="32"/>
          <w:szCs w:val="24"/>
          <w:highlight w:val="white"/>
          <w:lang w:val="en-US"/>
        </w:rPr>
        <w:t>十、其他重要事项情况说明</w:t>
      </w:r>
    </w:p>
    <w:p>
      <w:pPr>
        <w:keepNext/>
        <w:keepLines/>
        <w:spacing w:beforeLines="0" w:afterLines="0" w:line="560" w:lineRule="exact"/>
        <w:ind w:firstLine="641"/>
        <w:rPr>
          <w:rFonts w:hint="eastAsia" w:ascii="仿宋" w:hAnsi="仿宋" w:eastAsia="仿宋"/>
          <w:color w:val="auto"/>
          <w:sz w:val="32"/>
          <w:szCs w:val="24"/>
          <w:highlight w:val="white"/>
          <w:lang w:val="en-US"/>
        </w:rPr>
      </w:pPr>
      <w:r>
        <w:rPr>
          <w:rFonts w:hint="eastAsia" w:ascii="仿宋" w:hAnsi="仿宋" w:eastAsia="仿宋"/>
          <w:color w:val="auto"/>
          <w:sz w:val="32"/>
          <w:szCs w:val="24"/>
          <w:highlight w:val="white"/>
          <w:lang w:val="en-US"/>
        </w:rPr>
        <w:t>（一）机关运行经费支出情况</w:t>
      </w:r>
    </w:p>
    <w:p>
      <w:pPr>
        <w:keepNext/>
        <w:keepLines/>
        <w:spacing w:beforeLines="0" w:afterLines="0" w:line="560" w:lineRule="exact"/>
        <w:ind w:firstLine="641"/>
        <w:rPr>
          <w:rFonts w:hint="eastAsia" w:ascii="仿宋" w:hAnsi="仿宋" w:eastAsia="仿宋"/>
          <w:color w:val="auto"/>
          <w:sz w:val="32"/>
          <w:szCs w:val="24"/>
          <w:highlight w:val="white"/>
          <w:lang w:val="en-US"/>
        </w:rPr>
      </w:pPr>
      <w:r>
        <w:rPr>
          <w:rFonts w:hint="eastAsia" w:ascii="仿宋" w:hAnsi="仿宋" w:eastAsia="仿宋"/>
          <w:color w:val="auto"/>
          <w:sz w:val="32"/>
          <w:szCs w:val="24"/>
          <w:highlight w:val="white"/>
          <w:lang w:val="en-US"/>
        </w:rPr>
        <w:t>益阳市赫山区发展</w:t>
      </w:r>
      <w:r>
        <w:rPr>
          <w:rFonts w:hint="eastAsia" w:ascii="仿宋" w:hAnsi="仿宋" w:eastAsia="仿宋"/>
          <w:color w:val="auto"/>
          <w:sz w:val="32"/>
          <w:szCs w:val="24"/>
          <w:highlight w:val="white"/>
          <w:lang w:val="en-US" w:eastAsia="zh-CN"/>
        </w:rPr>
        <w:t>和改革局</w:t>
      </w:r>
      <w:r>
        <w:rPr>
          <w:rFonts w:hint="eastAsia" w:ascii="仿宋" w:hAnsi="仿宋" w:eastAsia="仿宋"/>
          <w:color w:val="auto"/>
          <w:sz w:val="32"/>
          <w:szCs w:val="24"/>
          <w:highlight w:val="white"/>
          <w:lang w:val="en-US"/>
        </w:rPr>
        <w:t>2019年机关运行经费支出390.69万元。与年初预算数持平。</w:t>
      </w:r>
    </w:p>
    <w:p>
      <w:pPr>
        <w:keepNext/>
        <w:keepLines/>
        <w:spacing w:beforeLines="0" w:afterLines="0" w:line="560" w:lineRule="exact"/>
        <w:ind w:firstLine="641"/>
        <w:rPr>
          <w:rFonts w:hint="eastAsia" w:ascii="仿宋" w:hAnsi="仿宋" w:eastAsia="仿宋"/>
          <w:color w:val="auto"/>
          <w:sz w:val="32"/>
          <w:szCs w:val="24"/>
          <w:highlight w:val="white"/>
          <w:lang w:val="en-US"/>
        </w:rPr>
      </w:pPr>
      <w:r>
        <w:rPr>
          <w:rFonts w:hint="eastAsia" w:ascii="仿宋" w:hAnsi="仿宋" w:eastAsia="仿宋"/>
          <w:color w:val="auto"/>
          <w:sz w:val="32"/>
          <w:szCs w:val="24"/>
          <w:highlight w:val="white"/>
          <w:lang w:val="en-US" w:eastAsia="zh-CN"/>
        </w:rPr>
        <w:t>（二）一般性支出</w:t>
      </w:r>
      <w:r>
        <w:rPr>
          <w:rFonts w:hint="eastAsia" w:ascii="仿宋" w:hAnsi="仿宋" w:eastAsia="仿宋"/>
          <w:color w:val="auto"/>
          <w:sz w:val="32"/>
          <w:szCs w:val="24"/>
          <w:highlight w:val="white"/>
          <w:lang w:val="en-US"/>
        </w:rPr>
        <w:t>情况</w:t>
      </w:r>
    </w:p>
    <w:p>
      <w:pPr>
        <w:keepNext/>
        <w:keepLines/>
        <w:spacing w:beforeLines="0" w:afterLines="0" w:line="560" w:lineRule="exact"/>
        <w:ind w:firstLine="641"/>
        <w:rPr>
          <w:rFonts w:hint="eastAsia" w:ascii="仿宋" w:hAnsi="仿宋" w:eastAsia="仿宋"/>
          <w:color w:val="auto"/>
          <w:sz w:val="32"/>
          <w:szCs w:val="24"/>
          <w:highlight w:val="white"/>
          <w:lang w:val="en-US" w:eastAsia="zh-CN"/>
        </w:rPr>
      </w:pPr>
      <w:r>
        <w:rPr>
          <w:rFonts w:hint="eastAsia" w:ascii="仿宋" w:hAnsi="仿宋" w:eastAsia="仿宋"/>
          <w:color w:val="auto"/>
          <w:sz w:val="32"/>
          <w:szCs w:val="24"/>
          <w:highlight w:val="white"/>
          <w:lang w:val="en-US" w:eastAsia="zh-CN"/>
        </w:rPr>
        <w:t>2019年本部门开支会议费4.25万元，①用于召开乡村振兴战略规划调研座谈会5次，初稿成稿后安排征求意见会3次，支出金额2.4万元，人数包含咨询专家4人、单位工作人员4人、乡镇、街道、区直单位负责编制工作人员62人，共计70人；②用于易地扶贫搬迁2019年迎检工作动员部署动员会议及培训费用1.85万元，包括区级领导、区直单位领导、乡镇街道领导等共计38人。</w:t>
      </w:r>
    </w:p>
    <w:p>
      <w:pPr>
        <w:keepNext/>
        <w:keepLines/>
        <w:spacing w:beforeLines="0" w:afterLines="0" w:line="560" w:lineRule="exact"/>
        <w:ind w:firstLine="641"/>
        <w:rPr>
          <w:rFonts w:hint="eastAsia" w:ascii="仿宋" w:hAnsi="仿宋" w:eastAsia="仿宋"/>
          <w:color w:val="auto"/>
          <w:sz w:val="32"/>
          <w:szCs w:val="24"/>
          <w:highlight w:val="white"/>
          <w:lang w:val="en-US" w:eastAsia="zh-CN"/>
        </w:rPr>
      </w:pPr>
      <w:r>
        <w:rPr>
          <w:rFonts w:hint="eastAsia" w:ascii="仿宋" w:hAnsi="仿宋" w:eastAsia="仿宋"/>
          <w:color w:val="auto"/>
          <w:sz w:val="32"/>
          <w:szCs w:val="24"/>
          <w:highlight w:val="white"/>
          <w:lang w:val="en-US" w:eastAsia="zh-CN"/>
        </w:rPr>
        <w:t>2019年本部门开支培训费0.61万元，①用于参加信用体系建设培训费用，人数1人，支出金额0.36万元；②用于参加2019年省招标采购法规宣贯会暨从业人员培训班，人数1人，支出金额0.25万元；本部门无举办节庆、晚会、论坛、赛事等活动，开支0万元</w:t>
      </w:r>
      <w:r>
        <w:rPr>
          <w:rFonts w:hint="eastAsia" w:ascii="仿宋" w:hAnsi="仿宋" w:eastAsia="仿宋"/>
          <w:color w:val="auto"/>
          <w:sz w:val="32"/>
          <w:szCs w:val="24"/>
          <w:highlight w:val="white"/>
          <w:lang w:val="en-US"/>
        </w:rPr>
        <w:t>。</w:t>
      </w:r>
    </w:p>
    <w:p>
      <w:pPr>
        <w:keepNext/>
        <w:keepLines/>
        <w:spacing w:beforeLines="0" w:afterLines="0" w:line="560" w:lineRule="exact"/>
        <w:ind w:firstLine="641"/>
        <w:rPr>
          <w:rFonts w:hint="eastAsia" w:ascii="仿宋" w:hAnsi="仿宋" w:eastAsia="仿宋"/>
          <w:color w:val="auto"/>
          <w:sz w:val="32"/>
          <w:szCs w:val="24"/>
          <w:highlight w:val="white"/>
          <w:lang w:val="en-US"/>
        </w:rPr>
      </w:pPr>
      <w:r>
        <w:rPr>
          <w:rFonts w:hint="eastAsia" w:ascii="仿宋" w:hAnsi="仿宋" w:eastAsia="仿宋"/>
          <w:color w:val="auto"/>
          <w:sz w:val="32"/>
          <w:szCs w:val="24"/>
          <w:highlight w:val="white"/>
          <w:lang w:val="en-US"/>
        </w:rPr>
        <w:t>（</w:t>
      </w:r>
      <w:r>
        <w:rPr>
          <w:rFonts w:hint="eastAsia" w:ascii="仿宋" w:hAnsi="仿宋" w:eastAsia="仿宋"/>
          <w:color w:val="auto"/>
          <w:sz w:val="32"/>
          <w:szCs w:val="24"/>
          <w:highlight w:val="white"/>
          <w:lang w:val="en-US" w:eastAsia="zh-CN"/>
        </w:rPr>
        <w:t>三</w:t>
      </w:r>
      <w:r>
        <w:rPr>
          <w:rFonts w:hint="eastAsia" w:ascii="仿宋" w:hAnsi="仿宋" w:eastAsia="仿宋"/>
          <w:color w:val="auto"/>
          <w:sz w:val="32"/>
          <w:szCs w:val="24"/>
          <w:highlight w:val="white"/>
          <w:lang w:val="en-US"/>
        </w:rPr>
        <w:t>）政府采购支出情况</w:t>
      </w:r>
    </w:p>
    <w:p>
      <w:pPr>
        <w:keepNext/>
        <w:keepLines/>
        <w:spacing w:beforeLines="0" w:afterLines="0" w:line="560" w:lineRule="exact"/>
        <w:ind w:firstLine="641"/>
        <w:rPr>
          <w:rFonts w:hint="eastAsia" w:ascii="仿宋" w:hAnsi="仿宋" w:eastAsia="仿宋"/>
          <w:color w:val="auto"/>
          <w:sz w:val="32"/>
          <w:szCs w:val="24"/>
          <w:highlight w:val="white"/>
          <w:lang w:val="en-US"/>
        </w:rPr>
      </w:pPr>
      <w:r>
        <w:rPr>
          <w:rFonts w:hint="eastAsia" w:ascii="仿宋" w:hAnsi="仿宋" w:eastAsia="仿宋"/>
          <w:color w:val="auto"/>
          <w:sz w:val="32"/>
          <w:szCs w:val="24"/>
          <w:highlight w:val="white"/>
          <w:lang w:val="en-US"/>
        </w:rPr>
        <w:t>本年度</w:t>
      </w:r>
      <w:r>
        <w:rPr>
          <w:rFonts w:hint="eastAsia" w:ascii="仿宋" w:hAnsi="仿宋" w:eastAsia="仿宋"/>
          <w:color w:val="auto"/>
          <w:sz w:val="32"/>
          <w:szCs w:val="24"/>
          <w:highlight w:val="white"/>
          <w:lang w:val="en-US" w:eastAsia="zh-CN"/>
        </w:rPr>
        <w:t>本单位</w:t>
      </w:r>
      <w:r>
        <w:rPr>
          <w:rFonts w:hint="eastAsia" w:ascii="仿宋" w:hAnsi="仿宋" w:eastAsia="仿宋"/>
          <w:color w:val="auto"/>
          <w:sz w:val="32"/>
          <w:szCs w:val="24"/>
          <w:highlight w:val="white"/>
          <w:lang w:val="en-US"/>
        </w:rPr>
        <w:t xml:space="preserve">无政府采购。  </w:t>
      </w:r>
    </w:p>
    <w:p>
      <w:pPr>
        <w:keepNext/>
        <w:keepLines/>
        <w:spacing w:beforeLines="0" w:afterLines="0" w:line="560" w:lineRule="exact"/>
        <w:ind w:firstLine="641"/>
        <w:rPr>
          <w:rFonts w:hint="eastAsia" w:ascii="仿宋" w:hAnsi="仿宋" w:eastAsia="仿宋"/>
          <w:color w:val="auto"/>
          <w:sz w:val="32"/>
          <w:szCs w:val="24"/>
          <w:highlight w:val="white"/>
          <w:lang w:val="en-US"/>
        </w:rPr>
      </w:pPr>
      <w:r>
        <w:rPr>
          <w:rFonts w:hint="eastAsia" w:ascii="仿宋" w:hAnsi="仿宋" w:eastAsia="仿宋"/>
          <w:color w:val="auto"/>
          <w:sz w:val="32"/>
          <w:szCs w:val="24"/>
          <w:highlight w:val="white"/>
          <w:lang w:val="en-US"/>
        </w:rPr>
        <w:t>（</w:t>
      </w:r>
      <w:r>
        <w:rPr>
          <w:rFonts w:hint="eastAsia" w:ascii="仿宋" w:hAnsi="仿宋" w:eastAsia="仿宋"/>
          <w:color w:val="auto"/>
          <w:sz w:val="32"/>
          <w:szCs w:val="24"/>
          <w:highlight w:val="white"/>
          <w:lang w:val="en-US" w:eastAsia="zh-CN"/>
        </w:rPr>
        <w:t>四</w:t>
      </w:r>
      <w:r>
        <w:rPr>
          <w:rFonts w:hint="eastAsia" w:ascii="仿宋" w:hAnsi="仿宋" w:eastAsia="仿宋"/>
          <w:color w:val="auto"/>
          <w:sz w:val="32"/>
          <w:szCs w:val="24"/>
          <w:highlight w:val="white"/>
          <w:lang w:val="en-US"/>
        </w:rPr>
        <w:t>）国有资产占有情况</w:t>
      </w:r>
    </w:p>
    <w:p>
      <w:pPr>
        <w:keepNext/>
        <w:keepLines/>
        <w:spacing w:beforeLines="0" w:afterLines="0" w:line="560" w:lineRule="exact"/>
        <w:ind w:firstLine="641"/>
        <w:rPr>
          <w:rFonts w:hint="eastAsia" w:ascii="仿宋" w:hAnsi="仿宋" w:eastAsia="仿宋"/>
          <w:color w:val="auto"/>
          <w:sz w:val="32"/>
          <w:szCs w:val="24"/>
          <w:highlight w:val="white"/>
          <w:lang w:val="en-US"/>
        </w:rPr>
      </w:pPr>
      <w:r>
        <w:rPr>
          <w:rFonts w:hint="eastAsia" w:ascii="仿宋" w:hAnsi="仿宋" w:eastAsia="仿宋"/>
          <w:color w:val="auto"/>
          <w:sz w:val="32"/>
          <w:szCs w:val="24"/>
          <w:highlight w:val="white"/>
          <w:lang w:val="en-US"/>
        </w:rPr>
        <w:t>本单位年末无车辆。年末无单价50万元以上通用设备，年末无单价100万元以上通用设备。</w:t>
      </w:r>
    </w:p>
    <w:p>
      <w:pPr>
        <w:spacing w:beforeLines="0" w:afterLines="0" w:line="520" w:lineRule="exact"/>
        <w:ind w:firstLine="700"/>
        <w:jc w:val="center"/>
        <w:rPr>
          <w:rFonts w:hint="eastAsia" w:ascii="黑体" w:hAnsi="黑体" w:eastAsia="黑体"/>
          <w:b/>
          <w:color w:val="000000"/>
          <w:kern w:val="0"/>
          <w:sz w:val="32"/>
          <w:szCs w:val="24"/>
          <w:highlight w:val="white"/>
          <w:lang w:val="en-US"/>
        </w:rPr>
      </w:pPr>
      <w:r>
        <w:rPr>
          <w:rFonts w:hint="eastAsia" w:ascii="黑体" w:hAnsi="黑体" w:eastAsia="黑体"/>
          <w:b/>
          <w:color w:val="000000"/>
          <w:kern w:val="0"/>
          <w:sz w:val="32"/>
          <w:szCs w:val="24"/>
          <w:highlight w:val="white"/>
          <w:lang w:val="en-US"/>
        </w:rPr>
        <w:t>第四部分 名词解释</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一、</w:t>
      </w:r>
      <w:r>
        <w:rPr>
          <w:rFonts w:hint="eastAsia" w:ascii="仿宋" w:hAnsi="仿宋" w:eastAsia="仿宋"/>
          <w:color w:val="000000"/>
          <w:kern w:val="0"/>
          <w:sz w:val="32"/>
          <w:szCs w:val="24"/>
          <w:highlight w:val="white"/>
          <w:lang w:val="en-US"/>
        </w:rPr>
        <w:t>财政拨款收入：指本级财政当年拨付的资金。</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二、</w:t>
      </w:r>
      <w:r>
        <w:rPr>
          <w:rFonts w:hint="eastAsia" w:ascii="仿宋" w:hAnsi="仿宋" w:eastAsia="仿宋"/>
          <w:color w:val="000000"/>
          <w:kern w:val="0"/>
          <w:sz w:val="32"/>
          <w:szCs w:val="24"/>
          <w:highlight w:val="white"/>
          <w:lang w:val="en-US"/>
        </w:rPr>
        <w:t>其他收入：指除上述“财政拨款收入”、“上级补助收入”、“事业收入”、“经营收入”、“附属单位上缴收入”等以外的收入。</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三、</w:t>
      </w:r>
      <w:r>
        <w:rPr>
          <w:rFonts w:hint="eastAsia" w:ascii="仿宋" w:hAnsi="仿宋" w:eastAsia="仿宋"/>
          <w:color w:val="000000"/>
          <w:kern w:val="0"/>
          <w:sz w:val="32"/>
          <w:szCs w:val="24"/>
          <w:highlight w:val="white"/>
          <w:lang w:val="en-US"/>
        </w:rPr>
        <w:t>上年结转和结余：指以前年度尚未完成、结转到本年按有关规定继续使用的资金。</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四、</w:t>
      </w:r>
      <w:r>
        <w:rPr>
          <w:rFonts w:hint="eastAsia" w:ascii="仿宋" w:hAnsi="仿宋" w:eastAsia="仿宋"/>
          <w:color w:val="000000"/>
          <w:kern w:val="0"/>
          <w:sz w:val="32"/>
          <w:szCs w:val="24"/>
          <w:highlight w:val="white"/>
          <w:lang w:val="en-US"/>
        </w:rPr>
        <w:t>年末结转和结余资金：指本年度或以前年度预算安排、因客观条件发生变化无法按原计划实施，需要延迟到以后年度按有关规定继续使用的资金。</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五、</w:t>
      </w:r>
      <w:r>
        <w:rPr>
          <w:rFonts w:hint="eastAsia" w:ascii="仿宋" w:hAnsi="仿宋" w:eastAsia="仿宋"/>
          <w:color w:val="000000"/>
          <w:kern w:val="0"/>
          <w:sz w:val="32"/>
          <w:szCs w:val="24"/>
          <w:highlight w:val="white"/>
          <w:lang w:val="en-US"/>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六、</w:t>
      </w:r>
      <w:r>
        <w:rPr>
          <w:rFonts w:hint="eastAsia" w:ascii="仿宋" w:hAnsi="仿宋" w:eastAsia="仿宋"/>
          <w:color w:val="000000"/>
          <w:kern w:val="0"/>
          <w:sz w:val="32"/>
          <w:szCs w:val="24"/>
          <w:highlight w:val="white"/>
          <w:lang w:val="en-US"/>
        </w:rPr>
        <w:t>卫生健康支出（类）：是指用于医疗卫生与计划生育方面的支出，包括保障机构正常运转、完成日常和特定的工作任务或事业发展目标的支出。</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七、</w:t>
      </w:r>
      <w:r>
        <w:rPr>
          <w:rFonts w:hint="eastAsia" w:ascii="仿宋" w:hAnsi="仿宋" w:eastAsia="仿宋"/>
          <w:color w:val="000000"/>
          <w:kern w:val="0"/>
          <w:sz w:val="32"/>
          <w:szCs w:val="24"/>
          <w:highlight w:val="white"/>
          <w:lang w:val="en-US"/>
        </w:rPr>
        <w:t>住房保障支出（类）：是指用于住房方面的支出，包括保障机构正常运转、完成日常和特定的工作任务或事业发展目标的支出。</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八、</w:t>
      </w:r>
      <w:r>
        <w:rPr>
          <w:rFonts w:hint="eastAsia" w:ascii="仿宋" w:hAnsi="仿宋" w:eastAsia="仿宋"/>
          <w:color w:val="000000"/>
          <w:kern w:val="0"/>
          <w:sz w:val="32"/>
          <w:szCs w:val="24"/>
          <w:highlight w:val="white"/>
          <w:lang w:val="en-US"/>
        </w:rPr>
        <w:t>粮油物资储备支出（类）：是指用于粮油物资储备方面的支出，包括保障机构正常运转、完成日常和特定的工作任务或事业发展目标的支出。</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九、</w:t>
      </w:r>
      <w:r>
        <w:rPr>
          <w:rFonts w:hint="eastAsia" w:ascii="仿宋" w:hAnsi="仿宋" w:eastAsia="仿宋"/>
          <w:color w:val="000000"/>
          <w:kern w:val="0"/>
          <w:sz w:val="32"/>
          <w:szCs w:val="24"/>
          <w:highlight w:val="white"/>
          <w:lang w:val="en-US"/>
        </w:rPr>
        <w:t>基本支出：指保障机构正常运转、完成支日常工作任务而发生的人员支出和公用支出。</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十、</w:t>
      </w:r>
      <w:r>
        <w:rPr>
          <w:rFonts w:hint="eastAsia" w:ascii="仿宋" w:hAnsi="仿宋" w:eastAsia="仿宋"/>
          <w:color w:val="000000"/>
          <w:kern w:val="0"/>
          <w:sz w:val="32"/>
          <w:szCs w:val="24"/>
          <w:highlight w:val="white"/>
          <w:lang w:val="en-US"/>
        </w:rPr>
        <w:t>项目支出：指在基本支出之外为完成特定行政任务和事业发展目标所发生的支出。</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十一、</w:t>
      </w:r>
      <w:r>
        <w:rPr>
          <w:rFonts w:hint="eastAsia" w:ascii="仿宋" w:hAnsi="仿宋" w:eastAsia="仿宋"/>
          <w:color w:val="000000"/>
          <w:kern w:val="0"/>
          <w:sz w:val="32"/>
          <w:szCs w:val="24"/>
          <w:highlight w:val="white"/>
          <w:lang w:val="en-US"/>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十二、</w:t>
      </w:r>
      <w:r>
        <w:rPr>
          <w:rFonts w:hint="eastAsia" w:ascii="仿宋" w:hAnsi="仿宋" w:eastAsia="仿宋"/>
          <w:color w:val="000000"/>
          <w:kern w:val="0"/>
          <w:sz w:val="32"/>
          <w:szCs w:val="24"/>
          <w:highlight w:val="white"/>
          <w:lang w:val="en-US"/>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十三、</w:t>
      </w:r>
      <w:r>
        <w:rPr>
          <w:rFonts w:hint="eastAsia" w:ascii="仿宋" w:hAnsi="仿宋" w:eastAsia="仿宋"/>
          <w:color w:val="000000"/>
          <w:kern w:val="0"/>
          <w:sz w:val="32"/>
          <w:szCs w:val="24"/>
          <w:highlight w:val="white"/>
          <w:lang w:val="en-US"/>
        </w:rPr>
        <w:t>工资福利支出：反映单位开支的在职职工和编制外长期聘用人员的各类劳动报酬，以及为上述人员缴纳的各项社会保险费等。</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十四、</w:t>
      </w:r>
      <w:r>
        <w:rPr>
          <w:rFonts w:hint="eastAsia" w:ascii="仿宋" w:hAnsi="仿宋" w:eastAsia="仿宋"/>
          <w:color w:val="000000"/>
          <w:kern w:val="0"/>
          <w:sz w:val="32"/>
          <w:szCs w:val="24"/>
          <w:highlight w:val="white"/>
          <w:lang w:val="en-US"/>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十五、</w:t>
      </w:r>
      <w:r>
        <w:rPr>
          <w:rFonts w:hint="eastAsia" w:ascii="仿宋" w:hAnsi="仿宋" w:eastAsia="仿宋"/>
          <w:color w:val="000000"/>
          <w:kern w:val="0"/>
          <w:sz w:val="32"/>
          <w:szCs w:val="24"/>
          <w:highlight w:val="white"/>
          <w:lang w:val="en-US"/>
        </w:rPr>
        <w:t>津贴补贴：反映经国家批准建立的机关事业单位艰苦边远地区津贴、机关工作人员地区附加津贴、机关工作人员岗位津贴、事业单位工作人员特殊岗位津贴补贴等。</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十六、</w:t>
      </w:r>
      <w:r>
        <w:rPr>
          <w:rFonts w:hint="eastAsia" w:ascii="仿宋" w:hAnsi="仿宋" w:eastAsia="仿宋"/>
          <w:color w:val="000000"/>
          <w:kern w:val="0"/>
          <w:sz w:val="32"/>
          <w:szCs w:val="24"/>
          <w:highlight w:val="white"/>
          <w:lang w:val="en-US"/>
        </w:rPr>
        <w:t>奖金：反映机关工作人员年终一次性奖金。</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十七、</w:t>
      </w:r>
      <w:r>
        <w:rPr>
          <w:rFonts w:hint="eastAsia" w:ascii="仿宋" w:hAnsi="仿宋" w:eastAsia="仿宋"/>
          <w:color w:val="000000"/>
          <w:kern w:val="0"/>
          <w:sz w:val="32"/>
          <w:szCs w:val="24"/>
          <w:highlight w:val="white"/>
          <w:lang w:val="en-US"/>
        </w:rPr>
        <w:t>伙食补助费：反映单位发给职工的伙食补助费，如误餐补助等。</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十八、</w:t>
      </w:r>
      <w:r>
        <w:rPr>
          <w:rFonts w:hint="eastAsia" w:ascii="仿宋" w:hAnsi="仿宋" w:eastAsia="仿宋"/>
          <w:color w:val="000000"/>
          <w:kern w:val="0"/>
          <w:sz w:val="32"/>
          <w:szCs w:val="24"/>
          <w:highlight w:val="white"/>
          <w:lang w:val="en-US"/>
        </w:rPr>
        <w:t>机关事业单位基本养老保险缴费：反映机关事业单位缴纳的基本养老保险费。由单位代扣的工作人员基本养老保险缴费，不在此科目反映。</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十九、</w:t>
      </w:r>
      <w:r>
        <w:rPr>
          <w:rFonts w:hint="eastAsia" w:ascii="仿宋" w:hAnsi="仿宋" w:eastAsia="仿宋"/>
          <w:color w:val="000000"/>
          <w:kern w:val="0"/>
          <w:sz w:val="32"/>
          <w:szCs w:val="24"/>
          <w:highlight w:val="white"/>
          <w:lang w:val="en-US"/>
        </w:rPr>
        <w:t>职业年金缴费：反映机关事业单位实际缴纳的职业年金支出。由单位代扣的工作人员职业年金缴费，不在此科目反映。</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二十、</w:t>
      </w:r>
      <w:r>
        <w:rPr>
          <w:rFonts w:hint="eastAsia" w:ascii="仿宋" w:hAnsi="仿宋" w:eastAsia="仿宋"/>
          <w:color w:val="000000"/>
          <w:kern w:val="0"/>
          <w:sz w:val="32"/>
          <w:szCs w:val="24"/>
          <w:highlight w:val="white"/>
          <w:lang w:val="en-US"/>
        </w:rPr>
        <w:t>职工基本医疗保险缴费：反映单位为职工缴纳的基本医疗保险费。</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二十一、</w:t>
      </w:r>
      <w:r>
        <w:rPr>
          <w:rFonts w:hint="eastAsia" w:ascii="仿宋" w:hAnsi="仿宋" w:eastAsia="仿宋"/>
          <w:color w:val="000000"/>
          <w:kern w:val="0"/>
          <w:sz w:val="32"/>
          <w:szCs w:val="24"/>
          <w:highlight w:val="white"/>
          <w:lang w:val="en-US"/>
        </w:rPr>
        <w:t>住房公积金：反映行政事业单位按人力资源和社会保障部、财政部规定的基本工资和津贴补贴以及规定比例为职工缴纳的住房公积金。</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二十二、</w:t>
      </w:r>
      <w:r>
        <w:rPr>
          <w:rFonts w:hint="eastAsia" w:ascii="仿宋" w:hAnsi="仿宋" w:eastAsia="仿宋"/>
          <w:color w:val="000000"/>
          <w:kern w:val="0"/>
          <w:sz w:val="32"/>
          <w:szCs w:val="24"/>
          <w:highlight w:val="white"/>
          <w:lang w:val="en-US"/>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二十三、</w:t>
      </w:r>
      <w:r>
        <w:rPr>
          <w:rFonts w:hint="eastAsia" w:ascii="仿宋" w:hAnsi="仿宋" w:eastAsia="仿宋"/>
          <w:color w:val="000000"/>
          <w:kern w:val="0"/>
          <w:sz w:val="32"/>
          <w:szCs w:val="24"/>
          <w:highlight w:val="white"/>
          <w:lang w:val="en-US"/>
        </w:rPr>
        <w:t>商品和服务支出：反映单位购买商品和服务的支出（不包括用于购置固定资产的支出、战略性和应急储备支出）。</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二十四、</w:t>
      </w:r>
      <w:r>
        <w:rPr>
          <w:rFonts w:hint="eastAsia" w:ascii="仿宋" w:hAnsi="仿宋" w:eastAsia="仿宋"/>
          <w:color w:val="000000"/>
          <w:kern w:val="0"/>
          <w:sz w:val="32"/>
          <w:szCs w:val="24"/>
          <w:highlight w:val="white"/>
          <w:lang w:val="en-US"/>
        </w:rPr>
        <w:t>办公费：反映单位购买按财务会计制度规定不符合固定资产确认标准的日常办公用品、书报杂志等支出。</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二十五、</w:t>
      </w:r>
      <w:r>
        <w:rPr>
          <w:rFonts w:hint="eastAsia" w:ascii="仿宋" w:hAnsi="仿宋" w:eastAsia="仿宋"/>
          <w:color w:val="000000"/>
          <w:kern w:val="0"/>
          <w:sz w:val="32"/>
          <w:szCs w:val="24"/>
          <w:highlight w:val="white"/>
          <w:lang w:val="en-US"/>
        </w:rPr>
        <w:t>印刷费：反映单位的印刷费支出。</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二十六、</w:t>
      </w:r>
      <w:r>
        <w:rPr>
          <w:rFonts w:hint="eastAsia" w:ascii="仿宋" w:hAnsi="仿宋" w:eastAsia="仿宋"/>
          <w:color w:val="000000"/>
          <w:kern w:val="0"/>
          <w:sz w:val="32"/>
          <w:szCs w:val="24"/>
          <w:highlight w:val="white"/>
          <w:lang w:val="en-US"/>
        </w:rPr>
        <w:t>差旅费：反映单位工作人员出差发生的城市间交通费、住宿费、伙食补贴费和市内交通费。</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二十七、</w:t>
      </w:r>
      <w:r>
        <w:rPr>
          <w:rFonts w:hint="eastAsia" w:ascii="仿宋" w:hAnsi="仿宋" w:eastAsia="仿宋"/>
          <w:color w:val="000000"/>
          <w:kern w:val="0"/>
          <w:sz w:val="32"/>
          <w:szCs w:val="24"/>
          <w:highlight w:val="white"/>
          <w:lang w:val="en-US"/>
        </w:rPr>
        <w:t>维修(护)费：反映单位日常开支的固定资产（不包括车船等交通工具）修理和维护费用，网络信息系统运行与维护费用，以及按规定提取的修购基金。</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二十八、</w:t>
      </w:r>
      <w:r>
        <w:rPr>
          <w:rFonts w:hint="eastAsia" w:ascii="仿宋" w:hAnsi="仿宋" w:eastAsia="仿宋"/>
          <w:color w:val="000000"/>
          <w:kern w:val="0"/>
          <w:sz w:val="32"/>
          <w:szCs w:val="24"/>
          <w:highlight w:val="white"/>
          <w:lang w:val="en-US"/>
        </w:rPr>
        <w:t>培训费：反映除因公出国（境）培训费以外的各类培训支出。</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二十九、</w:t>
      </w:r>
      <w:r>
        <w:rPr>
          <w:rFonts w:hint="eastAsia" w:ascii="仿宋" w:hAnsi="仿宋" w:eastAsia="仿宋"/>
          <w:color w:val="000000"/>
          <w:kern w:val="0"/>
          <w:sz w:val="32"/>
          <w:szCs w:val="24"/>
          <w:highlight w:val="white"/>
          <w:lang w:val="en-US"/>
        </w:rPr>
        <w:t>公务接待费：反映单位按规定开支的各类公务接待（含外宾接待）费用。</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三十、</w:t>
      </w:r>
      <w:r>
        <w:rPr>
          <w:rFonts w:hint="eastAsia" w:ascii="仿宋" w:hAnsi="仿宋" w:eastAsia="仿宋"/>
          <w:color w:val="000000"/>
          <w:kern w:val="0"/>
          <w:sz w:val="32"/>
          <w:szCs w:val="24"/>
          <w:highlight w:val="white"/>
          <w:lang w:val="en-US"/>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三十一、</w:t>
      </w:r>
      <w:r>
        <w:rPr>
          <w:rFonts w:hint="eastAsia" w:ascii="仿宋" w:hAnsi="仿宋" w:eastAsia="仿宋"/>
          <w:color w:val="000000"/>
          <w:kern w:val="0"/>
          <w:sz w:val="32"/>
          <w:szCs w:val="24"/>
          <w:highlight w:val="white"/>
          <w:lang w:val="en-US"/>
        </w:rPr>
        <w:t>工会经费：反映单位按规定提取的工会经费。</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三十二、</w:t>
      </w:r>
      <w:r>
        <w:rPr>
          <w:rFonts w:hint="eastAsia" w:ascii="仿宋" w:hAnsi="仿宋" w:eastAsia="仿宋"/>
          <w:color w:val="000000"/>
          <w:kern w:val="0"/>
          <w:sz w:val="32"/>
          <w:szCs w:val="24"/>
          <w:highlight w:val="white"/>
          <w:lang w:val="en-US"/>
        </w:rPr>
        <w:t>其他交通费用：反映单位除公务用车运行维护费以外的其他交通费用。如公务交通补贴，租车费用、出租车费用，飞机、船舶等的燃料费、维修费、保险费等。</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三十三、</w:t>
      </w:r>
      <w:r>
        <w:rPr>
          <w:rFonts w:hint="eastAsia" w:ascii="仿宋" w:hAnsi="仿宋" w:eastAsia="仿宋"/>
          <w:color w:val="000000"/>
          <w:kern w:val="0"/>
          <w:sz w:val="32"/>
          <w:szCs w:val="24"/>
          <w:highlight w:val="white"/>
          <w:lang w:val="en-US"/>
        </w:rPr>
        <w:t>其他商品和服务支出：反映上述科目未包括的日常公用支出。如行政赔偿费和诉讼费、国内组织的会员费、来访费、广告宣传、其他劳务费及离休人员特需费、公用经费等。</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三十四、</w:t>
      </w:r>
      <w:r>
        <w:rPr>
          <w:rFonts w:hint="eastAsia" w:ascii="仿宋" w:hAnsi="仿宋" w:eastAsia="仿宋"/>
          <w:color w:val="000000"/>
          <w:kern w:val="0"/>
          <w:sz w:val="32"/>
          <w:szCs w:val="24"/>
          <w:highlight w:val="white"/>
          <w:lang w:val="en-US"/>
        </w:rPr>
        <w:t>对个人和家庭的补助：反映政府用于对个人和家庭的补助支出。</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三十五、</w:t>
      </w:r>
      <w:r>
        <w:rPr>
          <w:rFonts w:hint="eastAsia" w:ascii="仿宋" w:hAnsi="仿宋" w:eastAsia="仿宋"/>
          <w:color w:val="000000"/>
          <w:kern w:val="0"/>
          <w:sz w:val="32"/>
          <w:szCs w:val="24"/>
          <w:highlight w:val="white"/>
          <w:lang w:val="en-US"/>
        </w:rPr>
        <w:t>离休费：反映行政事业单位和军队移交政府安置的离休人员的离休费、护理费和其他补贴。</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三十六、</w:t>
      </w:r>
      <w:r>
        <w:rPr>
          <w:rFonts w:hint="eastAsia" w:ascii="仿宋" w:hAnsi="仿宋" w:eastAsia="仿宋"/>
          <w:color w:val="000000"/>
          <w:kern w:val="0"/>
          <w:sz w:val="32"/>
          <w:szCs w:val="24"/>
          <w:highlight w:val="white"/>
          <w:lang w:val="en-US"/>
        </w:rPr>
        <w:t>抚恤金：反映按规定开支的烈士遗属、牺牲病故人员遗属的一次性和定期抚恤金，伤残人员的抚恤金，离退休人员等其他人员的各项抚恤金。</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三十七、</w:t>
      </w:r>
      <w:r>
        <w:rPr>
          <w:rFonts w:hint="eastAsia" w:ascii="仿宋" w:hAnsi="仿宋" w:eastAsia="仿宋"/>
          <w:color w:val="000000"/>
          <w:kern w:val="0"/>
          <w:sz w:val="32"/>
          <w:szCs w:val="24"/>
          <w:highlight w:val="white"/>
          <w:lang w:val="en-US"/>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pPr>
        <w:spacing w:beforeLines="0" w:afterLines="0" w:line="520" w:lineRule="exact"/>
        <w:ind w:firstLine="700"/>
        <w:jc w:val="left"/>
        <w:rPr>
          <w:rFonts w:hint="eastAsia" w:ascii="仿宋" w:hAnsi="仿宋" w:eastAsia="仿宋"/>
          <w:color w:val="000000"/>
          <w:kern w:val="0"/>
          <w:sz w:val="32"/>
          <w:szCs w:val="24"/>
          <w:highlight w:val="white"/>
          <w:lang w:val="en-US"/>
        </w:rPr>
      </w:pPr>
      <w:r>
        <w:rPr>
          <w:rFonts w:hint="eastAsia" w:ascii="仿宋" w:hAnsi="仿宋" w:eastAsia="仿宋"/>
          <w:color w:val="000000"/>
          <w:kern w:val="0"/>
          <w:sz w:val="32"/>
          <w:szCs w:val="24"/>
          <w:highlight w:val="white"/>
          <w:lang w:val="en-US" w:eastAsia="zh-CN"/>
        </w:rPr>
        <w:t>三十八、</w:t>
      </w:r>
      <w:r>
        <w:rPr>
          <w:rFonts w:hint="eastAsia" w:ascii="仿宋" w:hAnsi="仿宋" w:eastAsia="仿宋"/>
          <w:color w:val="000000"/>
          <w:kern w:val="0"/>
          <w:sz w:val="32"/>
          <w:szCs w:val="24"/>
          <w:highlight w:val="white"/>
          <w:lang w:val="en-US"/>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pPr>
        <w:spacing w:beforeLines="0" w:afterLines="0" w:line="520" w:lineRule="exact"/>
        <w:ind w:firstLine="700"/>
        <w:jc w:val="left"/>
        <w:rPr>
          <w:rFonts w:hint="eastAsia" w:ascii="仿宋" w:hAnsi="仿宋" w:eastAsia="仿宋"/>
          <w:color w:val="000000"/>
          <w:kern w:val="0"/>
          <w:sz w:val="32"/>
          <w:szCs w:val="24"/>
          <w:highlight w:val="white"/>
          <w:lang w:val="en-US" w:eastAsia="zh-CN"/>
        </w:rPr>
      </w:pPr>
      <w:r>
        <w:rPr>
          <w:rFonts w:hint="eastAsia" w:ascii="仿宋" w:hAnsi="仿宋" w:eastAsia="仿宋"/>
          <w:color w:val="000000"/>
          <w:kern w:val="0"/>
          <w:sz w:val="32"/>
          <w:szCs w:val="24"/>
          <w:highlight w:val="white"/>
          <w:lang w:val="en-US" w:eastAsia="zh-CN"/>
        </w:rPr>
        <w:t>三十九、</w:t>
      </w:r>
      <w:r>
        <w:rPr>
          <w:rFonts w:hint="eastAsia" w:ascii="仿宋" w:hAnsi="仿宋" w:eastAsia="仿宋"/>
          <w:color w:val="000000"/>
          <w:kern w:val="0"/>
          <w:sz w:val="32"/>
          <w:szCs w:val="24"/>
          <w:highlight w:val="white"/>
          <w:lang w:val="en-US"/>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w:t>
      </w:r>
      <w:r>
        <w:rPr>
          <w:rFonts w:hint="eastAsia" w:ascii="仿宋" w:hAnsi="仿宋" w:eastAsia="仿宋"/>
          <w:color w:val="000000"/>
          <w:kern w:val="0"/>
          <w:sz w:val="32"/>
          <w:szCs w:val="24"/>
          <w:highlight w:val="white"/>
          <w:lang w:val="en-US" w:eastAsia="zh-CN"/>
        </w:rPr>
        <w:t>护费及其他费用。</w:t>
      </w:r>
    </w:p>
    <w:p>
      <w:pPr>
        <w:keepNext/>
        <w:keepLines/>
        <w:spacing w:beforeLines="0" w:afterLines="0" w:line="560" w:lineRule="exact"/>
        <w:ind w:firstLine="641"/>
        <w:rPr>
          <w:rFonts w:hint="eastAsia" w:ascii="仿宋" w:hAnsi="仿宋" w:eastAsia="仿宋"/>
          <w:color w:val="auto"/>
          <w:sz w:val="32"/>
          <w:szCs w:val="24"/>
          <w:highlight w:val="white"/>
          <w:lang w:val="en-US"/>
        </w:rPr>
      </w:pPr>
    </w:p>
    <w:p>
      <w:pPr>
        <w:keepNext/>
        <w:keepLines/>
        <w:spacing w:beforeLines="0" w:afterLines="0"/>
        <w:ind w:firstLine="640"/>
        <w:jc w:val="center"/>
        <w:rPr>
          <w:rFonts w:hint="eastAsia" w:ascii="黑体" w:hAnsi="黑体" w:eastAsia="黑体"/>
          <w:color w:val="auto"/>
          <w:sz w:val="32"/>
          <w:szCs w:val="24"/>
          <w:highlight w:val="white"/>
          <w:lang w:val="en-US"/>
        </w:rPr>
      </w:pPr>
      <w:r>
        <w:rPr>
          <w:rFonts w:hint="eastAsia" w:ascii="黑体" w:hAnsi="黑体" w:eastAsia="黑体"/>
          <w:color w:val="auto"/>
          <w:sz w:val="32"/>
          <w:szCs w:val="24"/>
          <w:highlight w:val="white"/>
          <w:lang w:val="en-US"/>
        </w:rPr>
        <w:t>第五部分 附</w:t>
      </w:r>
      <w:r>
        <w:rPr>
          <w:rFonts w:hint="eastAsia" w:ascii="黑体" w:hAnsi="黑体" w:eastAsia="黑体"/>
          <w:color w:val="auto"/>
          <w:sz w:val="32"/>
          <w:szCs w:val="24"/>
          <w:highlight w:val="white"/>
          <w:lang w:val="en-US" w:eastAsia="zh-CN"/>
        </w:rPr>
        <w:t xml:space="preserve"> </w:t>
      </w:r>
      <w:r>
        <w:rPr>
          <w:rFonts w:hint="eastAsia" w:ascii="黑体" w:hAnsi="黑体" w:eastAsia="黑体"/>
          <w:color w:val="auto"/>
          <w:sz w:val="32"/>
          <w:szCs w:val="24"/>
          <w:highlight w:val="white"/>
          <w:lang w:val="en-US"/>
        </w:rPr>
        <w:t>件</w:t>
      </w:r>
    </w:p>
    <w:p>
      <w:pPr>
        <w:keepNext/>
        <w:keepLines/>
        <w:spacing w:beforeLines="0" w:afterLines="0" w:line="560" w:lineRule="exact"/>
        <w:ind w:firstLine="641"/>
        <w:rPr>
          <w:rFonts w:hint="eastAsia" w:ascii="仿宋" w:hAnsi="仿宋" w:eastAsia="仿宋"/>
          <w:color w:val="auto"/>
          <w:sz w:val="32"/>
          <w:szCs w:val="24"/>
          <w:highlight w:val="white"/>
          <w:lang w:val="en-US" w:eastAsia="zh-CN"/>
        </w:rPr>
      </w:pPr>
      <w:r>
        <w:rPr>
          <w:rFonts w:hint="eastAsia" w:ascii="仿宋" w:hAnsi="仿宋" w:eastAsia="仿宋"/>
          <w:color w:val="auto"/>
          <w:sz w:val="32"/>
          <w:szCs w:val="24"/>
          <w:highlight w:val="white"/>
          <w:lang w:val="en-US" w:eastAsia="zh-CN"/>
        </w:rPr>
        <w:t>益阳市赫山区发展和改革局2019年整体支出绩效评价报告及单位项目、重点项目绩效评价报告已在部门网站上公开。</w:t>
      </w: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F4E5A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unhideWhenUsed/>
    <w:uiPriority w:val="0"/>
    <w:pPr>
      <w:spacing w:beforeLines="0" w:afterLines="0"/>
      <w:jc w:val="both"/>
    </w:pPr>
    <w:rPr>
      <w:rFonts w:hint="default" w:ascii="Times New Roman" w:hAnsi="Times New Roman" w:eastAsia="宋体"/>
      <w:kern w:val="2"/>
      <w:sz w:val="21"/>
      <w:szCs w:val="24"/>
    </w:rPr>
  </w:style>
  <w:style w:type="character" w:default="1" w:styleId="4">
    <w:name w:val="Default Paragraph Font"/>
    <w:unhideWhenUsed/>
    <w:uiPriority w:val="99"/>
    <w:rPr>
      <w:rFonts w:hint="default"/>
      <w:sz w:val="24"/>
      <w:szCs w:val="24"/>
    </w:rPr>
  </w:style>
  <w:style w:type="table" w:default="1" w:styleId="3">
    <w:name w:val="Normal Table"/>
    <w:qFormat/>
    <w:uiPriority w:val="99"/>
    <w:tblPr>
      <w:tblCellMar>
        <w:top w:w="0" w:type="dxa"/>
        <w:left w:w="108" w:type="dxa"/>
        <w:bottom w:w="0" w:type="dxa"/>
        <w:right w:w="108" w:type="dxa"/>
      </w:tblCellMar>
    </w:tblPr>
  </w:style>
  <w:style w:type="paragraph" w:styleId="2">
    <w:name w:val="Normal (Web)"/>
    <w:basedOn w:val="1"/>
    <w:unhideWhenUsed/>
    <w:qFormat/>
    <w:uiPriority w:val="99"/>
    <w:pPr>
      <w:spacing w:beforeLines="0" w:afterLines="0"/>
      <w:jc w:val="left"/>
    </w:pPr>
    <w:rPr>
      <w:rFonts w:hint="default" w:ascii="Calibri" w:hAnsi="Calibri"/>
      <w:kern w:val="0"/>
      <w:sz w:val="24"/>
      <w:szCs w:val="24"/>
    </w:rPr>
  </w:style>
  <w:style w:type="character" w:customStyle="1" w:styleId="5">
    <w:name w:val="UserStyle_2"/>
    <w:basedOn w:val="4"/>
    <w:unhideWhenUsed/>
    <w:qFormat/>
    <w:uiPriority w:val="0"/>
    <w:rPr>
      <w:rFonts w:hint="default"/>
      <w:sz w:val="24"/>
      <w:szCs w:val="24"/>
    </w:rPr>
  </w:style>
  <w:style w:type="character" w:customStyle="1" w:styleId="6">
    <w:name w:val="tys-main-zt-aa1"/>
    <w:basedOn w:val="4"/>
    <w:unhideWhenUsed/>
    <w:uiPriority w:val="0"/>
    <w:rPr>
      <w:rFonts w:hint="default"/>
      <w:sz w:val="24"/>
      <w:szCs w:val="24"/>
    </w:rPr>
  </w:style>
  <w:style w:type="character" w:customStyle="1" w:styleId="7">
    <w:name w:val="NormalCharacter"/>
    <w:unhideWhenUsed/>
    <w:qFormat/>
    <w:uiPriority w:val="0"/>
    <w:rPr>
      <w:rFonts w:hint="default"/>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Office_11.1.0.10495_F1E327BC-269C-435d-A152-05C5408002CA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2021-06-21T01:30:39Z</dcterms:created>
  <dc:creator>Administrator</dc:creator>
  <cp:lastModifiedBy>Administrator</cp:lastModifiedBy>
  <dcterms:modified xsi:type="dcterms:W3CDTF">2021-06-21T01:30:57Z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8DB560AD94A24AE19C5A8C5547EFCD98</vt:lpwstr>
  </property>
</Properties>
</file>