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F3" w:rsidRDefault="00B0336E">
      <w:pPr>
        <w:pStyle w:val="a3"/>
        <w:widowControl/>
        <w:shd w:val="clear" w:color="auto" w:fill="FFFFFF"/>
        <w:spacing w:beforeAutospacing="0" w:afterAutospacing="0" w:line="480" w:lineRule="atLeast"/>
        <w:jc w:val="center"/>
        <w:rPr>
          <w:rFonts w:asciiTheme="minorEastAsia" w:hAnsiTheme="minorEastAsia" w:cstheme="minorEastAsia"/>
          <w:color w:val="333333"/>
          <w:sz w:val="44"/>
          <w:szCs w:val="44"/>
          <w:shd w:val="clear" w:color="auto" w:fill="FFFFFF"/>
        </w:rPr>
      </w:pPr>
      <w:r>
        <w:rPr>
          <w:rFonts w:ascii="Times New Roman" w:hAnsi="Times New Roman" w:hint="eastAsia"/>
          <w:color w:val="333333"/>
          <w:sz w:val="44"/>
          <w:szCs w:val="44"/>
        </w:rPr>
        <w:t>益阳市欧江岔镇人民政府</w:t>
      </w:r>
      <w:r>
        <w:rPr>
          <w:rFonts w:asciiTheme="minorEastAsia" w:hAnsiTheme="minorEastAsia" w:cstheme="minorEastAsia" w:hint="eastAsia"/>
          <w:color w:val="333333"/>
          <w:sz w:val="44"/>
          <w:szCs w:val="44"/>
          <w:shd w:val="clear" w:color="auto" w:fill="FFFFFF"/>
        </w:rPr>
        <w:t>20</w:t>
      </w:r>
      <w:r w:rsidR="00EE7214">
        <w:rPr>
          <w:rFonts w:asciiTheme="minorEastAsia" w:hAnsiTheme="minorEastAsia" w:cstheme="minorEastAsia"/>
          <w:color w:val="333333"/>
          <w:sz w:val="44"/>
          <w:szCs w:val="44"/>
          <w:shd w:val="clear" w:color="auto" w:fill="FFFFFF"/>
        </w:rPr>
        <w:t>20</w:t>
      </w:r>
      <w:r>
        <w:rPr>
          <w:rFonts w:asciiTheme="minorEastAsia" w:hAnsiTheme="minorEastAsia" w:cstheme="minorEastAsia" w:hint="eastAsia"/>
          <w:color w:val="333333"/>
          <w:sz w:val="44"/>
          <w:szCs w:val="44"/>
          <w:shd w:val="clear" w:color="auto" w:fill="FFFFFF"/>
        </w:rPr>
        <w:t>年度</w:t>
      </w:r>
    </w:p>
    <w:p w:rsidR="00916EF3" w:rsidRDefault="00B0336E">
      <w:pPr>
        <w:pStyle w:val="a3"/>
        <w:widowControl/>
        <w:shd w:val="clear" w:color="auto" w:fill="FFFFFF"/>
        <w:spacing w:beforeAutospacing="0" w:afterAutospacing="0" w:line="480" w:lineRule="atLeast"/>
        <w:jc w:val="center"/>
        <w:rPr>
          <w:rFonts w:asciiTheme="minorEastAsia" w:hAnsiTheme="minorEastAsia" w:cstheme="minorEastAsia"/>
          <w:color w:val="333333"/>
          <w:sz w:val="44"/>
          <w:szCs w:val="44"/>
        </w:rPr>
      </w:pPr>
      <w:r>
        <w:rPr>
          <w:rFonts w:asciiTheme="minorEastAsia" w:hAnsiTheme="minorEastAsia" w:cstheme="minorEastAsia" w:hint="eastAsia"/>
          <w:color w:val="333333"/>
          <w:sz w:val="44"/>
          <w:szCs w:val="44"/>
          <w:shd w:val="clear" w:color="auto" w:fill="FFFFFF"/>
        </w:rPr>
        <w:t>部门整体支出绩效自评指标计分表</w:t>
      </w:r>
    </w:p>
    <w:p w:rsidR="00916EF3" w:rsidRDefault="00B0336E">
      <w:pPr>
        <w:pStyle w:val="a3"/>
        <w:widowControl/>
        <w:shd w:val="clear" w:color="auto" w:fill="FFFFFF"/>
        <w:spacing w:beforeAutospacing="0" w:afterAutospacing="0" w:line="80" w:lineRule="atLeast"/>
        <w:jc w:val="both"/>
        <w:rPr>
          <w:rFonts w:ascii="Times New Roman" w:hAnsi="Times New Roman"/>
          <w:color w:val="333333"/>
          <w:sz w:val="21"/>
          <w:szCs w:val="21"/>
        </w:rPr>
      </w:pPr>
      <w:r>
        <w:rPr>
          <w:rFonts w:ascii="仿宋" w:eastAsia="仿宋" w:hAnsi="仿宋" w:cs="仿宋"/>
          <w:color w:val="333333"/>
          <w:sz w:val="21"/>
          <w:szCs w:val="21"/>
          <w:shd w:val="clear" w:color="auto" w:fill="FFFFFF"/>
        </w:rPr>
        <w:t> </w:t>
      </w:r>
    </w:p>
    <w:tbl>
      <w:tblPr>
        <w:tblW w:w="8326" w:type="dxa"/>
        <w:tblInd w:w="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90"/>
        <w:gridCol w:w="623"/>
        <w:gridCol w:w="704"/>
        <w:gridCol w:w="595"/>
        <w:gridCol w:w="2289"/>
        <w:gridCol w:w="3525"/>
      </w:tblGrid>
      <w:tr w:rsidR="00916EF3">
        <w:trPr>
          <w:trHeight w:val="397"/>
          <w:tblHeader/>
        </w:trPr>
        <w:tc>
          <w:tcPr>
            <w:tcW w:w="590" w:type="dxa"/>
            <w:tcBorders>
              <w:top w:val="single" w:sz="8" w:space="0" w:color="auto"/>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一级</w:t>
            </w:r>
            <w:r>
              <w:rPr>
                <w:rFonts w:asciiTheme="minorEastAsia" w:hAnsiTheme="minorEastAsia" w:cstheme="minorEastAsia" w:hint="eastAsia"/>
                <w:color w:val="333333"/>
                <w:sz w:val="20"/>
                <w:szCs w:val="20"/>
              </w:rPr>
              <w:br/>
              <w:t>指标</w:t>
            </w:r>
          </w:p>
        </w:tc>
        <w:tc>
          <w:tcPr>
            <w:tcW w:w="623"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二级指标</w:t>
            </w:r>
          </w:p>
        </w:tc>
        <w:tc>
          <w:tcPr>
            <w:tcW w:w="704"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三级指标</w:t>
            </w:r>
          </w:p>
        </w:tc>
        <w:tc>
          <w:tcPr>
            <w:tcW w:w="595"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自评分</w:t>
            </w:r>
          </w:p>
        </w:tc>
        <w:tc>
          <w:tcPr>
            <w:tcW w:w="2289"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指标解释</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指标说明</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投入（20分）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目标</w:t>
            </w:r>
            <w:r>
              <w:rPr>
                <w:rFonts w:asciiTheme="minorEastAsia" w:hAnsiTheme="minorEastAsia" w:cstheme="minorEastAsia" w:hint="eastAsia"/>
                <w:color w:val="333333"/>
                <w:sz w:val="20"/>
                <w:szCs w:val="20"/>
              </w:rPr>
              <w:br/>
              <w:t>设定（5分）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绩效目标合理性（2分）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部门所设立的整体绩效目标依据是否充分，是否符合客观实际，用以反映和考核部门整体绩效目标与部门履职、年度工作任务的相符性情况。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①符合国家法律法规、国民经济和社会发展总体规划计1分；②符合部门“三定”方案确定的职责计0.5分；③是否符合部门制定的中长期实施规划计0.5分。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绩效指标明确性（3分）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3</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部门依据整体绩效目标所设定的绩效指标是否清晰、细化、可衡量，用以反映和考核部门整体绩效目标的明细化情况。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①将部门整体的绩效目标细化分解为具体的工作任务计1分；②通过清晰、可衡量的指标值予以体现计0.5分。③与部门年度的任务数或计划数相对应计0.5分；④与本年度部门预算资金相匹配计1分。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w:t>
            </w:r>
            <w:r>
              <w:rPr>
                <w:rFonts w:asciiTheme="minorEastAsia" w:hAnsiTheme="minorEastAsia" w:cstheme="minorEastAsia" w:hint="eastAsia"/>
                <w:color w:val="333333"/>
                <w:sz w:val="20"/>
                <w:szCs w:val="20"/>
              </w:rPr>
              <w:br/>
              <w:t>配置（15分）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在职人员控制率（5分）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部门本年度实际在职人员数与编制数的比率，用以反映和考核部门对人员成本的控制程度。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“三公经费”</w:t>
            </w:r>
          </w:p>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变动率（5分）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部门本年度“三公经费”预算数与上年度“三公经费”预算数的变动比率，用以反映和考核部门对控制重点行政成本的努力程度。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重点支出安排率（5分）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部门本年度预算安排的重点项目支出与部门项目总支出的比率，用以反映和考核部门对履行主要职责或完成重点任务的保障程度。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过程（30分）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w:t>
            </w:r>
            <w:r>
              <w:rPr>
                <w:rFonts w:asciiTheme="minorEastAsia" w:hAnsiTheme="minorEastAsia" w:cstheme="minorEastAsia" w:hint="eastAsia"/>
                <w:color w:val="333333"/>
                <w:sz w:val="20"/>
                <w:szCs w:val="20"/>
              </w:rPr>
              <w:br/>
              <w:t>执行</w:t>
            </w:r>
          </w:p>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（20分）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预算完成率（4分）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rsidP="00EE7214">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w:t>
            </w:r>
            <w:r w:rsidR="00EE7214">
              <w:rPr>
                <w:rFonts w:asciiTheme="minorEastAsia" w:hAnsiTheme="minorEastAsia" w:cstheme="minorEastAsia"/>
                <w:color w:val="333333"/>
                <w:sz w:val="20"/>
                <w:szCs w:val="20"/>
              </w:rPr>
              <w:t>3</w:t>
            </w:r>
            <w:r w:rsidR="00B57A6B">
              <w:rPr>
                <w:rFonts w:asciiTheme="minorEastAsia" w:hAnsiTheme="minorEastAsia" w:cstheme="minorEastAsia"/>
                <w:color w:val="333333"/>
                <w:sz w:val="20"/>
                <w:szCs w:val="20"/>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部门本年度预算完成数与预算数的比率，用以反映和考核部门预算完成程度。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2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预算完成率=（预算完成数/预算数）×100%。完成年初预算计4分，未完成年初预算按比例扣减，预算完成数：部门本年度实际完成的预算数。预算数：财政部门批复的本年度部门预算数。</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预算调</w:t>
            </w:r>
            <w:r>
              <w:rPr>
                <w:rFonts w:asciiTheme="minorEastAsia" w:hAnsiTheme="minorEastAsia" w:cstheme="minorEastAsia" w:hint="eastAsia"/>
                <w:color w:val="333333"/>
                <w:sz w:val="20"/>
                <w:szCs w:val="20"/>
              </w:rPr>
              <w:lastRenderedPageBreak/>
              <w:t>整率（2分）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lastRenderedPageBreak/>
              <w:t> </w:t>
            </w:r>
          </w:p>
          <w:p w:rsidR="00916EF3" w:rsidRDefault="00916EF3">
            <w:pPr>
              <w:pStyle w:val="a3"/>
              <w:widowControl/>
              <w:spacing w:beforeAutospacing="0" w:afterAutospacing="0" w:line="240" w:lineRule="atLeast"/>
              <w:jc w:val="center"/>
              <w:rPr>
                <w:rFonts w:asciiTheme="minorEastAsia" w:hAnsiTheme="minorEastAsia" w:cstheme="minorEastAsia"/>
                <w:color w:val="333333"/>
                <w:sz w:val="20"/>
                <w:szCs w:val="20"/>
              </w:rPr>
            </w:pPr>
          </w:p>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1.5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lastRenderedPageBreak/>
              <w:t>部门本年度预算调整数与</w:t>
            </w:r>
            <w:r>
              <w:rPr>
                <w:rFonts w:asciiTheme="minorEastAsia" w:hAnsiTheme="minorEastAsia" w:cstheme="minorEastAsia" w:hint="eastAsia"/>
                <w:color w:val="333333"/>
                <w:sz w:val="20"/>
                <w:szCs w:val="20"/>
              </w:rPr>
              <w:lastRenderedPageBreak/>
              <w:t>预算数的比率，用以反映和考核部门预算的调整程度。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2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lastRenderedPageBreak/>
              <w:t>预算调整率=（预算调整数/预算数）×</w:t>
            </w:r>
            <w:r>
              <w:rPr>
                <w:rFonts w:asciiTheme="minorEastAsia" w:hAnsiTheme="minorEastAsia" w:cstheme="minorEastAsia" w:hint="eastAsia"/>
                <w:color w:val="000000"/>
                <w:sz w:val="20"/>
                <w:szCs w:val="20"/>
              </w:rPr>
              <w:lastRenderedPageBreak/>
              <w:t>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支付进度率（2分）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部门实际支付进度与既定支付进度的比率，用以反映和考核部门预算执行的及时性和均衡性程度。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2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ind w:left="113"/>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过程（30分）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w:t>
            </w:r>
            <w:r>
              <w:rPr>
                <w:rFonts w:asciiTheme="minorEastAsia" w:hAnsiTheme="minorEastAsia" w:cstheme="minorEastAsia" w:hint="eastAsia"/>
                <w:color w:val="333333"/>
                <w:sz w:val="20"/>
                <w:szCs w:val="20"/>
              </w:rPr>
              <w:br/>
              <w:t>执行</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（20分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结转结余控制率（4分）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3</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部门本年度结转结余总额与上年结转结余总额增减比例，用以反映和考核部门对存量资金的实际控制程度。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结转结余控制率=（本年结转结余总额-上年结转结余总额）/上年结转结余总额×100%。低于15%的计4分，每超过5个百分点扣1分，扣完为止。结转结余总额：部门本年度的结转资金与结余资金之和（以决算数为准）。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公用经费</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控制率（2分）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部门本年度实际支出的公用经费总额与预算安排的公用经费总额的比率，用以反映和考核部门对机构运转成本的实际控制程度。</w:t>
            </w:r>
            <w:bookmarkStart w:id="0" w:name="_GoBack"/>
            <w:bookmarkEnd w:id="0"/>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公用经费控制率=（实际支出公用经费总额/预算安排公用经费总额）×100%。为100%的计2分，每超过1个百分点扣0.1分，扣完为止。</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“三公经费”控制率（2分）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2 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部门本年度“三公经费”实际支出数与预算安排数的比率，用以反映和考核部门对“三公经费”的实际控制程度。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“三公经费”控制率=（“三公经费”实际支出数/“三公经费”预算安排数）×100%。为100%的计2分，每超过1个百分点扣0.5分，扣完为止。</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政府采购</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执行率（4分）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3.5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部门本年度实际政府采购金额与年初政府采购预算的比率，用以反映和考核部门政府采购预算执行情况。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预算</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管理</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（5</w:t>
            </w:r>
            <w:r>
              <w:rPr>
                <w:rFonts w:asciiTheme="minorEastAsia" w:hAnsiTheme="minorEastAsia" w:cstheme="minorEastAsia" w:hint="eastAsia"/>
                <w:color w:val="333333"/>
                <w:sz w:val="20"/>
                <w:szCs w:val="20"/>
              </w:rPr>
              <w:lastRenderedPageBreak/>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lastRenderedPageBreak/>
              <w:t>管理制度</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健全性</w:t>
            </w:r>
            <w:r>
              <w:rPr>
                <w:rFonts w:asciiTheme="minorEastAsia" w:hAnsiTheme="minorEastAsia" w:cstheme="minorEastAsia" w:hint="eastAsia"/>
                <w:color w:val="333333"/>
                <w:sz w:val="20"/>
                <w:szCs w:val="20"/>
              </w:rPr>
              <w:lastRenderedPageBreak/>
              <w:t>（2分）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lastRenderedPageBreak/>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部门为加强预算管理、规范财务行为而制定的管理制度是否健全完整，用以</w:t>
            </w:r>
            <w:r>
              <w:rPr>
                <w:rFonts w:asciiTheme="minorEastAsia" w:hAnsiTheme="minorEastAsia" w:cstheme="minorEastAsia" w:hint="eastAsia"/>
                <w:color w:val="333333"/>
                <w:sz w:val="20"/>
                <w:szCs w:val="20"/>
              </w:rPr>
              <w:lastRenderedPageBreak/>
              <w:t>反映和考核部门预算管理制度对完成主要职责或促进事业发展的保障情况。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lastRenderedPageBreak/>
              <w:t>已制定或具有预算资金管理办法、内部财务管理制度、会计核算制度等管理制度计1分；相关管理制度合法、合规、完整计</w:t>
            </w:r>
            <w:r>
              <w:rPr>
                <w:rFonts w:asciiTheme="minorEastAsia" w:hAnsiTheme="minorEastAsia" w:cstheme="minorEastAsia" w:hint="eastAsia"/>
                <w:color w:val="000000"/>
                <w:sz w:val="20"/>
                <w:szCs w:val="20"/>
              </w:rPr>
              <w:lastRenderedPageBreak/>
              <w:t>0.5分；相关管理制度得到有效执行计0.5分。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资金使用</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合规性（1分）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1 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部门使用预算资金是否符合相关的预算财务管理制度的规定，用以反映和考核部门预算资金的规范运行情况。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预决算信</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息公开性（1分）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1</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部门是否按照政府信息公开有关规定公开相关预决算信息，用以反映和考核部门预决算管理的公开透明情况。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①按规定内容公开预决算信息计0.5分；②按规定时限公开预决算信息计0.5分。预决算信息是指与部门预算、执行、决算、监督、绩效等管理相关的信息。</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基础信息</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完善性（1分）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1 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部门基础信息是否完善，用以反映和考核基础信息对预算管理工作的支撑情况。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①基础数据信息和会计信息资料真实计0.4分；②基础数据信息和会计信息资料完整计0.3分；③基础数据信息和会计信息资料准确计0.3分。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资产</w:t>
            </w:r>
            <w:r>
              <w:rPr>
                <w:rFonts w:asciiTheme="minorEastAsia" w:hAnsiTheme="minorEastAsia" w:cstheme="minorEastAsia" w:hint="eastAsia"/>
                <w:color w:val="333333"/>
                <w:sz w:val="20"/>
                <w:szCs w:val="20"/>
              </w:rPr>
              <w:br/>
              <w:t>管理</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（5分）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管理制度</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健全性（2分）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部门为加强资产管理、规范资产管理行为而制定的管理制度是否健全完整，用以反映和考核部门资产管理制度对完成主要职责或促进社会发展的保障情况。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①制定或具有资产管理制度计1分；②相关资金管理制度合法、合规、完整计0.5分；③相关资产管理制度得到有效执行计0.5分。</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vAlign w:val="center"/>
          </w:tcPr>
          <w:p w:rsidR="00916EF3" w:rsidRDefault="00B0336E">
            <w:pPr>
              <w:pStyle w:val="a3"/>
              <w:widowControl/>
              <w:spacing w:beforeAutospacing="0" w:afterAutospacing="0" w:line="240" w:lineRule="atLeast"/>
              <w:ind w:left="113"/>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过程（30分）</w:t>
            </w:r>
          </w:p>
        </w:tc>
        <w:tc>
          <w:tcPr>
            <w:tcW w:w="623" w:type="dxa"/>
            <w:vMerge w:val="restart"/>
            <w:tcBorders>
              <w:top w:val="nil"/>
              <w:left w:val="nil"/>
              <w:bottom w:val="single" w:sz="8" w:space="0" w:color="auto"/>
              <w:right w:val="single" w:sz="8" w:space="0" w:color="auto"/>
            </w:tcBorders>
            <w:shd w:val="clear" w:color="auto" w:fill="FFFFFF"/>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资产</w:t>
            </w:r>
            <w:r>
              <w:rPr>
                <w:rFonts w:asciiTheme="minorEastAsia" w:hAnsiTheme="minorEastAsia" w:cstheme="minorEastAsia" w:hint="eastAsia"/>
                <w:color w:val="333333"/>
                <w:sz w:val="20"/>
                <w:szCs w:val="20"/>
              </w:rPr>
              <w:br/>
              <w:t>管理</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（5分）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资产管理</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安全性（2分）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部门的资产是否保存完整、使用合规、配置合理、处置规范、收入及时足额上缴，用以反映和考核部门资产安全运行情况。</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①资产保存完整计0.4分；②资产配置合理计0.4分；③资产处置规范计0.4分；④资产账务管理合规、帐实相符计0.4分；⑤资产有偿使用及处置收入及时足额上缴计0.4分。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固定资产</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利用率（1分）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1 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部门实际在用固定资产总额与所有固定资产总额的比率，用以反映和考核部门固定资产使用效率程度。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固定资产利用率=（实际在用固定资产总额/所有固定资产总额）×100%。利用率为100%的计1分，每降1个百分点扣0.1分，扣完为止。</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产出（30分）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职责</w:t>
            </w:r>
            <w:r>
              <w:rPr>
                <w:rFonts w:asciiTheme="minorEastAsia" w:hAnsiTheme="minorEastAsia" w:cstheme="minorEastAsia" w:hint="eastAsia"/>
                <w:color w:val="333333"/>
                <w:sz w:val="20"/>
                <w:szCs w:val="20"/>
              </w:rPr>
              <w:br/>
              <w:t>履行</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实际完成率（8分）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7</w:t>
            </w:r>
            <w:r w:rsidR="00B57A6B">
              <w:rPr>
                <w:rFonts w:asciiTheme="minorEastAsia" w:hAnsiTheme="minorEastAsia" w:cstheme="minorEastAsia"/>
                <w:color w:val="333333"/>
                <w:sz w:val="20"/>
                <w:szCs w:val="20"/>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部门履行职责而实际完成工作数与计划工作数的比率，用以反映和考核部门履职工作任务目标的实现程度。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实际完成率得分=完成市委市政府绩效考核得分或上级主管部门考核指标得分/指标分值*8分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完成及时率（4分）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3</w:t>
            </w:r>
            <w:r w:rsidR="00B57A6B">
              <w:rPr>
                <w:rFonts w:asciiTheme="minorEastAsia" w:hAnsiTheme="minorEastAsia" w:cstheme="minorEastAsia"/>
                <w:color w:val="333333"/>
                <w:sz w:val="20"/>
                <w:szCs w:val="20"/>
              </w:rPr>
              <w:t>.5</w:t>
            </w:r>
            <w:r>
              <w:rPr>
                <w:rFonts w:asciiTheme="minorEastAsia" w:hAnsiTheme="minorEastAsia" w:cstheme="minorEastAsia" w:hint="eastAsia"/>
                <w:color w:val="333333"/>
                <w:sz w:val="20"/>
                <w:szCs w:val="20"/>
              </w:rPr>
              <w:t>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部门在规定时限内及时完成的实际工作数与计划工作数的比率,用以反映和考核部门履职时效目标的实现程度。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21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完成及时率=（及时完成实际工作数/计划工作数）×100%。1-4季度各得1分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质量达标率（8分）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8 </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达到质量标准（绩效标准值）的实际工作数与计划工作数的比率,用以反映和考核部门履职质量目标的实现程度。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质量达标率=（质量达标实际工作数/计划工作数）×100%。实际得分=达标率*8分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重点工作</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办结率（10分）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9</w:t>
            </w:r>
            <w:r w:rsidR="00B57A6B">
              <w:rPr>
                <w:rFonts w:asciiTheme="minorEastAsia" w:hAnsiTheme="minorEastAsia" w:cstheme="minorEastAsia"/>
                <w:color w:val="333333"/>
                <w:sz w:val="20"/>
                <w:szCs w:val="20"/>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部门年度重点工作实际完成数与交办或下达数的比率，用以反映部门对重点工作的办理落实程度。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重点工作办结率=（重点工作实际完成数/交办或下达数）×100%。实际得分=办结率*10分</w:t>
            </w:r>
          </w:p>
        </w:tc>
      </w:tr>
      <w:tr w:rsidR="00916EF3">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4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效果（20分）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履职</w:t>
            </w:r>
            <w:r>
              <w:rPr>
                <w:rFonts w:asciiTheme="minorEastAsia" w:hAnsiTheme="minorEastAsia" w:cstheme="minorEastAsia" w:hint="eastAsia"/>
                <w:color w:val="333333"/>
                <w:sz w:val="20"/>
                <w:szCs w:val="20"/>
              </w:rPr>
              <w:br/>
              <w:t>效益（20分）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经济效益（5分）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4</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部门履行职责对经济发展所带来的直接或间接影响。</w:t>
            </w:r>
          </w:p>
        </w:tc>
        <w:tc>
          <w:tcPr>
            <w:tcW w:w="35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按经济效益实现程度计算得分（5分）；按社会效益实现程度计算得分（5分）；按生态效益实现程度计算得分（5分）</w:t>
            </w: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社会效益（5分）</w:t>
            </w:r>
          </w:p>
        </w:tc>
        <w:tc>
          <w:tcPr>
            <w:tcW w:w="595" w:type="dxa"/>
            <w:tcBorders>
              <w:top w:val="nil"/>
              <w:left w:val="nil"/>
              <w:bottom w:val="single" w:sz="8" w:space="0" w:color="auto"/>
              <w:right w:val="single" w:sz="8" w:space="0" w:color="auto"/>
            </w:tcBorders>
            <w:shd w:val="clear" w:color="auto" w:fill="FFFFFF"/>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4.5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部门履行职责对社会发展所带来的直接或间接影响。</w:t>
            </w:r>
          </w:p>
        </w:tc>
        <w:tc>
          <w:tcPr>
            <w:tcW w:w="3525" w:type="dxa"/>
            <w:vMerge/>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000000"/>
                <w:sz w:val="20"/>
                <w:szCs w:val="20"/>
              </w:rPr>
            </w:pP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生态效益（5分）</w:t>
            </w:r>
          </w:p>
        </w:tc>
        <w:tc>
          <w:tcPr>
            <w:tcW w:w="595" w:type="dxa"/>
            <w:tcBorders>
              <w:top w:val="nil"/>
              <w:left w:val="nil"/>
              <w:bottom w:val="single" w:sz="8" w:space="0" w:color="auto"/>
              <w:right w:val="single" w:sz="8" w:space="0" w:color="auto"/>
            </w:tcBorders>
            <w:shd w:val="clear" w:color="auto" w:fill="FFFFFF"/>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4.5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部门履行职责对生态环境所带来的直接或间接影响。</w:t>
            </w:r>
          </w:p>
        </w:tc>
        <w:tc>
          <w:tcPr>
            <w:tcW w:w="3525" w:type="dxa"/>
            <w:vMerge/>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000000"/>
                <w:sz w:val="20"/>
                <w:szCs w:val="20"/>
              </w:rPr>
            </w:pPr>
          </w:p>
        </w:tc>
      </w:tr>
      <w:tr w:rsidR="00916EF3">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916EF3">
            <w:pPr>
              <w:rPr>
                <w:rFonts w:asciiTheme="minorEastAsia" w:hAnsiTheme="minorEastAsia" w:cstheme="minorEastAsia"/>
                <w:color w:val="333333"/>
                <w:sz w:val="20"/>
                <w:szCs w:val="20"/>
              </w:rPr>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社会公众</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或服务对</w:t>
            </w:r>
          </w:p>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象满意度（5分）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center"/>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 4.5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333333"/>
                <w:sz w:val="20"/>
                <w:szCs w:val="20"/>
              </w:rPr>
            </w:pPr>
            <w:r>
              <w:rPr>
                <w:rFonts w:asciiTheme="minorEastAsia" w:hAnsiTheme="minorEastAsia" w:cstheme="minorEastAsia" w:hint="eastAsia"/>
                <w:color w:val="333333"/>
                <w:sz w:val="20"/>
                <w:szCs w:val="20"/>
              </w:rPr>
              <w:t>社会公众或部门的服务对象对部门履职效果的满意程度。</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916EF3" w:rsidRDefault="00B0336E">
            <w:pPr>
              <w:pStyle w:val="a3"/>
              <w:widowControl/>
              <w:spacing w:beforeAutospacing="0" w:afterAutospacing="0" w:line="260" w:lineRule="atLeast"/>
              <w:jc w:val="both"/>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按收集到的服务对象的满意率计算得分（5分）</w:t>
            </w:r>
          </w:p>
        </w:tc>
      </w:tr>
    </w:tbl>
    <w:p w:rsidR="00916EF3" w:rsidRDefault="00916EF3"/>
    <w:sectPr w:rsidR="00916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7AF" w:rsidRDefault="004567AF" w:rsidP="00EE7214">
      <w:r>
        <w:separator/>
      </w:r>
    </w:p>
  </w:endnote>
  <w:endnote w:type="continuationSeparator" w:id="0">
    <w:p w:rsidR="004567AF" w:rsidRDefault="004567AF" w:rsidP="00EE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7AF" w:rsidRDefault="004567AF" w:rsidP="00EE7214">
      <w:r>
        <w:separator/>
      </w:r>
    </w:p>
  </w:footnote>
  <w:footnote w:type="continuationSeparator" w:id="0">
    <w:p w:rsidR="004567AF" w:rsidRDefault="004567AF" w:rsidP="00EE7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EF3"/>
    <w:rsid w:val="004567AF"/>
    <w:rsid w:val="00916EF3"/>
    <w:rsid w:val="00B0336E"/>
    <w:rsid w:val="00B57A6B"/>
    <w:rsid w:val="00EE7214"/>
    <w:rsid w:val="43785591"/>
    <w:rsid w:val="5A14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202B7"/>
  <w15:docId w15:val="{12467C6C-8D4C-4E4B-BB95-15FEBE59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EE72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E7214"/>
    <w:rPr>
      <w:rFonts w:asciiTheme="minorHAnsi" w:eastAsiaTheme="minorEastAsia" w:hAnsiTheme="minorHAnsi" w:cstheme="minorBidi"/>
      <w:kern w:val="2"/>
      <w:sz w:val="18"/>
      <w:szCs w:val="18"/>
    </w:rPr>
  </w:style>
  <w:style w:type="paragraph" w:styleId="a6">
    <w:name w:val="footer"/>
    <w:basedOn w:val="a"/>
    <w:link w:val="a7"/>
    <w:rsid w:val="00EE7214"/>
    <w:pPr>
      <w:tabs>
        <w:tab w:val="center" w:pos="4153"/>
        <w:tab w:val="right" w:pos="8306"/>
      </w:tabs>
      <w:snapToGrid w:val="0"/>
      <w:jc w:val="left"/>
    </w:pPr>
    <w:rPr>
      <w:sz w:val="18"/>
      <w:szCs w:val="18"/>
    </w:rPr>
  </w:style>
  <w:style w:type="character" w:customStyle="1" w:styleId="a7">
    <w:name w:val="页脚 字符"/>
    <w:basedOn w:val="a0"/>
    <w:link w:val="a6"/>
    <w:rsid w:val="00EE721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594</Words>
  <Characters>3391</Characters>
  <Application>Microsoft Office Word</Application>
  <DocSecurity>0</DocSecurity>
  <Lines>28</Lines>
  <Paragraphs>7</Paragraphs>
  <ScaleCrop>false</ScaleCrop>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2020-07-31T06:51:00Z</cp:lastPrinted>
  <dcterms:created xsi:type="dcterms:W3CDTF">2020-07-31T03:32:00Z</dcterms:created>
  <dcterms:modified xsi:type="dcterms:W3CDTF">2021-03-09T01:11:00Z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