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792" w:rsidRDefault="00BD3792">
      <w:pPr>
        <w:spacing w:line="460" w:lineRule="exact"/>
        <w:rPr>
          <w:rFonts w:ascii="黑体" w:eastAsia="黑体" w:hAnsi="黑体"/>
          <w:sz w:val="32"/>
          <w:szCs w:val="32"/>
        </w:rPr>
        <w:sectPr w:rsidR="00BD3792">
          <w:footerReference w:type="default" r:id="rId8"/>
          <w:pgSz w:w="16838" w:h="11906" w:orient="landscape"/>
          <w:pgMar w:top="1588" w:right="2098" w:bottom="1474" w:left="1985" w:header="851" w:footer="1701" w:gutter="0"/>
          <w:pgNumType w:fmt="numberInDash"/>
          <w:cols w:space="425"/>
          <w:docGrid w:type="linesAndChars" w:linePitch="312"/>
        </w:sectPr>
      </w:pPr>
    </w:p>
    <w:p w:rsidR="00BD3792" w:rsidRDefault="00CE5042">
      <w:pPr>
        <w:spacing w:line="480" w:lineRule="exact"/>
        <w:rPr>
          <w:rFonts w:ascii="黑体" w:eastAsia="黑体" w:hAnsi="黑体"/>
          <w:sz w:val="32"/>
          <w:szCs w:val="32"/>
        </w:rPr>
      </w:pPr>
      <w:r>
        <w:rPr>
          <w:rFonts w:ascii="黑体" w:eastAsia="黑体" w:hAnsi="黑体" w:hint="eastAsia"/>
          <w:sz w:val="32"/>
          <w:szCs w:val="32"/>
        </w:rPr>
        <w:lastRenderedPageBreak/>
        <w:t>附件3：</w:t>
      </w:r>
    </w:p>
    <w:p w:rsidR="00BD3792" w:rsidRDefault="00CE5042">
      <w:pPr>
        <w:spacing w:line="480" w:lineRule="exact"/>
        <w:jc w:val="center"/>
        <w:rPr>
          <w:rFonts w:ascii="方正小标宋简体" w:eastAsia="方正小标宋简体"/>
          <w:bCs/>
          <w:sz w:val="44"/>
          <w:szCs w:val="44"/>
        </w:rPr>
      </w:pPr>
      <w:r>
        <w:rPr>
          <w:rFonts w:ascii="方正小标宋简体" w:eastAsia="方正小标宋简体" w:hint="eastAsia"/>
          <w:bCs/>
          <w:sz w:val="44"/>
          <w:szCs w:val="44"/>
        </w:rPr>
        <w:t>2020年度部门整体支出绩效自评指标计分表</w:t>
      </w:r>
    </w:p>
    <w:p w:rsidR="00BD3792" w:rsidRDefault="00BD3792">
      <w:pPr>
        <w:spacing w:line="80" w:lineRule="exact"/>
        <w:rPr>
          <w:rFonts w:ascii="仿宋_GB2312"/>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47"/>
        <w:gridCol w:w="570"/>
        <w:gridCol w:w="703"/>
        <w:gridCol w:w="446"/>
        <w:gridCol w:w="2976"/>
        <w:gridCol w:w="3721"/>
      </w:tblGrid>
      <w:tr w:rsidR="00BD3792">
        <w:trPr>
          <w:trHeight w:val="567"/>
          <w:tblHeader/>
        </w:trPr>
        <w:tc>
          <w:tcPr>
            <w:tcW w:w="547"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一级</w:t>
            </w:r>
            <w:r>
              <w:rPr>
                <w:rFonts w:asciiTheme="majorEastAsia" w:eastAsiaTheme="majorEastAsia" w:hAnsiTheme="majorEastAsia" w:hint="eastAsia"/>
                <w:bCs/>
                <w:szCs w:val="21"/>
              </w:rPr>
              <w:br/>
              <w:t>指标</w:t>
            </w:r>
          </w:p>
        </w:tc>
        <w:tc>
          <w:tcPr>
            <w:tcW w:w="570"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二级指标</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三级指标</w:t>
            </w:r>
          </w:p>
        </w:tc>
        <w:tc>
          <w:tcPr>
            <w:tcW w:w="446" w:type="dxa"/>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自评分</w:t>
            </w:r>
          </w:p>
        </w:tc>
        <w:tc>
          <w:tcPr>
            <w:tcW w:w="2976"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指标解释</w:t>
            </w:r>
          </w:p>
        </w:tc>
        <w:tc>
          <w:tcPr>
            <w:tcW w:w="3721"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bCs/>
                <w:szCs w:val="21"/>
              </w:rPr>
            </w:pPr>
            <w:r>
              <w:rPr>
                <w:rFonts w:asciiTheme="majorEastAsia" w:eastAsiaTheme="majorEastAsia" w:hAnsiTheme="majorEastAsia" w:hint="eastAsia"/>
                <w:bCs/>
                <w:szCs w:val="21"/>
              </w:rPr>
              <w:t>指标说明</w:t>
            </w:r>
          </w:p>
        </w:tc>
      </w:tr>
      <w:tr w:rsidR="00BD3792">
        <w:trPr>
          <w:trHeight w:val="567"/>
        </w:trPr>
        <w:tc>
          <w:tcPr>
            <w:tcW w:w="547" w:type="dxa"/>
            <w:vMerge w:val="restart"/>
            <w:shd w:val="clear" w:color="auto" w:fill="auto"/>
            <w:tcMar>
              <w:top w:w="10" w:type="dxa"/>
              <w:left w:w="10" w:type="dxa"/>
              <w:bottom w:w="0" w:type="dxa"/>
              <w:right w:w="10" w:type="dxa"/>
            </w:tcMar>
            <w:textDirection w:val="tbRlV"/>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投   入（20分）</w:t>
            </w: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目标</w:t>
            </w:r>
            <w:r>
              <w:rPr>
                <w:rFonts w:asciiTheme="majorEastAsia" w:eastAsiaTheme="majorEastAsia" w:hAnsiTheme="majorEastAsia" w:hint="eastAsia"/>
                <w:szCs w:val="21"/>
              </w:rPr>
              <w:br/>
              <w:t>设定（5分）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绩效目标合理性（2分）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部门所设立的整体绩效目标依据是否充分，是否符合客观实际，用以反映和考核部门整体绩效目标与部门履职、年度工作任务的相符性情况。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①符合国家法律法规、国民经济和社会发展总体规划计1分；②符合部门“三定”方案确定的职责计0.5分；③是否符合部门制定的中长期实施规划计0.5分。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绩效指标明确性（3分）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3</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部门依据整体绩效目标所设定的绩效指标是否清晰、细化、可衡量，用以反映和考核部门整体绩效目标的明细化情况。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①将部门整体的绩效目标细化分解为具体的工作任务计1分；②通过清晰、可衡量的指标值予以体现计0.5分。③与部门年度的任务数或计划数相对应计0.5分；④与本年度部门预算资金相匹配计1分。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预算</w:t>
            </w:r>
            <w:r>
              <w:rPr>
                <w:rFonts w:asciiTheme="majorEastAsia" w:eastAsiaTheme="majorEastAsia" w:hAnsiTheme="majorEastAsia" w:hint="eastAsia"/>
                <w:szCs w:val="21"/>
              </w:rPr>
              <w:br/>
              <w:t>配置（15分）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在职人员控制率（5分）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部门本年度实际在职人员数与编制数的比率，用以反映和考核部门对人员成本的控制程度。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“三公经费”</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变动率（5分）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部门本年度“三公经费”预算数与上年度“三公经费”预算数的变动比率，用以反映和考核部门对控制重点行政成本的努力程度。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重点支出安排率（5分）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部门本年度预算安排的重点项目支出与部门项目总支出的比率，用以反映和考核部门对履行主要职责或完成重点任务的保障程度。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rsidR="00BD3792">
        <w:trPr>
          <w:trHeight w:val="567"/>
        </w:trPr>
        <w:tc>
          <w:tcPr>
            <w:tcW w:w="547" w:type="dxa"/>
            <w:vMerge w:val="restart"/>
            <w:shd w:val="clear" w:color="auto" w:fill="auto"/>
            <w:tcMar>
              <w:top w:w="10" w:type="dxa"/>
              <w:left w:w="10" w:type="dxa"/>
              <w:bottom w:w="0" w:type="dxa"/>
              <w:right w:w="10" w:type="dxa"/>
            </w:tcMar>
            <w:textDirection w:val="tbRlV"/>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过             程（30分）</w:t>
            </w: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预算</w:t>
            </w:r>
            <w:r>
              <w:rPr>
                <w:rFonts w:asciiTheme="majorEastAsia" w:eastAsiaTheme="majorEastAsia" w:hAnsiTheme="majorEastAsia" w:hint="eastAsia"/>
                <w:szCs w:val="21"/>
              </w:rPr>
              <w:br/>
              <w:t>执行</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（20分）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预算完成率（4分）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4</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部门本年度预算完成数与预算数的比率，用以反映和考核部门预算完成程度。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预算完成率=（预算完成数/预算数）×100%。完成年初预算计4分，未完成年初预算按比例扣减，预算完成数：部门本年度实际完成的预算数。预算数：财政部门批复的本年度部门预算数。</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预算调整率（2分）</w:t>
            </w:r>
          </w:p>
        </w:tc>
        <w:tc>
          <w:tcPr>
            <w:tcW w:w="446" w:type="dxa"/>
            <w:tcMar>
              <w:top w:w="10" w:type="dxa"/>
              <w:left w:w="10" w:type="dxa"/>
              <w:bottom w:w="0" w:type="dxa"/>
              <w:right w:w="10" w:type="dxa"/>
            </w:tcMar>
            <w:vAlign w:val="center"/>
          </w:tcPr>
          <w:p w:rsidR="00BD3792" w:rsidRDefault="004F0955">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部门本年度预算调整数与预算数的比率，用以反映和考核部门预算的调整程度。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支付进度率（2分）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部门实际支付进度与既定支付进度的比率，用以反映和考核部门预算执行的及时性和均衡性程度。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支付进度率=（实际支付进度/既定支付进度）×100%。完成年终进度的计1分，按季度完成预算进度的计1分。实际支付进度：部门在某一时点的支出预算执行总数</w:t>
            </w:r>
            <w:r>
              <w:rPr>
                <w:rFonts w:asciiTheme="majorEastAsia" w:eastAsiaTheme="majorEastAsia" w:hAnsiTheme="majorEastAsia" w:hint="eastAsia"/>
                <w:szCs w:val="21"/>
              </w:rPr>
              <w:lastRenderedPageBreak/>
              <w:t>与年度支出预算数的比率。既定支付进度：由部门在申报部门整体绩效目标时，参照序时支付进度、前三年支付进度、同级部门平均支付进度水平等确定的，在某一时点应达到的支付进度（比率）。</w:t>
            </w:r>
          </w:p>
        </w:tc>
      </w:tr>
      <w:tr w:rsidR="00BD3792">
        <w:trPr>
          <w:trHeight w:val="567"/>
        </w:trPr>
        <w:tc>
          <w:tcPr>
            <w:tcW w:w="547" w:type="dxa"/>
            <w:vMerge/>
            <w:shd w:val="clear" w:color="auto" w:fill="auto"/>
            <w:tcMar>
              <w:top w:w="10" w:type="dxa"/>
              <w:left w:w="10" w:type="dxa"/>
              <w:bottom w:w="0" w:type="dxa"/>
              <w:right w:w="10" w:type="dxa"/>
            </w:tcMar>
            <w:textDirection w:val="tbRlV"/>
            <w:vAlign w:val="center"/>
          </w:tcPr>
          <w:p w:rsidR="00BD3792" w:rsidRDefault="00BD3792">
            <w:pPr>
              <w:spacing w:line="240" w:lineRule="exact"/>
              <w:jc w:val="center"/>
              <w:rPr>
                <w:rFonts w:asciiTheme="majorEastAsia" w:eastAsiaTheme="majorEastAsia" w:hAnsiTheme="majorEastAsia"/>
                <w:szCs w:val="21"/>
              </w:rPr>
            </w:pPr>
          </w:p>
        </w:tc>
        <w:tc>
          <w:tcPr>
            <w:tcW w:w="570" w:type="dxa"/>
            <w:vMerge/>
            <w:shd w:val="clear" w:color="auto" w:fill="auto"/>
            <w:tcMar>
              <w:top w:w="10" w:type="dxa"/>
              <w:left w:w="10" w:type="dxa"/>
              <w:bottom w:w="0" w:type="dxa"/>
              <w:right w:w="10" w:type="dxa"/>
            </w:tcMar>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结转结余控制率（4分）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4</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部门本年度结转结余总额与上年结转结余总额增减比例，用以反映和考核部门对存量资金的实际控制程度。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结转结余控制率=（本年结转结余总额-上年结转结余总额）/上年结转结余总额×100%。低于15%的计4分，每超过5个百分点扣1分，扣完为止。结转结余总额：部门本年度的结转资金与结余资金之和（以决算数为准）。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公用经费</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控制率（2分）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部门本年度实际支出的公用经费总额与预算安排的公用经费总额的比率，用以反映和考核部门对机构运转成本的实际控制程度。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公用经费控制率=（实际支出公用经费总额/预算安排公用经费总额）×100%。为100%的计2分，每超过1个百分点扣0.1分，扣完为止。</w:t>
            </w:r>
          </w:p>
        </w:tc>
      </w:tr>
      <w:tr w:rsidR="00BD3792">
        <w:trPr>
          <w:trHeight w:val="567"/>
        </w:trPr>
        <w:tc>
          <w:tcPr>
            <w:tcW w:w="547"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“三公经费”控制率（2分）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部门本年度“三公经费”实际支出数与预算安排数的比率，用以反映和考核部门对“三公经费”的实际控制程度。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“三公经费”控制率=（“三公经费”实际支出数/“三公经费”预算安排数）×100%。为100%的计2分，每超过1个百分点扣0.5分，扣完为止。</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政府采购</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执行率（4分）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4</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部门本年度实际政府采购金额与年初政府采购预算的比率，用以反映和考核部门政府采购预算执行情况。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政府采购执行率=（实际政府采购金额/政府采购预算数）×100%，为100%的计2分，每低于1个百分点扣0.5分，扣完为止；政府采购预算：采购机关根据事业发展计划和行政任务编制的、并经过规定程序批准的年度政府采购计划。</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预算</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管理</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管理制度</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健全性（2分）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部门为加强预算管理、规范财务行为而制定的管理制度是否健全完整，用以反映和考核部门预算管理制度对完成主要职责或促进事业发展的保障情况。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已制定或具有预算资金管理办法、内部财务管理制度、会计核算制度等管理制度计1分；相关管理制度合法、合规、完整计0.5分；相关管理制度得到有效执行计0.5分。</w:t>
            </w:r>
          </w:p>
        </w:tc>
      </w:tr>
      <w:tr w:rsidR="00BD3792">
        <w:trPr>
          <w:trHeight w:val="567"/>
        </w:trPr>
        <w:tc>
          <w:tcPr>
            <w:tcW w:w="547"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资金使用</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合规性（1分）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部门使用预算资金是否符合相关的预算财务管理制度的规定，用以反映和考核部门预算资金的规范运行情况。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预决算信</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息公开性（1分）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部门是否按照政府信息公开有关规定公开相关预决算信息，用以反映和考核部门预决算管理的公开透明情况。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①按规定内容公开预决算信息计0.5分；②按规定时限公开预决算信息计0.5分。预决算信息是指与部门预算、执行、决算、监督、绩效等管理相关的信息。</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基础信息</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完善性（1分）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部门基础信息是否完善，用以反映和考核基础信息对预算管理工作的支撑情况。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①基础数据信息和会计信息资料真实计0.4分；②基础数据信息和会计信息资料完整计0.3分；③基础数据信息和会计信息资料准确计0.3分。</w:t>
            </w:r>
          </w:p>
        </w:tc>
      </w:tr>
      <w:tr w:rsidR="00BD3792">
        <w:trPr>
          <w:trHeight w:val="567"/>
        </w:trPr>
        <w:tc>
          <w:tcPr>
            <w:tcW w:w="547" w:type="dxa"/>
            <w:vMerge/>
            <w:shd w:val="clear" w:color="auto" w:fill="auto"/>
            <w:tcMar>
              <w:top w:w="10" w:type="dxa"/>
              <w:left w:w="10" w:type="dxa"/>
              <w:bottom w:w="0" w:type="dxa"/>
              <w:right w:w="10" w:type="dxa"/>
            </w:tcMar>
            <w:textDirection w:val="tbRlV"/>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资产</w:t>
            </w:r>
            <w:r>
              <w:rPr>
                <w:rFonts w:asciiTheme="majorEastAsia" w:eastAsiaTheme="majorEastAsia" w:hAnsiTheme="majorEastAsia" w:hint="eastAsia"/>
                <w:szCs w:val="21"/>
              </w:rPr>
              <w:br/>
              <w:t>管理</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hint="eastAsia"/>
                <w:szCs w:val="21"/>
              </w:rPr>
              <w:lastRenderedPageBreak/>
              <w:t>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lastRenderedPageBreak/>
              <w:t>管理制度</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健全性</w:t>
            </w:r>
            <w:r>
              <w:rPr>
                <w:rFonts w:asciiTheme="majorEastAsia" w:eastAsiaTheme="majorEastAsia" w:hAnsiTheme="majorEastAsia" w:hint="eastAsia"/>
                <w:szCs w:val="21"/>
              </w:rPr>
              <w:lastRenderedPageBreak/>
              <w:t>（2分）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lastRenderedPageBreak/>
              <w:t>2</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部门为加强资产管理、规范资产管理行为而制定的管理制度是否健全完整，用以反映和考核部门</w:t>
            </w:r>
            <w:r>
              <w:rPr>
                <w:rFonts w:asciiTheme="majorEastAsia" w:eastAsiaTheme="majorEastAsia" w:hAnsiTheme="majorEastAsia" w:hint="eastAsia"/>
                <w:szCs w:val="21"/>
              </w:rPr>
              <w:lastRenderedPageBreak/>
              <w:t>资产管理制度对完成主要职责或促进社会发展的保障情况。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lastRenderedPageBreak/>
              <w:t>①制定或具有资产管理制度计1分；②相关资金管理制度合法、合规、完整计0.5分；③相关资产管理制度得到有效执行计</w:t>
            </w:r>
            <w:r>
              <w:rPr>
                <w:rFonts w:asciiTheme="majorEastAsia" w:eastAsiaTheme="majorEastAsia" w:hAnsiTheme="majorEastAsia" w:hint="eastAsia"/>
                <w:szCs w:val="21"/>
              </w:rPr>
              <w:lastRenderedPageBreak/>
              <w:t>0.5分。</w:t>
            </w:r>
          </w:p>
        </w:tc>
      </w:tr>
      <w:tr w:rsidR="00BD3792">
        <w:trPr>
          <w:trHeight w:val="567"/>
        </w:trPr>
        <w:tc>
          <w:tcPr>
            <w:tcW w:w="547"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570"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资产管理</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安全性（2分）</w:t>
            </w:r>
          </w:p>
        </w:tc>
        <w:tc>
          <w:tcPr>
            <w:tcW w:w="446" w:type="dxa"/>
            <w:tcMar>
              <w:top w:w="10" w:type="dxa"/>
              <w:left w:w="10" w:type="dxa"/>
              <w:bottom w:w="0" w:type="dxa"/>
              <w:right w:w="10" w:type="dxa"/>
            </w:tcMar>
            <w:vAlign w:val="center"/>
          </w:tcPr>
          <w:p w:rsidR="00BD3792" w:rsidRDefault="00CE5042">
            <w:pPr>
              <w:tabs>
                <w:tab w:val="left" w:pos="761"/>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p>
        </w:tc>
        <w:tc>
          <w:tcPr>
            <w:tcW w:w="2976" w:type="dxa"/>
            <w:shd w:val="clear" w:color="auto" w:fill="auto"/>
            <w:tcMar>
              <w:top w:w="10" w:type="dxa"/>
              <w:left w:w="10" w:type="dxa"/>
              <w:bottom w:w="0" w:type="dxa"/>
              <w:right w:w="10" w:type="dxa"/>
            </w:tcMar>
            <w:vAlign w:val="center"/>
          </w:tcPr>
          <w:p w:rsidR="00BD3792" w:rsidRDefault="00CE5042">
            <w:pPr>
              <w:tabs>
                <w:tab w:val="left" w:pos="761"/>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部门的资产是否保存完整、使用合规、配置合理、处置规范、收入及时足额上缴，用以反映和考核部门资产安全运行情况。</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①资产保存完整计0.4分；②资产配置合理计0.4分；③资产处置规范计0.4分；④资产账务管理合规、帐实相符计0.4分；⑤资产有偿使用及处置收入及时足额上缴计0.4分。</w:t>
            </w:r>
          </w:p>
        </w:tc>
      </w:tr>
      <w:tr w:rsidR="00BD3792">
        <w:trPr>
          <w:trHeight w:val="567"/>
        </w:trPr>
        <w:tc>
          <w:tcPr>
            <w:tcW w:w="547"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570" w:type="dxa"/>
            <w:vMerge/>
            <w:shd w:val="clear" w:color="auto" w:fill="auto"/>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固定资产</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利用率（1分）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部门实际在用固定资产总额与所有固定资产总额的比率，用以反映和考核部门固定资产使用效率程度。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固定资产利用率=（实际在用固定资产总额/所有固定资产总额）×100%。利用率为100%的计1分，每降1个百分点扣0.1分，扣完为止。</w:t>
            </w:r>
          </w:p>
        </w:tc>
      </w:tr>
      <w:tr w:rsidR="00BD3792">
        <w:trPr>
          <w:trHeight w:val="567"/>
        </w:trPr>
        <w:tc>
          <w:tcPr>
            <w:tcW w:w="547" w:type="dxa"/>
            <w:vMerge w:val="restart"/>
            <w:shd w:val="clear" w:color="auto" w:fill="auto"/>
            <w:tcMar>
              <w:top w:w="10" w:type="dxa"/>
              <w:left w:w="10" w:type="dxa"/>
              <w:bottom w:w="0" w:type="dxa"/>
              <w:right w:w="10" w:type="dxa"/>
            </w:tcMar>
            <w:textDirection w:val="tbRlV"/>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产   出（30分）</w:t>
            </w: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职责</w:t>
            </w:r>
            <w:r>
              <w:rPr>
                <w:rFonts w:asciiTheme="majorEastAsia" w:eastAsiaTheme="majorEastAsia" w:hAnsiTheme="majorEastAsia" w:hint="eastAsia"/>
                <w:szCs w:val="21"/>
              </w:rPr>
              <w:br/>
              <w:t>履行</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实际完成率（8分）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8</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部门履行职责而实际完成工作数与计划工作数的比率，用以反映和考核部门履职工作任务目标的实现程度。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实际完成率得分=完成市委市政府绩效考核得分或上级主管部门考核指标得分/指标分值*8分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完成及时率（4分）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4</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部门在规定时限内及时完成的实际工作数与计划工作数的比率,用以反映和考核部门履职时效目标的实现程度。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完成及时率=（及时完成实际工作数/计划工作数）×100%。1-4季度各得1分</w:t>
            </w:r>
            <w:r>
              <w:rPr>
                <w:rFonts w:asciiTheme="majorEastAsia" w:eastAsiaTheme="majorEastAsia" w:hAnsiTheme="majorEastAsia" w:hint="eastAsia"/>
                <w:szCs w:val="21"/>
              </w:rPr>
              <w:br/>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质量达标率（8分）</w:t>
            </w:r>
          </w:p>
        </w:tc>
        <w:tc>
          <w:tcPr>
            <w:tcW w:w="446" w:type="dxa"/>
            <w:tcMar>
              <w:top w:w="10" w:type="dxa"/>
              <w:left w:w="10" w:type="dxa"/>
              <w:bottom w:w="0" w:type="dxa"/>
              <w:right w:w="10" w:type="dxa"/>
            </w:tcMar>
            <w:vAlign w:val="center"/>
          </w:tcPr>
          <w:p w:rsidR="00BD3792" w:rsidRDefault="004F0955">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8</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达到质量标准（绩效标准值）的实际工作数与计划工作数的比率,用以反映和考核部门履职质量目标的实现程度。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质量达标率=（质量达标实际工作数/计划工作数）×100%。实际得分=达标率*8分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重点工作</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办结率（10分）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10</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部门年度重点工作实际完成数与交办或下达数的比率，用以反映部门对重点工作的办理落实程度。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hint="eastAsia"/>
                <w:szCs w:val="21"/>
              </w:rPr>
              <w:t>重点工作办结率=（重点工作实际完成数/交办或下达数）×100%。实际得分=办结率*10分</w:t>
            </w:r>
          </w:p>
        </w:tc>
      </w:tr>
      <w:tr w:rsidR="00BD3792">
        <w:trPr>
          <w:trHeight w:val="567"/>
        </w:trPr>
        <w:tc>
          <w:tcPr>
            <w:tcW w:w="547" w:type="dxa"/>
            <w:vMerge w:val="restart"/>
            <w:shd w:val="clear" w:color="auto" w:fill="auto"/>
            <w:tcMar>
              <w:top w:w="10" w:type="dxa"/>
              <w:left w:w="10" w:type="dxa"/>
              <w:bottom w:w="0" w:type="dxa"/>
              <w:right w:w="10" w:type="dxa"/>
            </w:tcMar>
            <w:textDirection w:val="tbRlV"/>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效   果（20分）</w:t>
            </w:r>
          </w:p>
        </w:tc>
        <w:tc>
          <w:tcPr>
            <w:tcW w:w="570" w:type="dxa"/>
            <w:vMerge w:val="restart"/>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履职</w:t>
            </w:r>
            <w:r>
              <w:rPr>
                <w:rFonts w:asciiTheme="majorEastAsia" w:eastAsiaTheme="majorEastAsia" w:hAnsiTheme="majorEastAsia" w:hint="eastAsia"/>
                <w:szCs w:val="21"/>
              </w:rPr>
              <w:br/>
              <w:t>效益（20分）</w:t>
            </w: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经济效益（5分）</w:t>
            </w:r>
          </w:p>
        </w:tc>
        <w:tc>
          <w:tcPr>
            <w:tcW w:w="446" w:type="dxa"/>
            <w:tcMar>
              <w:top w:w="10" w:type="dxa"/>
              <w:left w:w="10" w:type="dxa"/>
              <w:bottom w:w="0" w:type="dxa"/>
              <w:right w:w="10" w:type="dxa"/>
            </w:tcMar>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3</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部门履行职责对经济发展所带来的直接或间接影响。</w:t>
            </w:r>
          </w:p>
        </w:tc>
        <w:tc>
          <w:tcPr>
            <w:tcW w:w="3721" w:type="dxa"/>
            <w:vMerge w:val="restart"/>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cs="宋体" w:hint="eastAsia"/>
                <w:kern w:val="0"/>
                <w:szCs w:val="21"/>
              </w:rPr>
              <w:t>按经济效益实现程度计算得分（5分）；按社会效益实现程度计算得分（5分）；按生态效益实现程度计算得分（5分）</w:t>
            </w: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社会效益（5分）</w:t>
            </w:r>
          </w:p>
        </w:tc>
        <w:tc>
          <w:tcPr>
            <w:tcW w:w="446" w:type="dxa"/>
            <w:vAlign w:val="center"/>
          </w:tcPr>
          <w:p w:rsidR="00BD3792" w:rsidRDefault="00CE5042">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3</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部门履行职责对社会发展所带来的直接或间接影响。</w:t>
            </w:r>
          </w:p>
        </w:tc>
        <w:tc>
          <w:tcPr>
            <w:tcW w:w="3721" w:type="dxa"/>
            <w:vMerge/>
            <w:vAlign w:val="center"/>
          </w:tcPr>
          <w:p w:rsidR="00BD3792" w:rsidRDefault="00BD3792">
            <w:pPr>
              <w:spacing w:line="240" w:lineRule="exact"/>
              <w:rPr>
                <w:rFonts w:asciiTheme="majorEastAsia" w:eastAsiaTheme="majorEastAsia" w:hAnsiTheme="majorEastAsia"/>
                <w:szCs w:val="21"/>
              </w:rPr>
            </w:pP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生态效益（5分）</w:t>
            </w:r>
          </w:p>
        </w:tc>
        <w:tc>
          <w:tcPr>
            <w:tcW w:w="446" w:type="dxa"/>
            <w:vAlign w:val="center"/>
          </w:tcPr>
          <w:p w:rsidR="00BD3792" w:rsidRDefault="004F0955">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部门履行职责对生态环境所带来的直接或间接影响。</w:t>
            </w:r>
          </w:p>
        </w:tc>
        <w:tc>
          <w:tcPr>
            <w:tcW w:w="3721" w:type="dxa"/>
            <w:vMerge/>
            <w:vAlign w:val="center"/>
          </w:tcPr>
          <w:p w:rsidR="00BD3792" w:rsidRDefault="00BD3792">
            <w:pPr>
              <w:spacing w:line="240" w:lineRule="exact"/>
              <w:rPr>
                <w:rFonts w:asciiTheme="majorEastAsia" w:eastAsiaTheme="majorEastAsia" w:hAnsiTheme="majorEastAsia"/>
                <w:szCs w:val="21"/>
              </w:rPr>
            </w:pPr>
          </w:p>
        </w:tc>
      </w:tr>
      <w:tr w:rsidR="00BD3792">
        <w:trPr>
          <w:trHeight w:val="567"/>
        </w:trPr>
        <w:tc>
          <w:tcPr>
            <w:tcW w:w="547" w:type="dxa"/>
            <w:vMerge/>
            <w:vAlign w:val="center"/>
          </w:tcPr>
          <w:p w:rsidR="00BD3792" w:rsidRDefault="00BD3792">
            <w:pPr>
              <w:spacing w:line="240" w:lineRule="exact"/>
              <w:jc w:val="center"/>
              <w:rPr>
                <w:rFonts w:asciiTheme="majorEastAsia" w:eastAsiaTheme="majorEastAsia" w:hAnsiTheme="majorEastAsia"/>
                <w:szCs w:val="21"/>
              </w:rPr>
            </w:pPr>
          </w:p>
        </w:tc>
        <w:tc>
          <w:tcPr>
            <w:tcW w:w="570" w:type="dxa"/>
            <w:vMerge/>
            <w:vAlign w:val="center"/>
          </w:tcPr>
          <w:p w:rsidR="00BD3792" w:rsidRDefault="00BD3792">
            <w:pPr>
              <w:spacing w:line="240" w:lineRule="exact"/>
              <w:jc w:val="center"/>
              <w:rPr>
                <w:rFonts w:asciiTheme="majorEastAsia" w:eastAsiaTheme="majorEastAsia" w:hAnsiTheme="majorEastAsia"/>
                <w:szCs w:val="21"/>
              </w:rPr>
            </w:pPr>
          </w:p>
        </w:tc>
        <w:tc>
          <w:tcPr>
            <w:tcW w:w="703" w:type="dxa"/>
            <w:shd w:val="clear" w:color="auto" w:fill="auto"/>
            <w:tcMar>
              <w:top w:w="10" w:type="dxa"/>
              <w:left w:w="10" w:type="dxa"/>
              <w:bottom w:w="0" w:type="dxa"/>
              <w:right w:w="10" w:type="dxa"/>
            </w:tcMar>
            <w:vAlign w:val="center"/>
          </w:tcPr>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社会公众</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或服务对</w:t>
            </w:r>
          </w:p>
          <w:p w:rsidR="00BD3792" w:rsidRDefault="00CE5042">
            <w:pPr>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象满意度（5分）</w:t>
            </w:r>
          </w:p>
        </w:tc>
        <w:tc>
          <w:tcPr>
            <w:tcW w:w="446" w:type="dxa"/>
            <w:tcMar>
              <w:top w:w="10" w:type="dxa"/>
              <w:left w:w="10" w:type="dxa"/>
              <w:bottom w:w="0" w:type="dxa"/>
              <w:right w:w="10" w:type="dxa"/>
            </w:tcMar>
            <w:vAlign w:val="center"/>
          </w:tcPr>
          <w:p w:rsidR="00BD3792" w:rsidRDefault="004F0955">
            <w:pPr>
              <w:tabs>
                <w:tab w:val="left" w:pos="2604"/>
              </w:tabs>
              <w:spacing w:line="240" w:lineRule="exact"/>
              <w:jc w:val="center"/>
              <w:rPr>
                <w:rFonts w:asciiTheme="majorEastAsia" w:eastAsiaTheme="majorEastAsia" w:hAnsiTheme="majorEastAsia"/>
                <w:szCs w:val="21"/>
              </w:rPr>
            </w:pPr>
            <w:r>
              <w:rPr>
                <w:rFonts w:asciiTheme="majorEastAsia" w:eastAsiaTheme="majorEastAsia" w:hAnsiTheme="majorEastAsia" w:hint="eastAsia"/>
                <w:szCs w:val="21"/>
              </w:rPr>
              <w:t>5</w:t>
            </w:r>
          </w:p>
        </w:tc>
        <w:tc>
          <w:tcPr>
            <w:tcW w:w="2976" w:type="dxa"/>
            <w:shd w:val="clear" w:color="auto" w:fill="auto"/>
            <w:tcMar>
              <w:top w:w="10" w:type="dxa"/>
              <w:left w:w="10" w:type="dxa"/>
              <w:bottom w:w="0" w:type="dxa"/>
              <w:right w:w="10" w:type="dxa"/>
            </w:tcMar>
            <w:vAlign w:val="center"/>
          </w:tcPr>
          <w:p w:rsidR="00BD3792" w:rsidRDefault="00CE5042">
            <w:pPr>
              <w:tabs>
                <w:tab w:val="left" w:pos="2604"/>
              </w:tabs>
              <w:spacing w:line="240" w:lineRule="exact"/>
              <w:rPr>
                <w:rFonts w:asciiTheme="majorEastAsia" w:eastAsiaTheme="majorEastAsia" w:hAnsiTheme="majorEastAsia"/>
                <w:szCs w:val="21"/>
              </w:rPr>
            </w:pPr>
            <w:r>
              <w:rPr>
                <w:rFonts w:asciiTheme="majorEastAsia" w:eastAsiaTheme="majorEastAsia" w:hAnsiTheme="majorEastAsia" w:hint="eastAsia"/>
                <w:szCs w:val="21"/>
              </w:rPr>
              <w:t>社会公众或部门的服务对象对部门履职效果的满意程度。</w:t>
            </w:r>
          </w:p>
        </w:tc>
        <w:tc>
          <w:tcPr>
            <w:tcW w:w="3721" w:type="dxa"/>
            <w:shd w:val="clear" w:color="auto" w:fill="auto"/>
            <w:tcMar>
              <w:top w:w="10" w:type="dxa"/>
              <w:left w:w="10" w:type="dxa"/>
              <w:bottom w:w="0" w:type="dxa"/>
              <w:right w:w="10" w:type="dxa"/>
            </w:tcMar>
            <w:vAlign w:val="center"/>
          </w:tcPr>
          <w:p w:rsidR="00BD3792" w:rsidRDefault="00CE5042">
            <w:pPr>
              <w:spacing w:line="240" w:lineRule="exact"/>
              <w:rPr>
                <w:rFonts w:asciiTheme="majorEastAsia" w:eastAsiaTheme="majorEastAsia" w:hAnsiTheme="majorEastAsia"/>
                <w:szCs w:val="21"/>
              </w:rPr>
            </w:pPr>
            <w:r>
              <w:rPr>
                <w:rFonts w:asciiTheme="majorEastAsia" w:eastAsiaTheme="majorEastAsia" w:hAnsiTheme="majorEastAsia" w:cs="宋体" w:hint="eastAsia"/>
                <w:kern w:val="0"/>
                <w:szCs w:val="21"/>
              </w:rPr>
              <w:t>按收集到的服务对象的满意率计算得分（5分）</w:t>
            </w:r>
          </w:p>
        </w:tc>
      </w:tr>
    </w:tbl>
    <w:p w:rsidR="00BD3792" w:rsidRDefault="00BD3792">
      <w:pPr>
        <w:spacing w:line="600" w:lineRule="exact"/>
        <w:rPr>
          <w:rFonts w:ascii="黑体" w:eastAsia="黑体"/>
          <w:szCs w:val="32"/>
        </w:rPr>
      </w:pPr>
    </w:p>
    <w:p w:rsidR="00BD3792" w:rsidRDefault="00BD3792">
      <w:pPr>
        <w:spacing w:line="600" w:lineRule="exact"/>
        <w:rPr>
          <w:rFonts w:ascii="黑体" w:eastAsia="黑体"/>
          <w:szCs w:val="32"/>
        </w:rPr>
      </w:pPr>
    </w:p>
    <w:p w:rsidR="00BD3792" w:rsidRDefault="00BD3792">
      <w:pPr>
        <w:spacing w:line="80" w:lineRule="exact"/>
        <w:rPr>
          <w:rFonts w:ascii="黑体" w:eastAsia="黑体"/>
          <w:szCs w:val="32"/>
        </w:rPr>
      </w:pPr>
    </w:p>
    <w:p w:rsidR="00BD3792" w:rsidRDefault="00BD3792">
      <w:pPr>
        <w:rPr>
          <w:rFonts w:ascii="仿宋_GB2312"/>
        </w:rPr>
      </w:pPr>
    </w:p>
    <w:p w:rsidR="00BD3792" w:rsidRDefault="00CE5042">
      <w:pPr>
        <w:spacing w:line="440" w:lineRule="exact"/>
        <w:rPr>
          <w:rFonts w:ascii="黑体" w:eastAsia="黑体" w:hAnsi="黑体"/>
          <w:sz w:val="32"/>
          <w:szCs w:val="32"/>
        </w:rPr>
      </w:pPr>
      <w:r>
        <w:rPr>
          <w:rFonts w:ascii="黑体" w:eastAsia="黑体" w:hAnsi="黑体" w:hint="eastAsia"/>
          <w:sz w:val="32"/>
          <w:szCs w:val="32"/>
        </w:rPr>
        <w:t>附件5：</w:t>
      </w:r>
    </w:p>
    <w:p w:rsidR="00BD3792" w:rsidRDefault="00CE5042">
      <w:pPr>
        <w:spacing w:line="440" w:lineRule="exact"/>
        <w:jc w:val="center"/>
        <w:rPr>
          <w:rFonts w:ascii="方正小标宋简体" w:eastAsia="方正小标宋简体"/>
          <w:sz w:val="44"/>
          <w:szCs w:val="44"/>
        </w:rPr>
      </w:pPr>
      <w:r>
        <w:rPr>
          <w:rFonts w:ascii="方正小标宋简体" w:eastAsia="方正小标宋简体" w:hint="eastAsia"/>
          <w:sz w:val="44"/>
          <w:szCs w:val="44"/>
        </w:rPr>
        <w:t>2020年赫山区畜牧水产事务中心部门</w:t>
      </w:r>
    </w:p>
    <w:p w:rsidR="00BD3792" w:rsidRDefault="00CE5042">
      <w:pPr>
        <w:spacing w:line="440" w:lineRule="exact"/>
        <w:jc w:val="center"/>
        <w:rPr>
          <w:rFonts w:ascii="方正小标宋简体" w:eastAsia="方正小标宋简体"/>
          <w:sz w:val="44"/>
          <w:szCs w:val="44"/>
        </w:rPr>
      </w:pPr>
      <w:r>
        <w:rPr>
          <w:rFonts w:ascii="方正小标宋简体" w:eastAsia="方正小标宋简体" w:hint="eastAsia"/>
          <w:sz w:val="44"/>
          <w:szCs w:val="44"/>
        </w:rPr>
        <w:t>整体支出绩效评价报告</w:t>
      </w:r>
    </w:p>
    <w:p w:rsidR="00BD3792" w:rsidRDefault="00BD3792">
      <w:pPr>
        <w:spacing w:line="240" w:lineRule="exact"/>
        <w:rPr>
          <w:rFonts w:ascii="仿宋_GB2312" w:eastAsia="仿宋_GB2312"/>
          <w:sz w:val="32"/>
          <w:szCs w:val="32"/>
        </w:rPr>
      </w:pPr>
    </w:p>
    <w:p w:rsidR="00BD3792" w:rsidRDefault="00CE5042">
      <w:pPr>
        <w:spacing w:line="440" w:lineRule="exact"/>
        <w:ind w:firstLineChars="200" w:firstLine="643"/>
        <w:rPr>
          <w:rFonts w:ascii="黑体" w:eastAsia="黑体" w:hAnsi="黑体"/>
          <w:b/>
          <w:szCs w:val="32"/>
        </w:rPr>
      </w:pPr>
      <w:r>
        <w:rPr>
          <w:rFonts w:ascii="黑体" w:eastAsia="黑体" w:hAnsi="黑体" w:hint="eastAsia"/>
          <w:b/>
          <w:sz w:val="32"/>
          <w:szCs w:val="32"/>
        </w:rPr>
        <w:t>一、基本情况</w:t>
      </w:r>
    </w:p>
    <w:p w:rsidR="00BD3792" w:rsidRDefault="00CE5042">
      <w:pPr>
        <w:pStyle w:val="a6"/>
        <w:widowControl/>
        <w:spacing w:before="0" w:beforeAutospacing="0" w:after="0" w:afterAutospacing="0" w:line="26" w:lineRule="atLeast"/>
        <w:ind w:firstLine="420"/>
        <w:jc w:val="both"/>
        <w:rPr>
          <w:rFonts w:ascii="仿宋_GB2312" w:eastAsia="仿宋_GB2312" w:cs="仿宋_GB2312"/>
          <w:sz w:val="30"/>
          <w:szCs w:val="30"/>
        </w:rPr>
      </w:pPr>
      <w:r>
        <w:rPr>
          <w:rFonts w:ascii="仿宋_GB2312" w:eastAsia="仿宋_GB2312" w:cs="仿宋_GB2312" w:hint="eastAsia"/>
          <w:sz w:val="30"/>
          <w:szCs w:val="30"/>
        </w:rPr>
        <w:t>（一）部门职能概述。主要内容包括：为畜牧水产业发展提供管理保障。负责畜牧水产技术推广，畜牧水产业资源保护、执法监督、质量监督、许可管理、项目管理。</w:t>
      </w:r>
    </w:p>
    <w:p w:rsidR="00BD3792" w:rsidRDefault="00CE5042">
      <w:pPr>
        <w:pStyle w:val="a6"/>
        <w:widowControl/>
        <w:spacing w:before="0" w:beforeAutospacing="0" w:after="0" w:afterAutospacing="0" w:line="26" w:lineRule="atLeast"/>
        <w:ind w:firstLine="420"/>
        <w:jc w:val="both"/>
        <w:rPr>
          <w:rFonts w:ascii="仿宋_GB2312" w:eastAsia="仿宋_GB2312" w:cs="仿宋_GB2312"/>
          <w:color w:val="000000"/>
          <w:sz w:val="30"/>
          <w:szCs w:val="30"/>
        </w:rPr>
      </w:pPr>
      <w:bookmarkStart w:id="0" w:name="OLE_LINK1"/>
      <w:r>
        <w:rPr>
          <w:rFonts w:ascii="仿宋_GB2312" w:eastAsia="仿宋_GB2312" w:cs="仿宋_GB2312" w:hint="eastAsia"/>
          <w:color w:val="000000"/>
          <w:sz w:val="30"/>
          <w:szCs w:val="30"/>
        </w:rPr>
        <w:t>（二）部门组织机构及人员情况</w:t>
      </w:r>
    </w:p>
    <w:bookmarkEnd w:id="0"/>
    <w:p w:rsidR="00BD3792" w:rsidRDefault="00CE5042">
      <w:pPr>
        <w:pStyle w:val="a6"/>
        <w:widowControl/>
        <w:spacing w:before="0" w:beforeAutospacing="0" w:after="0" w:afterAutospacing="0" w:line="26" w:lineRule="atLeast"/>
        <w:ind w:firstLine="420"/>
        <w:jc w:val="both"/>
        <w:rPr>
          <w:rFonts w:ascii="仿宋_GB2312" w:eastAsia="仿宋_GB2312" w:cs="仿宋_GB2312"/>
          <w:sz w:val="30"/>
          <w:szCs w:val="30"/>
        </w:rPr>
      </w:pPr>
      <w:r>
        <w:rPr>
          <w:rFonts w:ascii="仿宋_GB2312" w:eastAsia="仿宋_GB2312" w:cs="仿宋_GB2312" w:hint="eastAsia"/>
          <w:color w:val="000000"/>
          <w:sz w:val="30"/>
          <w:szCs w:val="30"/>
        </w:rPr>
        <w:t>2020年度，我局机关设办公室、政工股、法制办、财计股、综合股、动物卫生监督管理所、畜牧站、水产站、渔政管理站、饲料兽药管理股、检测中心、政务中心畜牧水产窗口、屠宰办13个工作部门。有益阳市赫山区畜禽良种繁育场2个二级事业单位。有会龙山街道办事处、赫山街道办事处、鱼形山街道办事处、衡龙桥镇、沧水铺镇、岳家桥镇、龙光桥镇、泉交河镇、欧江岔镇、牌口乡、八字哨镇、兰溪镇、泥江口镇、新市渡镇、笔架山乡15个乡镇街道动物防疫站。共人干职工165人，参公人员16人，机关工勤人员2人，全额事业编制人员107人，差额事业编制人员18人，自收自支编制人员22人。</w:t>
      </w:r>
    </w:p>
    <w:p w:rsidR="00BD3792" w:rsidRDefault="00CE5042">
      <w:pPr>
        <w:pStyle w:val="a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ascii="仿宋_GB2312" w:eastAsia="仿宋_GB2312" w:cs="仿宋_GB2312" w:hint="eastAsia"/>
          <w:color w:val="000000"/>
          <w:sz w:val="30"/>
          <w:szCs w:val="30"/>
        </w:rPr>
        <w:t>（三）部门预算总收支情况</w:t>
      </w:r>
    </w:p>
    <w:p w:rsidR="00BD3792" w:rsidRDefault="00CE5042">
      <w:pPr>
        <w:pStyle w:val="a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ascii="仿宋_GB2312" w:eastAsia="仿宋_GB2312" w:cs="仿宋_GB2312" w:hint="eastAsia"/>
          <w:color w:val="000000"/>
          <w:sz w:val="30"/>
          <w:szCs w:val="30"/>
        </w:rPr>
        <w:lastRenderedPageBreak/>
        <w:t>2020年部门预算总收入</w:t>
      </w:r>
      <w:r w:rsidR="00011497">
        <w:rPr>
          <w:rFonts w:ascii="仿宋_GB2312" w:eastAsia="仿宋_GB2312" w:cs="仿宋_GB2312" w:hint="eastAsia"/>
          <w:color w:val="000000"/>
          <w:sz w:val="30"/>
          <w:szCs w:val="30"/>
        </w:rPr>
        <w:t>4402.2</w:t>
      </w:r>
      <w:r>
        <w:rPr>
          <w:rFonts w:ascii="仿宋_GB2312" w:eastAsia="仿宋_GB2312" w:cs="仿宋_GB2312" w:hint="eastAsia"/>
          <w:color w:val="000000"/>
          <w:sz w:val="30"/>
          <w:szCs w:val="30"/>
        </w:rPr>
        <w:t>万元，其中一般预算拨款收入</w:t>
      </w:r>
      <w:r w:rsidR="00011497">
        <w:rPr>
          <w:rFonts w:ascii="仿宋_GB2312" w:eastAsia="仿宋_GB2312" w:cs="仿宋_GB2312" w:hint="eastAsia"/>
          <w:color w:val="000000"/>
          <w:sz w:val="30"/>
          <w:szCs w:val="30"/>
        </w:rPr>
        <w:t>4239.89</w:t>
      </w:r>
      <w:r>
        <w:rPr>
          <w:rFonts w:ascii="仿宋_GB2312" w:eastAsia="仿宋_GB2312" w:cs="仿宋_GB2312" w:hint="eastAsia"/>
          <w:color w:val="000000"/>
          <w:sz w:val="30"/>
          <w:szCs w:val="30"/>
        </w:rPr>
        <w:t>万元，其他收入</w:t>
      </w:r>
      <w:r w:rsidR="00011497">
        <w:rPr>
          <w:rFonts w:ascii="仿宋_GB2312" w:eastAsia="仿宋_GB2312" w:cs="仿宋_GB2312" w:hint="eastAsia"/>
          <w:color w:val="000000"/>
          <w:sz w:val="30"/>
          <w:szCs w:val="30"/>
        </w:rPr>
        <w:t>159.32</w:t>
      </w:r>
      <w:r>
        <w:rPr>
          <w:rFonts w:ascii="仿宋_GB2312" w:eastAsia="仿宋_GB2312" w:cs="仿宋_GB2312" w:hint="eastAsia"/>
          <w:color w:val="000000"/>
          <w:sz w:val="30"/>
          <w:szCs w:val="30"/>
        </w:rPr>
        <w:t>万元，政府性基金预算拨款</w:t>
      </w:r>
      <w:r w:rsidR="00011497">
        <w:rPr>
          <w:rFonts w:ascii="仿宋_GB2312" w:eastAsia="仿宋_GB2312" w:cs="仿宋_GB2312" w:hint="eastAsia"/>
          <w:color w:val="000000"/>
          <w:sz w:val="30"/>
          <w:szCs w:val="30"/>
        </w:rPr>
        <w:t>3</w:t>
      </w:r>
      <w:r>
        <w:rPr>
          <w:rFonts w:ascii="仿宋_GB2312" w:eastAsia="仿宋_GB2312" w:cs="仿宋_GB2312" w:hint="eastAsia"/>
          <w:color w:val="000000"/>
          <w:sz w:val="30"/>
          <w:szCs w:val="30"/>
        </w:rPr>
        <w:t>万元。预算总支出</w:t>
      </w:r>
      <w:r w:rsidR="00011497">
        <w:rPr>
          <w:rFonts w:ascii="仿宋_GB2312" w:eastAsia="仿宋_GB2312" w:cs="仿宋_GB2312" w:hint="eastAsia"/>
          <w:color w:val="000000"/>
          <w:sz w:val="30"/>
          <w:szCs w:val="30"/>
        </w:rPr>
        <w:t>6171.87</w:t>
      </w:r>
      <w:r>
        <w:rPr>
          <w:rFonts w:ascii="仿宋_GB2312" w:eastAsia="仿宋_GB2312" w:cs="仿宋_GB2312" w:hint="eastAsia"/>
          <w:color w:val="000000"/>
          <w:sz w:val="30"/>
          <w:szCs w:val="30"/>
        </w:rPr>
        <w:t>万元，其中：基本支出</w:t>
      </w:r>
      <w:r w:rsidR="00011497">
        <w:rPr>
          <w:rFonts w:ascii="仿宋_GB2312" w:eastAsia="仿宋_GB2312" w:cs="仿宋_GB2312" w:hint="eastAsia"/>
          <w:color w:val="000000"/>
          <w:sz w:val="30"/>
          <w:szCs w:val="30"/>
          <w:lang w:val="zh-CN"/>
        </w:rPr>
        <w:t>1930.31</w:t>
      </w:r>
      <w:r>
        <w:rPr>
          <w:rFonts w:ascii="仿宋_GB2312" w:eastAsia="仿宋_GB2312" w:cs="仿宋_GB2312" w:hint="eastAsia"/>
          <w:color w:val="000000"/>
          <w:sz w:val="30"/>
          <w:szCs w:val="30"/>
        </w:rPr>
        <w:t>万元、项目支出</w:t>
      </w:r>
      <w:r w:rsidR="00011497">
        <w:rPr>
          <w:rFonts w:ascii="仿宋_GB2312" w:eastAsia="仿宋_GB2312" w:cs="仿宋_GB2312" w:hint="eastAsia"/>
          <w:color w:val="000000"/>
          <w:sz w:val="30"/>
          <w:szCs w:val="30"/>
        </w:rPr>
        <w:t>4241.57</w:t>
      </w:r>
      <w:r>
        <w:rPr>
          <w:rFonts w:ascii="仿宋_GB2312" w:eastAsia="仿宋_GB2312" w:cs="仿宋_GB2312" w:hint="eastAsia"/>
          <w:color w:val="000000"/>
          <w:sz w:val="30"/>
          <w:szCs w:val="30"/>
        </w:rPr>
        <w:t>万元。</w:t>
      </w:r>
      <w:bookmarkStart w:id="1" w:name="OLE_LINK2"/>
    </w:p>
    <w:p w:rsidR="00BD3792" w:rsidRDefault="00CE5042">
      <w:pPr>
        <w:pStyle w:val="a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ascii="仿宋_GB2312" w:eastAsia="仿宋_GB2312" w:cs="仿宋_GB2312" w:hint="eastAsia"/>
          <w:color w:val="000000"/>
          <w:sz w:val="30"/>
          <w:szCs w:val="30"/>
        </w:rPr>
        <w:t xml:space="preserve">(一)基本支出部分 </w:t>
      </w:r>
    </w:p>
    <w:p w:rsidR="00BD3792" w:rsidRDefault="00CE5042">
      <w:pPr>
        <w:spacing w:line="580" w:lineRule="exact"/>
        <w:ind w:firstLineChars="200" w:firstLine="600"/>
        <w:rPr>
          <w:rFonts w:ascii="仿宋_GB2312" w:eastAsia="仿宋_GB2312" w:cs="仿宋_GB2312"/>
          <w:color w:val="000000"/>
          <w:kern w:val="0"/>
          <w:sz w:val="30"/>
          <w:szCs w:val="30"/>
        </w:rPr>
      </w:pPr>
      <w:r>
        <w:rPr>
          <w:rFonts w:ascii="仿宋_GB2312" w:eastAsia="仿宋_GB2312" w:cs="仿宋_GB2312" w:hint="eastAsia"/>
          <w:color w:val="000000"/>
          <w:sz w:val="30"/>
          <w:szCs w:val="30"/>
        </w:rPr>
        <w:t>2020</w:t>
      </w:r>
      <w:r>
        <w:rPr>
          <w:rFonts w:ascii="仿宋_GB2312" w:eastAsia="仿宋_GB2312" w:cs="仿宋_GB2312" w:hint="eastAsia"/>
          <w:color w:val="000000"/>
          <w:kern w:val="0"/>
          <w:sz w:val="30"/>
          <w:szCs w:val="30"/>
        </w:rPr>
        <w:t>年基本支出</w:t>
      </w:r>
      <w:r w:rsidR="00011497">
        <w:rPr>
          <w:rFonts w:ascii="仿宋_GB2312" w:eastAsia="仿宋_GB2312" w:cs="仿宋_GB2312" w:hint="eastAsia"/>
          <w:color w:val="000000"/>
          <w:sz w:val="30"/>
          <w:szCs w:val="30"/>
          <w:lang w:val="zh-CN"/>
        </w:rPr>
        <w:t>1930.31</w:t>
      </w:r>
      <w:r>
        <w:rPr>
          <w:rFonts w:ascii="仿宋_GB2312" w:eastAsia="仿宋_GB2312" w:cs="仿宋_GB2312" w:hint="eastAsia"/>
          <w:color w:val="000000"/>
          <w:kern w:val="0"/>
          <w:sz w:val="30"/>
          <w:szCs w:val="30"/>
        </w:rPr>
        <w:t>万元，主要包括人员工资、医疗保险、住房公积金和日常公用经费等。</w:t>
      </w:r>
    </w:p>
    <w:p w:rsidR="00BD3792" w:rsidRDefault="00CE5042" w:rsidP="00C656B7">
      <w:pPr>
        <w:spacing w:line="580" w:lineRule="exact"/>
        <w:ind w:firstLine="600"/>
        <w:rPr>
          <w:rFonts w:ascii="仿宋_GB2312" w:eastAsia="仿宋_GB2312" w:cs="仿宋_GB2312"/>
          <w:color w:val="000000"/>
          <w:kern w:val="0"/>
          <w:sz w:val="30"/>
          <w:szCs w:val="30"/>
        </w:rPr>
      </w:pPr>
      <w:r>
        <w:rPr>
          <w:rFonts w:ascii="仿宋_GB2312" w:eastAsia="仿宋_GB2312" w:cs="仿宋_GB2312" w:hint="eastAsia"/>
          <w:color w:val="000000"/>
          <w:sz w:val="30"/>
          <w:szCs w:val="30"/>
        </w:rPr>
        <w:t>2020</w:t>
      </w:r>
      <w:r>
        <w:rPr>
          <w:rFonts w:ascii="仿宋_GB2312" w:eastAsia="仿宋_GB2312" w:cs="仿宋_GB2312" w:hint="eastAsia"/>
          <w:color w:val="000000"/>
          <w:kern w:val="0"/>
          <w:sz w:val="30"/>
          <w:szCs w:val="30"/>
        </w:rPr>
        <w:t>年我局在认真贯彻落实厉行节约、严控“三公”经费、降低一般运行经费、加强项目支出管理等方面取得了一定的成绩。严格执行区财政局、区委组织部、区人力社局联合下发的《益阳市赫山区培训费管理办法》的通知(益赫财行[2015]14号)、区财政局下发的《益阳市赫山区会议费管理办法》的通知(益赫财行[2015]13号)、《关于严控“三公”经费预算管理的通知》(益赫财预[2015]17号)等文件精神，并先后出台了本单位公务接待、车辆管理等管理办法，实行“三公”经费预算和公示制度，有效地控制了“三公”经费支出。实际支出没有超出预算规模、范围和标准，没有挤占、摊派、乱收费和转移“三公”经费支出的行为，所有“三公”经费支出合法、合规。</w:t>
      </w:r>
    </w:p>
    <w:p w:rsidR="00C656B7" w:rsidRDefault="00C656B7" w:rsidP="00C656B7">
      <w:pPr>
        <w:pStyle w:val="a6"/>
        <w:widowControl/>
        <w:spacing w:before="0" w:beforeAutospacing="0" w:after="0" w:afterAutospacing="0" w:line="26" w:lineRule="atLeast"/>
        <w:ind w:firstLine="420"/>
        <w:jc w:val="both"/>
        <w:rPr>
          <w:rFonts w:ascii="仿宋_GB2312" w:eastAsia="仿宋_GB2312" w:cs="仿宋_GB2312"/>
          <w:color w:val="000000"/>
          <w:sz w:val="30"/>
          <w:szCs w:val="30"/>
        </w:rPr>
      </w:pPr>
      <w:r>
        <w:rPr>
          <w:rFonts w:ascii="仿宋_GB2312" w:eastAsia="仿宋_GB2312" w:cs="仿宋_GB2312" w:hint="eastAsia"/>
          <w:color w:val="000000"/>
          <w:sz w:val="30"/>
          <w:szCs w:val="30"/>
        </w:rPr>
        <w:t xml:space="preserve">(二)专项支出 </w:t>
      </w:r>
    </w:p>
    <w:p w:rsidR="00C656B7" w:rsidRDefault="00C656B7" w:rsidP="00C656B7">
      <w:pPr>
        <w:ind w:firstLineChars="200" w:firstLine="600"/>
        <w:jc w:val="left"/>
        <w:rPr>
          <w:rFonts w:ascii="仿宋_GB2312" w:eastAsia="仿宋_GB2312" w:cs="仿宋_GB2312"/>
          <w:color w:val="000000"/>
          <w:kern w:val="0"/>
          <w:sz w:val="30"/>
          <w:szCs w:val="30"/>
        </w:rPr>
      </w:pPr>
      <w:r>
        <w:rPr>
          <w:rFonts w:ascii="仿宋_GB2312" w:eastAsia="仿宋_GB2312" w:cs="仿宋_GB2312" w:hint="eastAsia"/>
          <w:color w:val="000000"/>
          <w:sz w:val="30"/>
          <w:szCs w:val="30"/>
        </w:rPr>
        <w:t>2020</w:t>
      </w:r>
      <w:r>
        <w:rPr>
          <w:rFonts w:ascii="仿宋_GB2312" w:eastAsia="仿宋_GB2312" w:cs="仿宋_GB2312" w:hint="eastAsia"/>
          <w:color w:val="000000"/>
          <w:kern w:val="0"/>
          <w:sz w:val="30"/>
          <w:szCs w:val="30"/>
        </w:rPr>
        <w:t>年度财政拨款支出专项支出4198.27万元。主要有重大公共卫生专项7万元；其他节能环保支出200万元；一般行政事务管</w:t>
      </w:r>
      <w:r>
        <w:rPr>
          <w:rFonts w:ascii="仿宋_GB2312" w:eastAsia="仿宋_GB2312" w:cs="仿宋_GB2312" w:hint="eastAsia"/>
          <w:color w:val="000000"/>
          <w:kern w:val="0"/>
          <w:sz w:val="30"/>
          <w:szCs w:val="30"/>
        </w:rPr>
        <w:lastRenderedPageBreak/>
        <w:t>理54.12万元；科技转化与推广服务19.78万元；病虫害控制926.41万元；农业资源保护修复与利用2294.02万元；成品油价格改革对渔业的补贴97.2万元；其他农林水支出599.74万元。</w:t>
      </w:r>
    </w:p>
    <w:p w:rsidR="00C656B7" w:rsidRDefault="00CE5042" w:rsidP="00C656B7">
      <w:pPr>
        <w:pStyle w:val="a6"/>
        <w:widowControl/>
        <w:spacing w:before="0" w:beforeAutospacing="0" w:after="0" w:afterAutospacing="0" w:line="26" w:lineRule="atLeast"/>
        <w:ind w:firstLineChars="200" w:firstLine="600"/>
        <w:jc w:val="both"/>
        <w:rPr>
          <w:rFonts w:ascii="仿宋_GB2312" w:eastAsia="仿宋_GB2312" w:cs="仿宋_GB2312"/>
          <w:color w:val="000000"/>
          <w:sz w:val="30"/>
          <w:szCs w:val="30"/>
        </w:rPr>
      </w:pPr>
      <w:r>
        <w:rPr>
          <w:rFonts w:ascii="仿宋_GB2312" w:eastAsia="仿宋_GB2312" w:cs="仿宋_GB2312" w:hint="eastAsia"/>
          <w:color w:val="000000"/>
          <w:sz w:val="30"/>
          <w:szCs w:val="30"/>
        </w:rPr>
        <w:t>2020年度“三公”经费财政拨款支出4.4</w:t>
      </w:r>
      <w:r w:rsidR="00CE3865">
        <w:rPr>
          <w:rFonts w:ascii="仿宋_GB2312" w:eastAsia="仿宋_GB2312" w:cs="仿宋_GB2312" w:hint="eastAsia"/>
          <w:color w:val="000000"/>
          <w:sz w:val="30"/>
          <w:szCs w:val="30"/>
        </w:rPr>
        <w:t>6</w:t>
      </w:r>
      <w:r>
        <w:rPr>
          <w:rFonts w:ascii="仿宋_GB2312" w:eastAsia="仿宋_GB2312" w:cs="仿宋_GB2312" w:hint="eastAsia"/>
          <w:color w:val="000000"/>
          <w:sz w:val="30"/>
          <w:szCs w:val="30"/>
        </w:rPr>
        <w:t>万元，其中公务用车购置及运行维护费3.</w:t>
      </w:r>
      <w:r w:rsidR="00011497">
        <w:rPr>
          <w:rFonts w:ascii="仿宋_GB2312" w:eastAsia="仿宋_GB2312" w:cs="仿宋_GB2312" w:hint="eastAsia"/>
          <w:color w:val="000000"/>
          <w:sz w:val="30"/>
          <w:szCs w:val="30"/>
        </w:rPr>
        <w:t>57</w:t>
      </w:r>
      <w:r>
        <w:rPr>
          <w:rFonts w:ascii="仿宋_GB2312" w:eastAsia="仿宋_GB2312" w:cs="仿宋_GB2312" w:hint="eastAsia"/>
          <w:color w:val="000000"/>
          <w:sz w:val="30"/>
          <w:szCs w:val="30"/>
        </w:rPr>
        <w:t>万元，公务接待费0.</w:t>
      </w:r>
      <w:r w:rsidR="00011497">
        <w:rPr>
          <w:rFonts w:ascii="仿宋_GB2312" w:eastAsia="仿宋_GB2312" w:cs="仿宋_GB2312" w:hint="eastAsia"/>
          <w:color w:val="000000"/>
          <w:sz w:val="30"/>
          <w:szCs w:val="30"/>
        </w:rPr>
        <w:t>89</w:t>
      </w:r>
      <w:r>
        <w:rPr>
          <w:rFonts w:ascii="仿宋_GB2312" w:eastAsia="仿宋_GB2312" w:cs="仿宋_GB2312" w:hint="eastAsia"/>
          <w:color w:val="000000"/>
          <w:sz w:val="30"/>
          <w:szCs w:val="30"/>
        </w:rPr>
        <w:t>万元。较上年三公经费4.</w:t>
      </w:r>
      <w:r w:rsidR="00CE3865">
        <w:rPr>
          <w:rFonts w:ascii="仿宋_GB2312" w:eastAsia="仿宋_GB2312" w:cs="仿宋_GB2312" w:hint="eastAsia"/>
          <w:color w:val="000000"/>
          <w:sz w:val="30"/>
          <w:szCs w:val="30"/>
        </w:rPr>
        <w:t>49</w:t>
      </w:r>
      <w:r>
        <w:rPr>
          <w:rFonts w:ascii="仿宋_GB2312" w:eastAsia="仿宋_GB2312" w:cs="仿宋_GB2312" w:hint="eastAsia"/>
          <w:color w:val="000000"/>
          <w:sz w:val="30"/>
          <w:szCs w:val="30"/>
        </w:rPr>
        <w:t>万元减少0.</w:t>
      </w:r>
      <w:r w:rsidR="00CE3865">
        <w:rPr>
          <w:rFonts w:ascii="仿宋_GB2312" w:eastAsia="仿宋_GB2312" w:cs="仿宋_GB2312" w:hint="eastAsia"/>
          <w:color w:val="000000"/>
          <w:sz w:val="30"/>
          <w:szCs w:val="30"/>
        </w:rPr>
        <w:t>03</w:t>
      </w:r>
      <w:r>
        <w:rPr>
          <w:rFonts w:ascii="仿宋_GB2312" w:eastAsia="仿宋_GB2312" w:cs="仿宋_GB2312" w:hint="eastAsia"/>
          <w:color w:val="000000"/>
          <w:sz w:val="30"/>
          <w:szCs w:val="30"/>
        </w:rPr>
        <w:t>万元，主要原因为公务用车购置及运行维护费减少。</w:t>
      </w:r>
    </w:p>
    <w:p w:rsidR="00BD3792" w:rsidRDefault="00CE5042">
      <w:pPr>
        <w:numPr>
          <w:ilvl w:val="0"/>
          <w:numId w:val="2"/>
        </w:numPr>
        <w:ind w:firstLineChars="200" w:firstLine="643"/>
        <w:rPr>
          <w:rFonts w:ascii="仿宋" w:eastAsia="仿宋" w:hAnsi="仿宋"/>
          <w:b/>
          <w:sz w:val="32"/>
          <w:szCs w:val="32"/>
        </w:rPr>
      </w:pPr>
      <w:r>
        <w:rPr>
          <w:rFonts w:ascii="仿宋" w:eastAsia="仿宋" w:hAnsi="仿宋" w:hint="eastAsia"/>
          <w:b/>
          <w:sz w:val="32"/>
          <w:szCs w:val="32"/>
        </w:rPr>
        <w:t>项目绩效评价基本情况</w:t>
      </w:r>
    </w:p>
    <w:p w:rsidR="00AA3607" w:rsidRDefault="00AA3607" w:rsidP="00AA3607">
      <w:pPr>
        <w:pStyle w:val="aa"/>
        <w:spacing w:line="580" w:lineRule="exact"/>
        <w:ind w:left="420" w:firstLineChars="0" w:firstLine="0"/>
        <w:rPr>
          <w:rFonts w:ascii="仿宋" w:eastAsia="仿宋" w:hAnsi="仿宋" w:cs="仿宋_GB2312"/>
          <w:sz w:val="32"/>
          <w:szCs w:val="32"/>
        </w:rPr>
      </w:pPr>
      <w:r w:rsidRPr="00AA3607">
        <w:rPr>
          <w:rFonts w:ascii="仿宋" w:eastAsia="仿宋" w:hAnsi="仿宋" w:cs="仿宋_GB2312" w:hint="eastAsia"/>
          <w:sz w:val="32"/>
          <w:szCs w:val="32"/>
        </w:rPr>
        <w:t>（一） 项目基本情况。</w:t>
      </w:r>
    </w:p>
    <w:p w:rsidR="00AA3607" w:rsidRPr="00AA3607" w:rsidRDefault="00AA3607" w:rsidP="00AA3607">
      <w:pPr>
        <w:spacing w:line="580" w:lineRule="exact"/>
        <w:ind w:firstLineChars="150" w:firstLine="480"/>
        <w:rPr>
          <w:rFonts w:ascii="仿宋" w:eastAsia="仿宋" w:hAnsi="仿宋" w:cs="仿宋_GB2312"/>
          <w:b/>
          <w:sz w:val="32"/>
          <w:szCs w:val="32"/>
        </w:rPr>
      </w:pPr>
      <w:r w:rsidRPr="00AA3607">
        <w:rPr>
          <w:rFonts w:ascii="仿宋_GB2312" w:eastAsia="仿宋_GB2312" w:cs="仿宋_GB2312" w:hint="eastAsia"/>
          <w:sz w:val="32"/>
          <w:szCs w:val="32"/>
        </w:rPr>
        <w:t>根据《益阳市赫山区人民政府关于全面推进预算绩效管理的实施意见》（益赫政发〔</w:t>
      </w:r>
      <w:r w:rsidRPr="00AA3607">
        <w:rPr>
          <w:rFonts w:ascii="仿宋_GB2312" w:eastAsia="仿宋_GB2312" w:cs="仿宋_GB2312"/>
          <w:sz w:val="32"/>
          <w:szCs w:val="32"/>
        </w:rPr>
        <w:t>2016</w:t>
      </w:r>
      <w:r w:rsidRPr="00AA3607">
        <w:rPr>
          <w:rFonts w:ascii="仿宋_GB2312" w:eastAsia="仿宋_GB2312" w:cs="仿宋_GB2312" w:hint="eastAsia"/>
          <w:sz w:val="32"/>
          <w:szCs w:val="32"/>
        </w:rPr>
        <w:t>〕</w:t>
      </w:r>
      <w:r w:rsidRPr="00AA3607">
        <w:rPr>
          <w:rFonts w:ascii="仿宋_GB2312" w:eastAsia="仿宋_GB2312" w:cs="仿宋_GB2312"/>
          <w:sz w:val="32"/>
          <w:szCs w:val="32"/>
        </w:rPr>
        <w:t>12</w:t>
      </w:r>
      <w:r w:rsidRPr="00AA3607">
        <w:rPr>
          <w:rFonts w:ascii="仿宋_GB2312" w:eastAsia="仿宋_GB2312" w:cs="仿宋_GB2312" w:hint="eastAsia"/>
          <w:sz w:val="32"/>
          <w:szCs w:val="32"/>
        </w:rPr>
        <w:t>号）、《中共中央</w:t>
      </w:r>
      <w:r w:rsidRPr="00AA3607">
        <w:rPr>
          <w:rFonts w:ascii="仿宋_GB2312" w:eastAsia="仿宋_GB2312" w:cs="仿宋_GB2312"/>
          <w:sz w:val="32"/>
          <w:szCs w:val="32"/>
        </w:rPr>
        <w:t xml:space="preserve"> </w:t>
      </w:r>
      <w:r w:rsidRPr="00AA3607">
        <w:rPr>
          <w:rFonts w:ascii="仿宋_GB2312" w:eastAsia="仿宋_GB2312" w:cs="仿宋_GB2312" w:hint="eastAsia"/>
          <w:sz w:val="32"/>
          <w:szCs w:val="32"/>
        </w:rPr>
        <w:t>国务院关于全面实施预算绩效管理的意见》（中发〔</w:t>
      </w:r>
      <w:r w:rsidRPr="00AA3607">
        <w:rPr>
          <w:rFonts w:ascii="仿宋_GB2312" w:eastAsia="仿宋_GB2312" w:cs="仿宋_GB2312"/>
          <w:sz w:val="32"/>
          <w:szCs w:val="32"/>
        </w:rPr>
        <w:t>2018</w:t>
      </w:r>
      <w:r w:rsidRPr="00AA3607">
        <w:rPr>
          <w:rFonts w:ascii="仿宋_GB2312" w:eastAsia="仿宋_GB2312" w:cs="仿宋_GB2312" w:hint="eastAsia"/>
          <w:sz w:val="32"/>
          <w:szCs w:val="32"/>
        </w:rPr>
        <w:t>〕</w:t>
      </w:r>
      <w:r w:rsidRPr="00AA3607">
        <w:rPr>
          <w:rFonts w:ascii="仿宋_GB2312" w:eastAsia="仿宋_GB2312" w:cs="仿宋_GB2312"/>
          <w:sz w:val="32"/>
          <w:szCs w:val="32"/>
        </w:rPr>
        <w:t>34</w:t>
      </w:r>
      <w:r w:rsidRPr="00AA3607">
        <w:rPr>
          <w:rFonts w:ascii="仿宋_GB2312" w:eastAsia="仿宋_GB2312" w:cs="仿宋_GB2312" w:hint="eastAsia"/>
          <w:sz w:val="32"/>
          <w:szCs w:val="32"/>
        </w:rPr>
        <w:t>号）、《财政部关于印发</w:t>
      </w:r>
      <w:r w:rsidRPr="00AA3607">
        <w:rPr>
          <w:rFonts w:ascii="仿宋_GB2312" w:eastAsia="仿宋_GB2312" w:cs="仿宋_GB2312"/>
          <w:sz w:val="32"/>
          <w:szCs w:val="32"/>
        </w:rPr>
        <w:t>&lt;</w:t>
      </w:r>
      <w:r w:rsidRPr="00AA3607">
        <w:rPr>
          <w:rFonts w:ascii="仿宋_GB2312" w:eastAsia="仿宋_GB2312" w:cs="仿宋_GB2312" w:hint="eastAsia"/>
          <w:sz w:val="32"/>
          <w:szCs w:val="32"/>
        </w:rPr>
        <w:t>项目支出绩效评价管理办法</w:t>
      </w:r>
      <w:r w:rsidRPr="00AA3607">
        <w:rPr>
          <w:rFonts w:ascii="仿宋_GB2312" w:eastAsia="仿宋_GB2312" w:cs="仿宋_GB2312"/>
          <w:sz w:val="32"/>
          <w:szCs w:val="32"/>
        </w:rPr>
        <w:t>&gt;</w:t>
      </w:r>
      <w:r w:rsidRPr="00AA3607">
        <w:rPr>
          <w:rFonts w:ascii="仿宋_GB2312" w:eastAsia="仿宋_GB2312" w:cs="仿宋_GB2312" w:hint="eastAsia"/>
          <w:sz w:val="32"/>
          <w:szCs w:val="32"/>
        </w:rPr>
        <w:t>的通知》（财预〔</w:t>
      </w:r>
      <w:r w:rsidRPr="00AA3607">
        <w:rPr>
          <w:rFonts w:ascii="仿宋_GB2312" w:eastAsia="仿宋_GB2312" w:cs="仿宋_GB2312"/>
          <w:sz w:val="32"/>
          <w:szCs w:val="32"/>
        </w:rPr>
        <w:t>2020</w:t>
      </w:r>
      <w:r w:rsidRPr="00AA3607">
        <w:rPr>
          <w:rFonts w:ascii="仿宋_GB2312" w:eastAsia="仿宋_GB2312" w:cs="仿宋_GB2312" w:hint="eastAsia"/>
          <w:sz w:val="32"/>
          <w:szCs w:val="32"/>
        </w:rPr>
        <w:t>〕</w:t>
      </w:r>
      <w:r w:rsidRPr="00AA3607">
        <w:rPr>
          <w:rFonts w:ascii="仿宋_GB2312" w:eastAsia="仿宋_GB2312" w:cs="仿宋_GB2312"/>
          <w:sz w:val="32"/>
          <w:szCs w:val="32"/>
        </w:rPr>
        <w:t>10</w:t>
      </w:r>
      <w:r w:rsidRPr="00AA3607">
        <w:rPr>
          <w:rFonts w:ascii="仿宋_GB2312" w:eastAsia="仿宋_GB2312" w:cs="仿宋_GB2312" w:hint="eastAsia"/>
          <w:sz w:val="32"/>
          <w:szCs w:val="32"/>
        </w:rPr>
        <w:t>号）和《中共湖南省委办公厅</w:t>
      </w:r>
      <w:r w:rsidRPr="00AA3607">
        <w:rPr>
          <w:rFonts w:ascii="仿宋_GB2312" w:eastAsia="仿宋_GB2312" w:cs="仿宋_GB2312"/>
          <w:sz w:val="32"/>
          <w:szCs w:val="32"/>
        </w:rPr>
        <w:t xml:space="preserve"> </w:t>
      </w:r>
      <w:r w:rsidRPr="00AA3607">
        <w:rPr>
          <w:rFonts w:ascii="仿宋_GB2312" w:eastAsia="仿宋_GB2312" w:cs="仿宋_GB2312" w:hint="eastAsia"/>
          <w:sz w:val="32"/>
          <w:szCs w:val="32"/>
        </w:rPr>
        <w:t>湖南省人民政府办公厅关于全面实施预算绩效管理的实施意见》（湘政发〔</w:t>
      </w:r>
      <w:r w:rsidRPr="00AA3607">
        <w:rPr>
          <w:rFonts w:ascii="仿宋_GB2312" w:eastAsia="仿宋_GB2312" w:cs="仿宋_GB2312"/>
          <w:sz w:val="32"/>
          <w:szCs w:val="32"/>
        </w:rPr>
        <w:t>2019</w:t>
      </w:r>
      <w:r w:rsidRPr="00AA3607">
        <w:rPr>
          <w:rFonts w:ascii="仿宋_GB2312" w:eastAsia="仿宋_GB2312" w:cs="仿宋_GB2312" w:hint="eastAsia"/>
          <w:sz w:val="32"/>
          <w:szCs w:val="32"/>
        </w:rPr>
        <w:t>〕</w:t>
      </w:r>
      <w:r w:rsidRPr="00AA3607">
        <w:rPr>
          <w:rFonts w:ascii="仿宋_GB2312" w:eastAsia="仿宋_GB2312" w:cs="仿宋_GB2312"/>
          <w:sz w:val="32"/>
          <w:szCs w:val="32"/>
        </w:rPr>
        <w:t>10</w:t>
      </w:r>
      <w:r w:rsidRPr="00AA3607">
        <w:rPr>
          <w:rFonts w:ascii="仿宋_GB2312" w:eastAsia="仿宋_GB2312" w:cs="仿宋_GB2312" w:hint="eastAsia"/>
          <w:sz w:val="32"/>
          <w:szCs w:val="32"/>
        </w:rPr>
        <w:t>号）等有关文件精神</w:t>
      </w:r>
      <w:r w:rsidRPr="00AA3607">
        <w:rPr>
          <w:rFonts w:ascii="仿宋" w:eastAsia="仿宋" w:hAnsi="仿宋" w:cs="仿宋_GB2312" w:hint="eastAsia"/>
          <w:sz w:val="32"/>
          <w:szCs w:val="32"/>
        </w:rPr>
        <w:t>，下达</w:t>
      </w:r>
      <w:r w:rsidR="00F016E3">
        <w:rPr>
          <w:rFonts w:ascii="仿宋" w:eastAsia="仿宋" w:hAnsi="仿宋" w:cs="仿宋_GB2312" w:hint="eastAsia"/>
          <w:sz w:val="32"/>
          <w:szCs w:val="32"/>
        </w:rPr>
        <w:t>禁捕退捕工作经费预备费15万元、市级禁渔退捕工作经费30万元；2020年禁捕退捕配套资金150万元；2019年中央禁捕退捕过渡期补助资金263万元，合计458万元。</w:t>
      </w:r>
      <w:r w:rsidRPr="00AA3607">
        <w:rPr>
          <w:rFonts w:ascii="仿宋_GB2312" w:eastAsia="仿宋_GB2312" w:hint="eastAsia"/>
          <w:sz w:val="32"/>
          <w:szCs w:val="32"/>
        </w:rPr>
        <w:t>根据湖南省农业农村厅 湖南省财政厅 湖南省人力资源和社会保障厅联合下发的《湖南省长江流域重点水域禁捕退捕工作实施方案》（湘农联【2019】86号）中第四条补偿安排中一次性补助和过</w:t>
      </w:r>
      <w:r w:rsidRPr="00AA3607">
        <w:rPr>
          <w:rFonts w:ascii="仿宋_GB2312" w:eastAsia="仿宋_GB2312" w:hint="eastAsia"/>
          <w:sz w:val="32"/>
          <w:szCs w:val="32"/>
        </w:rPr>
        <w:lastRenderedPageBreak/>
        <w:t>渡期补助的相关规定及《赫山区禁捕经费实施方案》要求，</w:t>
      </w:r>
      <w:r w:rsidRPr="00AA3607">
        <w:rPr>
          <w:rFonts w:ascii="仿宋" w:eastAsia="仿宋" w:hAnsi="仿宋" w:cs="仿宋_GB2312" w:hint="eastAsia"/>
          <w:sz w:val="32"/>
          <w:szCs w:val="32"/>
        </w:rPr>
        <w:t>主要用于禁捕退捕工作经费265.76万元、退捕渔民过渡期生活补助资金192.24万</w:t>
      </w:r>
      <w:r w:rsidR="00F016E3">
        <w:rPr>
          <w:rFonts w:ascii="仿宋" w:eastAsia="仿宋" w:hAnsi="仿宋" w:cs="仿宋_GB2312" w:hint="eastAsia"/>
          <w:sz w:val="32"/>
          <w:szCs w:val="32"/>
        </w:rPr>
        <w:t>元</w:t>
      </w:r>
      <w:r w:rsidRPr="00AA3607">
        <w:rPr>
          <w:rFonts w:ascii="仿宋" w:eastAsia="仿宋" w:hAnsi="仿宋" w:cs="仿宋_GB2312" w:hint="eastAsia"/>
          <w:sz w:val="32"/>
          <w:szCs w:val="32"/>
        </w:rPr>
        <w:t>；各项费用合计458万元。</w:t>
      </w:r>
    </w:p>
    <w:p w:rsidR="00AA3607" w:rsidRPr="00AA3607" w:rsidRDefault="00AA3607" w:rsidP="00AA3607">
      <w:pPr>
        <w:autoSpaceDE w:val="0"/>
        <w:autoSpaceDN w:val="0"/>
        <w:spacing w:line="580" w:lineRule="exact"/>
        <w:rPr>
          <w:rFonts w:ascii="仿宋" w:eastAsia="仿宋" w:hAnsi="仿宋" w:cstheme="minorEastAsia"/>
          <w:kern w:val="0"/>
          <w:sz w:val="32"/>
          <w:szCs w:val="32"/>
        </w:rPr>
      </w:pPr>
      <w:r w:rsidRPr="00AA3607">
        <w:rPr>
          <w:rFonts w:ascii="仿宋" w:eastAsia="仿宋" w:hAnsi="仿宋" w:cs="仿宋_GB2312" w:hint="eastAsia"/>
          <w:sz w:val="32"/>
          <w:szCs w:val="32"/>
        </w:rPr>
        <w:t>（</w:t>
      </w:r>
      <w:r w:rsidR="00F016E3">
        <w:rPr>
          <w:rFonts w:ascii="仿宋" w:eastAsia="仿宋" w:hAnsi="仿宋" w:cs="仿宋_GB2312" w:hint="eastAsia"/>
          <w:sz w:val="32"/>
          <w:szCs w:val="32"/>
        </w:rPr>
        <w:t>三</w:t>
      </w:r>
      <w:r w:rsidRPr="00AA3607">
        <w:rPr>
          <w:rFonts w:ascii="仿宋" w:eastAsia="仿宋" w:hAnsi="仿宋" w:cs="仿宋_GB2312" w:hint="eastAsia"/>
          <w:sz w:val="32"/>
          <w:szCs w:val="32"/>
        </w:rPr>
        <w:t>）项目绩效目标。开展赫山区退捕渔民过渡期生活补助，重点水域禁捕执法工作，添置渔政执法装备与维修保养，各乡镇街道、各禁捕退捕相关部门工作经费，完善了退捕工作、严厉打击了各类渔业违法行为、渔区社会稳定</w:t>
      </w:r>
      <w:r w:rsidRPr="00AA3607">
        <w:rPr>
          <w:rFonts w:ascii="仿宋" w:eastAsia="仿宋" w:hAnsi="仿宋" w:cstheme="minorEastAsia" w:hint="eastAsia"/>
          <w:kern w:val="0"/>
          <w:sz w:val="32"/>
          <w:szCs w:val="32"/>
        </w:rPr>
        <w:t>。获得了广大群众的一致好评。</w:t>
      </w:r>
    </w:p>
    <w:p w:rsidR="00AA3607" w:rsidRPr="0003090E" w:rsidRDefault="00F016E3" w:rsidP="0003090E">
      <w:pPr>
        <w:autoSpaceDE w:val="0"/>
        <w:autoSpaceDN w:val="0"/>
        <w:spacing w:line="580" w:lineRule="exact"/>
        <w:ind w:firstLineChars="200" w:firstLine="640"/>
        <w:rPr>
          <w:rFonts w:ascii="仿宋" w:eastAsia="仿宋" w:hAnsi="仿宋" w:cstheme="minorEastAsia"/>
          <w:kern w:val="0"/>
          <w:sz w:val="32"/>
          <w:szCs w:val="32"/>
        </w:rPr>
      </w:pPr>
      <w:r w:rsidRPr="0003090E">
        <w:rPr>
          <w:rFonts w:ascii="仿宋" w:eastAsia="仿宋" w:hAnsi="仿宋" w:cstheme="minorEastAsia" w:hint="eastAsia"/>
          <w:kern w:val="0"/>
          <w:sz w:val="32"/>
          <w:szCs w:val="32"/>
        </w:rPr>
        <w:t>（四）</w:t>
      </w:r>
      <w:r w:rsidR="00AA3607" w:rsidRPr="0003090E">
        <w:rPr>
          <w:rFonts w:ascii="仿宋" w:eastAsia="仿宋" w:hAnsi="仿宋" w:cstheme="minorEastAsia" w:hint="eastAsia"/>
          <w:kern w:val="0"/>
          <w:sz w:val="32"/>
          <w:szCs w:val="32"/>
        </w:rPr>
        <w:t>项目资金使用及管理。</w:t>
      </w:r>
    </w:p>
    <w:p w:rsidR="00AA3607" w:rsidRPr="00AA3607" w:rsidRDefault="00AA3607" w:rsidP="00AA3607">
      <w:pPr>
        <w:spacing w:line="580" w:lineRule="exact"/>
        <w:rPr>
          <w:rFonts w:ascii="仿宋" w:eastAsia="仿宋" w:hAnsi="仿宋" w:cs="仿宋_GB2312"/>
          <w:sz w:val="32"/>
          <w:szCs w:val="32"/>
        </w:rPr>
      </w:pPr>
      <w:r w:rsidRPr="00AA3607">
        <w:rPr>
          <w:rFonts w:ascii="仿宋" w:eastAsia="仿宋" w:hAnsi="仿宋" w:cs="仿宋_GB2312" w:hint="eastAsia"/>
          <w:sz w:val="32"/>
          <w:szCs w:val="32"/>
        </w:rPr>
        <w:t>项目资金总额。资金</w:t>
      </w:r>
      <w:r w:rsidRPr="00AA3607">
        <w:rPr>
          <w:rFonts w:ascii="仿宋" w:eastAsia="仿宋" w:hAnsi="仿宋" w:cs="宋体" w:hint="eastAsia"/>
          <w:color w:val="333333"/>
          <w:kern w:val="0"/>
          <w:sz w:val="32"/>
          <w:szCs w:val="32"/>
        </w:rPr>
        <w:t>用于</w:t>
      </w:r>
      <w:r w:rsidRPr="00AA3607">
        <w:rPr>
          <w:rFonts w:ascii="仿宋" w:eastAsia="仿宋" w:hAnsi="仿宋" w:cs="仿宋_GB2312" w:hint="eastAsia"/>
          <w:sz w:val="32"/>
          <w:szCs w:val="32"/>
        </w:rPr>
        <w:t>每天安排执法力量</w:t>
      </w:r>
      <w:r w:rsidRPr="00AA3607">
        <w:rPr>
          <w:rFonts w:ascii="仿宋" w:eastAsia="仿宋" w:hAnsi="仿宋" w:cs="仿宋_GB2312"/>
          <w:sz w:val="32"/>
          <w:szCs w:val="32"/>
        </w:rPr>
        <w:t>、</w:t>
      </w:r>
      <w:r w:rsidRPr="00AA3607">
        <w:rPr>
          <w:rFonts w:ascii="仿宋" w:eastAsia="仿宋" w:hAnsi="仿宋" w:cs="仿宋_GB2312" w:hint="eastAsia"/>
          <w:sz w:val="32"/>
          <w:szCs w:val="32"/>
        </w:rPr>
        <w:t>执法船艇、执法车维护保养、在益阳资江河段黄颡鱼国家水产种质资源保护区范围内进行巡查、拆除违法养殖设施和打击违法捕捞行为</w:t>
      </w:r>
      <w:r w:rsidRPr="00AA3607">
        <w:rPr>
          <w:rFonts w:ascii="仿宋" w:eastAsia="仿宋" w:hAnsi="仿宋" w:cs="仿宋_GB2312"/>
          <w:sz w:val="32"/>
          <w:szCs w:val="32"/>
        </w:rPr>
        <w:t>、宣传禁捕政策</w:t>
      </w:r>
      <w:r w:rsidRPr="00AA3607">
        <w:rPr>
          <w:rFonts w:ascii="仿宋" w:eastAsia="仿宋" w:hAnsi="仿宋" w:cs="仿宋_GB2312" w:hint="eastAsia"/>
          <w:sz w:val="32"/>
          <w:szCs w:val="32"/>
        </w:rPr>
        <w:t>等执法经</w:t>
      </w:r>
      <w:r w:rsidR="00F016E3">
        <w:rPr>
          <w:rFonts w:ascii="仿宋" w:eastAsia="仿宋" w:hAnsi="仿宋" w:cs="仿宋_GB2312" w:hint="eastAsia"/>
          <w:sz w:val="32"/>
          <w:szCs w:val="32"/>
        </w:rPr>
        <w:t>费、</w:t>
      </w:r>
      <w:r w:rsidRPr="00AA3607">
        <w:rPr>
          <w:rFonts w:ascii="仿宋" w:eastAsia="仿宋" w:hAnsi="仿宋" w:cs="仿宋_GB2312" w:hint="eastAsia"/>
          <w:sz w:val="32"/>
          <w:szCs w:val="32"/>
        </w:rPr>
        <w:t>各乡镇街道、相关业务部门工作经费</w:t>
      </w:r>
      <w:r w:rsidR="00F016E3" w:rsidRPr="00AA3607">
        <w:rPr>
          <w:rFonts w:ascii="仿宋" w:eastAsia="仿宋" w:hAnsi="仿宋" w:cs="仿宋_GB2312" w:hint="eastAsia"/>
          <w:sz w:val="32"/>
          <w:szCs w:val="32"/>
        </w:rPr>
        <w:t>265.76万元</w:t>
      </w:r>
      <w:r w:rsidRPr="00AA3607">
        <w:rPr>
          <w:rFonts w:ascii="仿宋" w:eastAsia="仿宋" w:hAnsi="仿宋" w:cs="仿宋_GB2312" w:hint="eastAsia"/>
          <w:sz w:val="32"/>
          <w:szCs w:val="32"/>
        </w:rPr>
        <w:t>万元；用于退捕渔民过渡期生活补贴</w:t>
      </w:r>
      <w:r w:rsidR="00F016E3" w:rsidRPr="00AA3607">
        <w:rPr>
          <w:rFonts w:ascii="仿宋" w:eastAsia="仿宋" w:hAnsi="仿宋" w:cs="仿宋_GB2312" w:hint="eastAsia"/>
          <w:sz w:val="32"/>
          <w:szCs w:val="32"/>
        </w:rPr>
        <w:t>192.24</w:t>
      </w:r>
      <w:r w:rsidRPr="00AA3607">
        <w:rPr>
          <w:rFonts w:ascii="仿宋" w:eastAsia="仿宋" w:hAnsi="仿宋" w:cs="仿宋_GB2312" w:hint="eastAsia"/>
          <w:sz w:val="32"/>
          <w:szCs w:val="32"/>
        </w:rPr>
        <w:t>万元。</w:t>
      </w:r>
    </w:p>
    <w:p w:rsidR="00AA3607" w:rsidRPr="00F016E3" w:rsidRDefault="00F016E3" w:rsidP="0003090E">
      <w:pPr>
        <w:ind w:firstLineChars="150" w:firstLine="480"/>
        <w:rPr>
          <w:rFonts w:ascii="仿宋" w:eastAsia="仿宋" w:hAnsi="仿宋" w:cs="仿宋_GB2312"/>
          <w:color w:val="000000"/>
          <w:sz w:val="32"/>
          <w:szCs w:val="32"/>
        </w:rPr>
      </w:pPr>
      <w:r>
        <w:rPr>
          <w:rFonts w:ascii="仿宋" w:eastAsia="仿宋" w:hAnsi="仿宋" w:cs="仿宋_GB2312" w:hint="eastAsia"/>
          <w:sz w:val="32"/>
          <w:szCs w:val="32"/>
        </w:rPr>
        <w:t>（五）</w:t>
      </w:r>
      <w:r w:rsidR="00AA3607" w:rsidRPr="00F016E3">
        <w:rPr>
          <w:rFonts w:ascii="仿宋" w:eastAsia="仿宋" w:hAnsi="仿宋" w:cs="仿宋_GB2312" w:hint="eastAsia"/>
          <w:sz w:val="32"/>
          <w:szCs w:val="32"/>
        </w:rPr>
        <w:t>项目资金管理。</w:t>
      </w:r>
      <w:r w:rsidR="00AA3607" w:rsidRPr="00F016E3">
        <w:rPr>
          <w:rFonts w:ascii="仿宋_GB2312" w:eastAsia="仿宋_GB2312" w:hint="eastAsia"/>
          <w:sz w:val="32"/>
          <w:szCs w:val="32"/>
        </w:rPr>
        <w:t>经费报销由区禁捕退捕工作领导小组办公室负责人审核后遵循区畜牧水产事务中心报销程序进行报销。</w:t>
      </w:r>
      <w:r w:rsidR="00AA3607" w:rsidRPr="00F016E3">
        <w:rPr>
          <w:rFonts w:ascii="仿宋" w:eastAsia="仿宋" w:hAnsi="仿宋" w:cs="仿宋_GB2312" w:hint="eastAsia"/>
          <w:color w:val="000000"/>
          <w:sz w:val="32"/>
          <w:szCs w:val="32"/>
        </w:rPr>
        <w:t>审核确定后，由财政部门审核报帐，项目资金直接拨付建设单位。</w:t>
      </w:r>
    </w:p>
    <w:p w:rsidR="00AA3607" w:rsidRPr="0003090E" w:rsidRDefault="00AA3607" w:rsidP="00F016E3">
      <w:pPr>
        <w:pStyle w:val="aa"/>
        <w:widowControl/>
        <w:spacing w:line="580" w:lineRule="exact"/>
        <w:ind w:left="420" w:firstLineChars="0" w:firstLine="0"/>
        <w:jc w:val="left"/>
        <w:rPr>
          <w:rFonts w:ascii="仿宋" w:eastAsia="仿宋" w:hAnsi="仿宋" w:cs="仿宋_GB2312"/>
          <w:color w:val="000000"/>
          <w:sz w:val="32"/>
          <w:szCs w:val="32"/>
        </w:rPr>
      </w:pPr>
      <w:r w:rsidRPr="0003090E">
        <w:rPr>
          <w:rFonts w:ascii="仿宋" w:eastAsia="仿宋" w:hAnsi="仿宋" w:cs="仿宋_GB2312" w:hint="eastAsia"/>
          <w:color w:val="000000"/>
          <w:sz w:val="32"/>
          <w:szCs w:val="32"/>
        </w:rPr>
        <w:t>（</w:t>
      </w:r>
      <w:r w:rsidR="0003090E" w:rsidRPr="0003090E">
        <w:rPr>
          <w:rFonts w:ascii="仿宋" w:eastAsia="仿宋" w:hAnsi="仿宋" w:cs="仿宋_GB2312" w:hint="eastAsia"/>
          <w:color w:val="000000"/>
          <w:sz w:val="32"/>
          <w:szCs w:val="32"/>
        </w:rPr>
        <w:t>六</w:t>
      </w:r>
      <w:r w:rsidRPr="0003090E">
        <w:rPr>
          <w:rFonts w:ascii="仿宋" w:eastAsia="仿宋" w:hAnsi="仿宋" w:cs="仿宋_GB2312" w:hint="eastAsia"/>
          <w:color w:val="000000"/>
          <w:sz w:val="32"/>
          <w:szCs w:val="32"/>
        </w:rPr>
        <w:t xml:space="preserve">）项目完成情况　 </w:t>
      </w:r>
    </w:p>
    <w:p w:rsidR="00AA3607" w:rsidRPr="00F016E3" w:rsidRDefault="00AA3607" w:rsidP="00F016E3">
      <w:pPr>
        <w:widowControl/>
        <w:spacing w:line="580" w:lineRule="exact"/>
        <w:ind w:firstLineChars="200" w:firstLine="640"/>
        <w:jc w:val="left"/>
        <w:rPr>
          <w:rFonts w:ascii="仿宋" w:eastAsia="仿宋" w:hAnsi="仿宋" w:cs="仿宋_GB2312"/>
          <w:color w:val="000000"/>
          <w:kern w:val="0"/>
          <w:sz w:val="32"/>
          <w:szCs w:val="32"/>
        </w:rPr>
      </w:pPr>
      <w:r w:rsidRPr="00F016E3">
        <w:rPr>
          <w:rFonts w:ascii="仿宋" w:eastAsia="仿宋" w:hAnsi="仿宋" w:cs="仿宋_GB2312" w:hint="eastAsia"/>
          <w:color w:val="000000"/>
          <w:sz w:val="32"/>
          <w:szCs w:val="32"/>
        </w:rPr>
        <w:t>按照相关法律、文件规定，认真核实享受过渡期生活补贴渔民身份，认真组织开展渔政执法行动，在资江、志溪河、兰溪哑</w:t>
      </w:r>
      <w:r w:rsidRPr="00F016E3">
        <w:rPr>
          <w:rFonts w:ascii="仿宋" w:eastAsia="仿宋" w:hAnsi="仿宋" w:cs="仿宋_GB2312" w:hint="eastAsia"/>
          <w:color w:val="000000"/>
          <w:sz w:val="32"/>
          <w:szCs w:val="32"/>
        </w:rPr>
        <w:lastRenderedPageBreak/>
        <w:t>河、新河、镜明河及东湖、鹿角湖、北坪湖水域及其他各类天然水域打击电、毒、炸鱼及利用网箱、迷魂阵、矮围等各种违规渔具进行非法捕捞的行为。每天安排执法力量通过执法船艇、执法车在益阳资江河禁捕水域内进行巡查。2020年</w:t>
      </w:r>
      <w:r w:rsidRPr="00F016E3">
        <w:rPr>
          <w:rFonts w:ascii="仿宋_GB2312" w:eastAsia="仿宋_GB2312" w:hint="eastAsia"/>
          <w:sz w:val="32"/>
          <w:szCs w:val="32"/>
        </w:rPr>
        <w:t>共执法巡逻8000余人次，出动执法船艇3000余次，保障了资江与志溪河重点禁渔水域与天然水域全年未重大违法捕捞事件发生；</w:t>
      </w:r>
    </w:p>
    <w:p w:rsidR="00AA3607" w:rsidRPr="0003090E" w:rsidRDefault="00F016E3" w:rsidP="00F016E3">
      <w:pPr>
        <w:pStyle w:val="aa"/>
        <w:widowControl/>
        <w:spacing w:line="580" w:lineRule="exact"/>
        <w:ind w:left="420" w:firstLineChars="0" w:firstLine="0"/>
        <w:rPr>
          <w:rFonts w:ascii="仿宋_GB2312" w:eastAsia="仿宋_GB2312"/>
          <w:sz w:val="32"/>
          <w:szCs w:val="32"/>
        </w:rPr>
      </w:pPr>
      <w:r w:rsidRPr="0003090E">
        <w:rPr>
          <w:rFonts w:ascii="仿宋_GB2312" w:eastAsia="仿宋_GB2312" w:hint="eastAsia"/>
          <w:sz w:val="32"/>
          <w:szCs w:val="32"/>
        </w:rPr>
        <w:t>（</w:t>
      </w:r>
      <w:r w:rsidR="0003090E" w:rsidRPr="0003090E">
        <w:rPr>
          <w:rFonts w:ascii="仿宋_GB2312" w:eastAsia="仿宋_GB2312" w:hint="eastAsia"/>
          <w:sz w:val="32"/>
          <w:szCs w:val="32"/>
        </w:rPr>
        <w:t>七</w:t>
      </w:r>
      <w:r w:rsidRPr="0003090E">
        <w:rPr>
          <w:rFonts w:ascii="仿宋_GB2312" w:eastAsia="仿宋_GB2312" w:hint="eastAsia"/>
          <w:sz w:val="32"/>
          <w:szCs w:val="32"/>
        </w:rPr>
        <w:t>）</w:t>
      </w:r>
      <w:r w:rsidR="00AA3607" w:rsidRPr="0003090E">
        <w:rPr>
          <w:rFonts w:ascii="仿宋_GB2312" w:eastAsia="仿宋_GB2312" w:hint="eastAsia"/>
          <w:sz w:val="32"/>
          <w:szCs w:val="32"/>
        </w:rPr>
        <w:t>项目实施成效</w:t>
      </w:r>
    </w:p>
    <w:p w:rsidR="00AA3607" w:rsidRPr="00F016E3" w:rsidRDefault="00AA3607" w:rsidP="00F016E3">
      <w:pPr>
        <w:autoSpaceDE w:val="0"/>
        <w:autoSpaceDN w:val="0"/>
        <w:spacing w:line="580" w:lineRule="exact"/>
        <w:ind w:firstLineChars="200" w:firstLine="640"/>
        <w:rPr>
          <w:rFonts w:ascii="仿宋" w:eastAsia="仿宋" w:hAnsi="仿宋" w:cstheme="minorEastAsia"/>
          <w:kern w:val="0"/>
          <w:sz w:val="32"/>
          <w:szCs w:val="32"/>
        </w:rPr>
      </w:pPr>
      <w:r w:rsidRPr="0003090E">
        <w:rPr>
          <w:rFonts w:ascii="仿宋_GB2312" w:eastAsia="仿宋_GB2312" w:hint="eastAsia"/>
          <w:sz w:val="32"/>
          <w:szCs w:val="32"/>
        </w:rPr>
        <w:t>维护了全区禁捕水域禁捕秩序</w:t>
      </w:r>
      <w:r w:rsidRPr="00F016E3">
        <w:rPr>
          <w:rFonts w:ascii="仿宋" w:eastAsia="仿宋" w:hAnsi="仿宋" w:cstheme="minorEastAsia" w:hint="eastAsia"/>
          <w:kern w:val="0"/>
          <w:sz w:val="32"/>
          <w:szCs w:val="32"/>
        </w:rPr>
        <w:t>，保障了退捕渔民各项权益，获得了广大群众的一致好评。</w:t>
      </w:r>
    </w:p>
    <w:bookmarkEnd w:id="1"/>
    <w:p w:rsidR="007B47EE" w:rsidRDefault="00CE5042" w:rsidP="00C656B7">
      <w:pPr>
        <w:pStyle w:val="a6"/>
        <w:widowControl/>
        <w:spacing w:before="0" w:beforeAutospacing="0" w:after="0" w:afterAutospacing="0" w:line="26" w:lineRule="atLeast"/>
        <w:ind w:firstLineChars="200" w:firstLine="602"/>
        <w:jc w:val="both"/>
        <w:rPr>
          <w:rFonts w:ascii="仿宋_GB2312" w:eastAsia="仿宋_GB2312" w:cs="仿宋_GB2312"/>
          <w:color w:val="000000"/>
          <w:sz w:val="30"/>
          <w:szCs w:val="30"/>
        </w:rPr>
      </w:pPr>
      <w:r>
        <w:rPr>
          <w:rFonts w:ascii="仿宋_GB2312" w:eastAsia="仿宋_GB2312" w:cs="仿宋_GB2312" w:hint="eastAsia"/>
          <w:b/>
          <w:bCs/>
          <w:color w:val="000000"/>
          <w:sz w:val="30"/>
          <w:szCs w:val="30"/>
        </w:rPr>
        <w:t>四</w:t>
      </w:r>
      <w:r w:rsidR="00C656B7">
        <w:rPr>
          <w:rFonts w:ascii="仿宋_GB2312" w:eastAsia="仿宋_GB2312" w:cs="仿宋_GB2312" w:hint="eastAsia"/>
          <w:b/>
          <w:bCs/>
          <w:color w:val="000000"/>
          <w:sz w:val="30"/>
          <w:szCs w:val="30"/>
        </w:rPr>
        <w:t>、部门整体评价</w:t>
      </w:r>
      <w:r w:rsidR="007B47EE">
        <w:rPr>
          <w:rFonts w:ascii="仿宋_GB2312" w:eastAsia="仿宋_GB2312" w:cs="仿宋_GB2312" w:hint="eastAsia"/>
          <w:b/>
          <w:bCs/>
          <w:color w:val="000000"/>
          <w:sz w:val="30"/>
          <w:szCs w:val="30"/>
        </w:rPr>
        <w:t>情况</w:t>
      </w:r>
      <w:r w:rsidR="00C656B7">
        <w:rPr>
          <w:rFonts w:ascii="仿宋_GB2312" w:eastAsia="仿宋_GB2312" w:cs="仿宋_GB2312" w:hint="eastAsia"/>
          <w:b/>
          <w:bCs/>
          <w:color w:val="000000"/>
          <w:sz w:val="30"/>
          <w:szCs w:val="30"/>
        </w:rPr>
        <w:t>：</w:t>
      </w:r>
      <w:r w:rsidR="00C656B7" w:rsidRPr="00C656B7">
        <w:rPr>
          <w:rFonts w:ascii="仿宋_GB2312" w:eastAsia="仿宋_GB2312" w:cs="仿宋_GB2312" w:hint="eastAsia"/>
          <w:color w:val="000000"/>
          <w:sz w:val="30"/>
          <w:szCs w:val="30"/>
        </w:rPr>
        <w:t>2020年上级规定有政策的津贴补贴均发放到位。</w:t>
      </w:r>
      <w:r w:rsidR="00C656B7">
        <w:rPr>
          <w:rFonts w:ascii="仿宋_GB2312" w:eastAsia="仿宋_GB2312" w:cs="仿宋_GB2312" w:hint="eastAsia"/>
          <w:color w:val="000000"/>
          <w:sz w:val="30"/>
          <w:szCs w:val="30"/>
        </w:rPr>
        <w:t>2020年度“三公”经费财政拨款支出4.46万元，较上年三公经费4.49万元减少0.03万元，主要原因为公务用车购置及运行维护费减少，三公经费预算决算情况均已公开。</w:t>
      </w:r>
    </w:p>
    <w:p w:rsidR="00C656B7" w:rsidRDefault="007B47EE" w:rsidP="007B47EE">
      <w:pPr>
        <w:pStyle w:val="a6"/>
        <w:widowControl/>
        <w:spacing w:before="0" w:beforeAutospacing="0" w:after="0" w:afterAutospacing="0" w:line="26" w:lineRule="atLeast"/>
        <w:ind w:firstLineChars="200" w:firstLine="640"/>
        <w:jc w:val="both"/>
        <w:rPr>
          <w:rFonts w:ascii="仿宋_GB2312" w:eastAsia="仿宋_GB2312" w:cs="仿宋_GB2312"/>
          <w:sz w:val="32"/>
          <w:szCs w:val="32"/>
        </w:rPr>
      </w:pPr>
      <w:r>
        <w:rPr>
          <w:rFonts w:ascii="仿宋_GB2312" w:eastAsia="仿宋_GB2312" w:cs="仿宋_GB2312" w:hint="eastAsia"/>
          <w:sz w:val="32"/>
          <w:szCs w:val="32"/>
        </w:rPr>
        <w:t>区委政府年度绩效目标个性指标完成情况:</w:t>
      </w:r>
    </w:p>
    <w:p w:rsidR="00C656B7" w:rsidRPr="004F0955" w:rsidRDefault="004F0955" w:rsidP="004F0955">
      <w:pPr>
        <w:ind w:firstLineChars="200" w:firstLine="640"/>
        <w:jc w:val="left"/>
        <w:rPr>
          <w:rFonts w:ascii="仿宋_GB2312" w:eastAsia="仿宋_GB2312" w:cs="仿宋_GB2312"/>
          <w:kern w:val="0"/>
          <w:sz w:val="32"/>
          <w:szCs w:val="32"/>
        </w:rPr>
      </w:pPr>
      <w:r w:rsidRPr="004F0955">
        <w:rPr>
          <w:rFonts w:ascii="仿宋_GB2312" w:eastAsia="仿宋_GB2312" w:cs="仿宋_GB2312" w:hint="eastAsia"/>
          <w:kern w:val="0"/>
          <w:sz w:val="32"/>
          <w:szCs w:val="32"/>
        </w:rPr>
        <w:t>全年在养殖生产、畜禽水产品质量安全监管、动物疫情防控、渔业资源保护、禁捕退捕、立项争资、食品安全、安全生产专项整治三年行动、经营性资产不动产证办理、污染防治攻坚工作、统计核算联管</w:t>
      </w:r>
      <w:r>
        <w:rPr>
          <w:rFonts w:ascii="仿宋_GB2312" w:eastAsia="仿宋_GB2312" w:cs="仿宋_GB2312" w:hint="eastAsia"/>
          <w:kern w:val="0"/>
          <w:sz w:val="32"/>
          <w:szCs w:val="32"/>
        </w:rPr>
        <w:t>方面都顺利的完成了，2020年在</w:t>
      </w:r>
      <w:r>
        <w:rPr>
          <w:rFonts w:ascii="仿宋_GB2312" w:eastAsia="仿宋_GB2312" w:cs="仿宋_GB2312" w:hint="eastAsia"/>
          <w:sz w:val="32"/>
          <w:szCs w:val="32"/>
        </w:rPr>
        <w:t>区委政府年度绩效</w:t>
      </w:r>
      <w:r>
        <w:rPr>
          <w:rFonts w:ascii="仿宋_GB2312" w:eastAsia="仿宋_GB2312" w:cs="仿宋_GB2312" w:hint="eastAsia"/>
          <w:kern w:val="0"/>
          <w:sz w:val="32"/>
          <w:szCs w:val="32"/>
        </w:rPr>
        <w:t>评估中被评为1类单位。</w:t>
      </w:r>
    </w:p>
    <w:p w:rsidR="00BD3792" w:rsidRPr="00C656B7" w:rsidRDefault="00CE5042" w:rsidP="00C656B7">
      <w:pPr>
        <w:ind w:firstLineChars="200" w:firstLine="600"/>
        <w:jc w:val="left"/>
        <w:rPr>
          <w:rFonts w:ascii="仿宋_GB2312" w:eastAsia="仿宋_GB2312" w:cs="仿宋_GB2312"/>
          <w:color w:val="000000"/>
          <w:kern w:val="0"/>
          <w:sz w:val="30"/>
          <w:szCs w:val="30"/>
        </w:rPr>
      </w:pPr>
      <w:r w:rsidRPr="00C656B7">
        <w:rPr>
          <w:rFonts w:ascii="仿宋_GB2312" w:eastAsia="仿宋_GB2312" w:cs="仿宋_GB2312" w:hint="eastAsia"/>
          <w:color w:val="000000"/>
          <w:kern w:val="0"/>
          <w:sz w:val="30"/>
          <w:szCs w:val="30"/>
        </w:rPr>
        <w:t>整体评价评分为9</w:t>
      </w:r>
      <w:r w:rsidR="004F0955">
        <w:rPr>
          <w:rFonts w:ascii="仿宋_GB2312" w:eastAsia="仿宋_GB2312" w:cs="仿宋_GB2312" w:hint="eastAsia"/>
          <w:color w:val="000000"/>
          <w:kern w:val="0"/>
          <w:sz w:val="30"/>
          <w:szCs w:val="30"/>
        </w:rPr>
        <w:t>5</w:t>
      </w:r>
      <w:r w:rsidRPr="00C656B7">
        <w:rPr>
          <w:rFonts w:ascii="仿宋_GB2312" w:eastAsia="仿宋_GB2312" w:cs="仿宋_GB2312" w:hint="eastAsia"/>
          <w:color w:val="000000"/>
          <w:kern w:val="0"/>
          <w:sz w:val="30"/>
          <w:szCs w:val="30"/>
        </w:rPr>
        <w:t>分，项目评分100分。</w:t>
      </w:r>
    </w:p>
    <w:p w:rsidR="00BD3792" w:rsidRDefault="00BD3792">
      <w:pPr>
        <w:ind w:rightChars="100" w:right="210"/>
      </w:pPr>
    </w:p>
    <w:sectPr w:rsidR="00BD3792" w:rsidSect="00BD3792">
      <w:pgSz w:w="11906" w:h="16838"/>
      <w:pgMar w:top="2098" w:right="1474" w:bottom="1985" w:left="1588" w:header="851" w:footer="1701"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FD0" w:rsidRDefault="00E64FD0" w:rsidP="00BD3792">
      <w:r>
        <w:separator/>
      </w:r>
    </w:p>
  </w:endnote>
  <w:endnote w:type="continuationSeparator" w:id="0">
    <w:p w:rsidR="00E64FD0" w:rsidRDefault="00E64FD0" w:rsidP="00BD37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92" w:rsidRDefault="003B000B">
    <w:pPr>
      <w:pStyle w:val="a4"/>
      <w:framePr w:wrap="around" w:vAnchor="text" w:hAnchor="margin" w:xAlign="outside" w:y="1"/>
      <w:rPr>
        <w:rStyle w:val="a8"/>
        <w:rFonts w:ascii="宋体" w:hAnsi="宋体"/>
        <w:sz w:val="28"/>
        <w:szCs w:val="28"/>
      </w:rPr>
    </w:pPr>
    <w:r>
      <w:rPr>
        <w:rStyle w:val="a8"/>
        <w:rFonts w:ascii="宋体" w:hAnsi="宋体"/>
        <w:sz w:val="28"/>
        <w:szCs w:val="28"/>
      </w:rPr>
      <w:fldChar w:fldCharType="begin"/>
    </w:r>
    <w:r w:rsidR="00CE5042">
      <w:rPr>
        <w:rStyle w:val="a8"/>
        <w:rFonts w:ascii="宋体" w:hAnsi="宋体"/>
        <w:sz w:val="28"/>
        <w:szCs w:val="28"/>
      </w:rPr>
      <w:instrText xml:space="preserve">PAGE  </w:instrText>
    </w:r>
    <w:r>
      <w:rPr>
        <w:rStyle w:val="a8"/>
        <w:rFonts w:ascii="宋体" w:hAnsi="宋体"/>
        <w:sz w:val="28"/>
        <w:szCs w:val="28"/>
      </w:rPr>
      <w:fldChar w:fldCharType="separate"/>
    </w:r>
    <w:r w:rsidR="00DD6192">
      <w:rPr>
        <w:rStyle w:val="a8"/>
        <w:rFonts w:ascii="宋体" w:hAnsi="宋体"/>
        <w:noProof/>
        <w:sz w:val="28"/>
        <w:szCs w:val="28"/>
      </w:rPr>
      <w:t>- 9 -</w:t>
    </w:r>
    <w:r>
      <w:rPr>
        <w:rStyle w:val="a8"/>
        <w:rFonts w:ascii="宋体" w:hAnsi="宋体"/>
        <w:sz w:val="28"/>
        <w:szCs w:val="28"/>
      </w:rPr>
      <w:fldChar w:fldCharType="end"/>
    </w:r>
  </w:p>
  <w:p w:rsidR="00BD3792" w:rsidRDefault="00BD379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FD0" w:rsidRDefault="00E64FD0" w:rsidP="00BD3792">
      <w:r>
        <w:separator/>
      </w:r>
    </w:p>
  </w:footnote>
  <w:footnote w:type="continuationSeparator" w:id="0">
    <w:p w:rsidR="00E64FD0" w:rsidRDefault="00E64FD0" w:rsidP="00BD37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EC3D49"/>
    <w:multiLevelType w:val="singleLevel"/>
    <w:tmpl w:val="B0EC3D49"/>
    <w:lvl w:ilvl="0">
      <w:start w:val="1"/>
      <w:numFmt w:val="chineseCounting"/>
      <w:suff w:val="nothing"/>
      <w:lvlText w:val="（%1）"/>
      <w:lvlJc w:val="left"/>
      <w:pPr>
        <w:ind w:left="800" w:firstLine="0"/>
      </w:pPr>
      <w:rPr>
        <w:rFonts w:hint="eastAsia"/>
      </w:rPr>
    </w:lvl>
  </w:abstractNum>
  <w:abstractNum w:abstractNumId="1">
    <w:nsid w:val="D397F642"/>
    <w:multiLevelType w:val="singleLevel"/>
    <w:tmpl w:val="D397F642"/>
    <w:lvl w:ilvl="0">
      <w:start w:val="7"/>
      <w:numFmt w:val="decimal"/>
      <w:suff w:val="nothing"/>
      <w:lvlText w:val="%1、"/>
      <w:lvlJc w:val="left"/>
    </w:lvl>
  </w:abstractNum>
  <w:abstractNum w:abstractNumId="2">
    <w:nsid w:val="333D975F"/>
    <w:multiLevelType w:val="singleLevel"/>
    <w:tmpl w:val="333D975F"/>
    <w:lvl w:ilvl="0">
      <w:start w:val="2"/>
      <w:numFmt w:val="chineseCounting"/>
      <w:suff w:val="nothing"/>
      <w:lvlText w:val="%1、"/>
      <w:lvlJc w:val="left"/>
      <w:rPr>
        <w:rFonts w:hint="eastAsia"/>
      </w:rPr>
    </w:lvl>
  </w:abstractNum>
  <w:abstractNum w:abstractNumId="3">
    <w:nsid w:val="487EECDC"/>
    <w:multiLevelType w:val="multilevel"/>
    <w:tmpl w:val="487EECDC"/>
    <w:lvl w:ilvl="0">
      <w:start w:val="1"/>
      <w:numFmt w:val="chineseCounting"/>
      <w:suff w:val="nothing"/>
      <w:lvlText w:val="第%1章  "/>
      <w:lvlJc w:val="left"/>
      <w:pPr>
        <w:tabs>
          <w:tab w:val="left" w:pos="0"/>
        </w:tabs>
        <w:ind w:left="425" w:hanging="425"/>
      </w:pPr>
      <w:rPr>
        <w:rFonts w:ascii="Times New Roman" w:eastAsia="黑体" w:hAnsi="Times New Roman" w:cs="Times New Roman" w:hint="eastAsia"/>
        <w:sz w:val="36"/>
        <w:szCs w:val="36"/>
      </w:rPr>
    </w:lvl>
    <w:lvl w:ilvl="1">
      <w:start w:val="1"/>
      <w:numFmt w:val="decimal"/>
      <w:isLgl/>
      <w:suff w:val="space"/>
      <w:lvlText w:val="%1.%2"/>
      <w:lvlJc w:val="left"/>
      <w:pPr>
        <w:tabs>
          <w:tab w:val="left" w:pos="420"/>
        </w:tabs>
        <w:ind w:left="850" w:hanging="850"/>
      </w:pPr>
      <w:rPr>
        <w:rFonts w:ascii="Times New Roman" w:eastAsia="黑体" w:hAnsi="Times New Roman" w:cs="Times New Roman" w:hint="eastAsia"/>
        <w:sz w:val="30"/>
        <w:szCs w:val="30"/>
      </w:rPr>
    </w:lvl>
    <w:lvl w:ilvl="2">
      <w:start w:val="1"/>
      <w:numFmt w:val="decimal"/>
      <w:isLgl/>
      <w:suff w:val="space"/>
      <w:lvlText w:val="%1.%2.%3"/>
      <w:lvlJc w:val="left"/>
      <w:pPr>
        <w:tabs>
          <w:tab w:val="left" w:pos="0"/>
        </w:tabs>
        <w:ind w:left="1508" w:hanging="1508"/>
      </w:pPr>
      <w:rPr>
        <w:rFonts w:ascii="Times New Roman" w:eastAsia="宋体" w:hAnsi="Times New Roman" w:cs="Times New Roman" w:hint="eastAsia"/>
        <w:sz w:val="28"/>
        <w:szCs w:val="28"/>
      </w:rPr>
    </w:lvl>
    <w:lvl w:ilvl="3">
      <w:start w:val="1"/>
      <w:numFmt w:val="decimal"/>
      <w:pStyle w:val="4"/>
      <w:isLgl/>
      <w:suff w:val="nothing"/>
      <w:lvlText w:val="（%4）"/>
      <w:lvlJc w:val="left"/>
      <w:pPr>
        <w:tabs>
          <w:tab w:val="left" w:pos="-567"/>
        </w:tabs>
        <w:ind w:left="1486" w:hanging="919"/>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4">
      <w:start w:val="1"/>
      <w:numFmt w:val="decimal"/>
      <w:lvlText w:val="%1.%2.%3.%4.%5."/>
      <w:lvlJc w:val="left"/>
      <w:pPr>
        <w:ind w:left="2495" w:hanging="895"/>
      </w:pPr>
      <w:rPr>
        <w:rFonts w:hint="eastAsia"/>
      </w:rPr>
    </w:lvl>
    <w:lvl w:ilvl="5">
      <w:start w:val="1"/>
      <w:numFmt w:val="decimal"/>
      <w:lvlText w:val="%1.%2.%3.%4.%5.%6."/>
      <w:lvlJc w:val="left"/>
      <w:pPr>
        <w:ind w:left="3136" w:hanging="1136"/>
      </w:pPr>
      <w:rPr>
        <w:rFonts w:hint="eastAsia"/>
      </w:rPr>
    </w:lvl>
    <w:lvl w:ilvl="6">
      <w:start w:val="1"/>
      <w:numFmt w:val="decimal"/>
      <w:lvlText w:val="%1.%2.%3.%4.%5.%6.%7."/>
      <w:lvlJc w:val="left"/>
      <w:pPr>
        <w:ind w:left="3673" w:hanging="1273"/>
      </w:pPr>
      <w:rPr>
        <w:rFonts w:hint="eastAsia"/>
      </w:rPr>
    </w:lvl>
    <w:lvl w:ilvl="7">
      <w:start w:val="1"/>
      <w:numFmt w:val="decimal"/>
      <w:lvlText w:val="%1.%2.%3.%4.%5.%6.%7.%8."/>
      <w:lvlJc w:val="left"/>
      <w:pPr>
        <w:ind w:left="4218" w:hanging="1418"/>
      </w:pPr>
      <w:rPr>
        <w:rFonts w:hint="eastAsia"/>
      </w:rPr>
    </w:lvl>
    <w:lvl w:ilvl="8">
      <w:start w:val="1"/>
      <w:numFmt w:val="decimal"/>
      <w:lvlText w:val="%1.%2.%3.%4.%5.%6.%7.%8.%9."/>
      <w:lvlJc w:val="left"/>
      <w:pPr>
        <w:ind w:left="4648" w:hanging="1448"/>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6E4E"/>
    <w:rsid w:val="00011497"/>
    <w:rsid w:val="0003090E"/>
    <w:rsid w:val="00043673"/>
    <w:rsid w:val="00046499"/>
    <w:rsid w:val="0004784E"/>
    <w:rsid w:val="00053547"/>
    <w:rsid w:val="00062EEC"/>
    <w:rsid w:val="0006715E"/>
    <w:rsid w:val="000700BE"/>
    <w:rsid w:val="000707EC"/>
    <w:rsid w:val="00076E70"/>
    <w:rsid w:val="0008086E"/>
    <w:rsid w:val="000C0EA0"/>
    <w:rsid w:val="000E1641"/>
    <w:rsid w:val="000E187E"/>
    <w:rsid w:val="000F1A10"/>
    <w:rsid w:val="00100B57"/>
    <w:rsid w:val="0011361A"/>
    <w:rsid w:val="00114A8C"/>
    <w:rsid w:val="00151A57"/>
    <w:rsid w:val="0015712D"/>
    <w:rsid w:val="00160F3B"/>
    <w:rsid w:val="00195999"/>
    <w:rsid w:val="00195AF2"/>
    <w:rsid w:val="001C0DB6"/>
    <w:rsid w:val="001C27EF"/>
    <w:rsid w:val="001D026B"/>
    <w:rsid w:val="00222DD3"/>
    <w:rsid w:val="00256CDC"/>
    <w:rsid w:val="00261F7B"/>
    <w:rsid w:val="00275E2C"/>
    <w:rsid w:val="002850ED"/>
    <w:rsid w:val="002A098E"/>
    <w:rsid w:val="002A1B49"/>
    <w:rsid w:val="002A67A3"/>
    <w:rsid w:val="002B3F1D"/>
    <w:rsid w:val="002C26E1"/>
    <w:rsid w:val="002C2D45"/>
    <w:rsid w:val="002E2194"/>
    <w:rsid w:val="002E2FC3"/>
    <w:rsid w:val="003055D2"/>
    <w:rsid w:val="00314D85"/>
    <w:rsid w:val="0032411A"/>
    <w:rsid w:val="00336021"/>
    <w:rsid w:val="00360B49"/>
    <w:rsid w:val="00366D3D"/>
    <w:rsid w:val="00381196"/>
    <w:rsid w:val="003A2E99"/>
    <w:rsid w:val="003B000B"/>
    <w:rsid w:val="003D5823"/>
    <w:rsid w:val="003F5B92"/>
    <w:rsid w:val="00414180"/>
    <w:rsid w:val="00423918"/>
    <w:rsid w:val="00434F00"/>
    <w:rsid w:val="00471E21"/>
    <w:rsid w:val="00474423"/>
    <w:rsid w:val="00477C33"/>
    <w:rsid w:val="004842A1"/>
    <w:rsid w:val="004B2B63"/>
    <w:rsid w:val="004C2EAB"/>
    <w:rsid w:val="004D76CB"/>
    <w:rsid w:val="004E4B88"/>
    <w:rsid w:val="004E67A5"/>
    <w:rsid w:val="004F0955"/>
    <w:rsid w:val="005130D4"/>
    <w:rsid w:val="00527477"/>
    <w:rsid w:val="0053426A"/>
    <w:rsid w:val="005377A9"/>
    <w:rsid w:val="00560BD3"/>
    <w:rsid w:val="0057391C"/>
    <w:rsid w:val="00574727"/>
    <w:rsid w:val="00577A7A"/>
    <w:rsid w:val="005A4414"/>
    <w:rsid w:val="005C25B9"/>
    <w:rsid w:val="005E2900"/>
    <w:rsid w:val="005E7B42"/>
    <w:rsid w:val="005E7BED"/>
    <w:rsid w:val="00603866"/>
    <w:rsid w:val="00611C0D"/>
    <w:rsid w:val="006245BF"/>
    <w:rsid w:val="006269B7"/>
    <w:rsid w:val="00652C8A"/>
    <w:rsid w:val="00653E1D"/>
    <w:rsid w:val="006733AA"/>
    <w:rsid w:val="006819E8"/>
    <w:rsid w:val="006905DF"/>
    <w:rsid w:val="00691477"/>
    <w:rsid w:val="0069477B"/>
    <w:rsid w:val="006A17BE"/>
    <w:rsid w:val="006E452E"/>
    <w:rsid w:val="006F0B10"/>
    <w:rsid w:val="00725319"/>
    <w:rsid w:val="00731951"/>
    <w:rsid w:val="0075061C"/>
    <w:rsid w:val="00773BB2"/>
    <w:rsid w:val="007742CB"/>
    <w:rsid w:val="00784A33"/>
    <w:rsid w:val="00785F00"/>
    <w:rsid w:val="00786753"/>
    <w:rsid w:val="007B47EE"/>
    <w:rsid w:val="007B4ACB"/>
    <w:rsid w:val="007C129E"/>
    <w:rsid w:val="007C772C"/>
    <w:rsid w:val="007E43B2"/>
    <w:rsid w:val="007E4C88"/>
    <w:rsid w:val="008116C4"/>
    <w:rsid w:val="0081186A"/>
    <w:rsid w:val="008232D3"/>
    <w:rsid w:val="00853BC3"/>
    <w:rsid w:val="00854FFD"/>
    <w:rsid w:val="008630D6"/>
    <w:rsid w:val="00886C5B"/>
    <w:rsid w:val="008A23A0"/>
    <w:rsid w:val="008D28B7"/>
    <w:rsid w:val="008E4538"/>
    <w:rsid w:val="00904337"/>
    <w:rsid w:val="00923B36"/>
    <w:rsid w:val="00923DDB"/>
    <w:rsid w:val="00927ABE"/>
    <w:rsid w:val="00942D68"/>
    <w:rsid w:val="00942E90"/>
    <w:rsid w:val="00945B69"/>
    <w:rsid w:val="009773D3"/>
    <w:rsid w:val="00993293"/>
    <w:rsid w:val="009F6864"/>
    <w:rsid w:val="00A00E3C"/>
    <w:rsid w:val="00A53B16"/>
    <w:rsid w:val="00A75930"/>
    <w:rsid w:val="00A82F3A"/>
    <w:rsid w:val="00A92BDD"/>
    <w:rsid w:val="00A96E4E"/>
    <w:rsid w:val="00A973F9"/>
    <w:rsid w:val="00AA2837"/>
    <w:rsid w:val="00AA3607"/>
    <w:rsid w:val="00AA3E5E"/>
    <w:rsid w:val="00AC0F3E"/>
    <w:rsid w:val="00B33E40"/>
    <w:rsid w:val="00B4450D"/>
    <w:rsid w:val="00B47A0F"/>
    <w:rsid w:val="00B83098"/>
    <w:rsid w:val="00B92B2D"/>
    <w:rsid w:val="00B938AA"/>
    <w:rsid w:val="00BA35EE"/>
    <w:rsid w:val="00BB6083"/>
    <w:rsid w:val="00BC240C"/>
    <w:rsid w:val="00BD32A3"/>
    <w:rsid w:val="00BD3792"/>
    <w:rsid w:val="00BD5B91"/>
    <w:rsid w:val="00BF0409"/>
    <w:rsid w:val="00C03C28"/>
    <w:rsid w:val="00C06A90"/>
    <w:rsid w:val="00C2173E"/>
    <w:rsid w:val="00C420B8"/>
    <w:rsid w:val="00C5323B"/>
    <w:rsid w:val="00C533D0"/>
    <w:rsid w:val="00C656B7"/>
    <w:rsid w:val="00C73AD8"/>
    <w:rsid w:val="00CA1071"/>
    <w:rsid w:val="00CC344F"/>
    <w:rsid w:val="00CC71D0"/>
    <w:rsid w:val="00CD4EFC"/>
    <w:rsid w:val="00CD59F7"/>
    <w:rsid w:val="00CD5DCF"/>
    <w:rsid w:val="00CE3865"/>
    <w:rsid w:val="00CE5042"/>
    <w:rsid w:val="00CF2ECE"/>
    <w:rsid w:val="00CF4248"/>
    <w:rsid w:val="00D05980"/>
    <w:rsid w:val="00D15C1A"/>
    <w:rsid w:val="00D32BE3"/>
    <w:rsid w:val="00D35A8F"/>
    <w:rsid w:val="00D77BEC"/>
    <w:rsid w:val="00D87615"/>
    <w:rsid w:val="00DC17E6"/>
    <w:rsid w:val="00DC3377"/>
    <w:rsid w:val="00DD6192"/>
    <w:rsid w:val="00DD69E9"/>
    <w:rsid w:val="00DE7156"/>
    <w:rsid w:val="00DF6034"/>
    <w:rsid w:val="00DF7A05"/>
    <w:rsid w:val="00E02435"/>
    <w:rsid w:val="00E26A52"/>
    <w:rsid w:val="00E36B6C"/>
    <w:rsid w:val="00E64FD0"/>
    <w:rsid w:val="00E73877"/>
    <w:rsid w:val="00E73F64"/>
    <w:rsid w:val="00EA3651"/>
    <w:rsid w:val="00EB5289"/>
    <w:rsid w:val="00EC4A69"/>
    <w:rsid w:val="00EC4E23"/>
    <w:rsid w:val="00ED2F5C"/>
    <w:rsid w:val="00ED6DD5"/>
    <w:rsid w:val="00EE2626"/>
    <w:rsid w:val="00EF2546"/>
    <w:rsid w:val="00F016E3"/>
    <w:rsid w:val="00F05BDC"/>
    <w:rsid w:val="00F219BE"/>
    <w:rsid w:val="00F3496C"/>
    <w:rsid w:val="00F43C01"/>
    <w:rsid w:val="00F6098E"/>
    <w:rsid w:val="00F83DCC"/>
    <w:rsid w:val="00FA0698"/>
    <w:rsid w:val="00FA11BF"/>
    <w:rsid w:val="00FA500A"/>
    <w:rsid w:val="00FE0362"/>
    <w:rsid w:val="00FF0B19"/>
    <w:rsid w:val="00FF31A3"/>
    <w:rsid w:val="00FF5A97"/>
    <w:rsid w:val="0D754B34"/>
    <w:rsid w:val="160C6D87"/>
    <w:rsid w:val="1BF15D4D"/>
    <w:rsid w:val="233E6308"/>
    <w:rsid w:val="2A1406A1"/>
    <w:rsid w:val="2F1A0656"/>
    <w:rsid w:val="30DB59D1"/>
    <w:rsid w:val="34F160DA"/>
    <w:rsid w:val="375B6B80"/>
    <w:rsid w:val="42BA0BF0"/>
    <w:rsid w:val="5046471A"/>
    <w:rsid w:val="6F7D77E7"/>
    <w:rsid w:val="711E427D"/>
    <w:rsid w:val="778F0A61"/>
    <w:rsid w:val="77BB67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3792"/>
    <w:pPr>
      <w:widowControl w:val="0"/>
      <w:jc w:val="both"/>
    </w:pPr>
    <w:rPr>
      <w:rFonts w:ascii="Times New Roman" w:eastAsia="宋体" w:hAnsi="Times New Roman" w:cs="Times New Roman"/>
      <w:kern w:val="2"/>
      <w:sz w:val="21"/>
      <w:szCs w:val="24"/>
    </w:rPr>
  </w:style>
  <w:style w:type="paragraph" w:styleId="4">
    <w:name w:val="heading 4"/>
    <w:basedOn w:val="a"/>
    <w:next w:val="a"/>
    <w:uiPriority w:val="9"/>
    <w:unhideWhenUsed/>
    <w:qFormat/>
    <w:rsid w:val="00BD3792"/>
    <w:pPr>
      <w:numPr>
        <w:ilvl w:val="3"/>
        <w:numId w:val="1"/>
      </w:numPr>
      <w:tabs>
        <w:tab w:val="left" w:pos="0"/>
      </w:tabs>
      <w:adjustRightInd w:val="0"/>
      <w:snapToGrid w:val="0"/>
      <w:ind w:left="0" w:firstLineChars="200" w:firstLine="200"/>
      <w:outlineLvl w:val="3"/>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BD3792"/>
    <w:pPr>
      <w:ind w:leftChars="2500" w:left="100"/>
    </w:pPr>
  </w:style>
  <w:style w:type="paragraph" w:styleId="a4">
    <w:name w:val="footer"/>
    <w:basedOn w:val="a"/>
    <w:qFormat/>
    <w:rsid w:val="00BD3792"/>
    <w:pPr>
      <w:tabs>
        <w:tab w:val="center" w:pos="4153"/>
        <w:tab w:val="right" w:pos="8306"/>
      </w:tabs>
      <w:snapToGrid w:val="0"/>
      <w:jc w:val="left"/>
    </w:pPr>
    <w:rPr>
      <w:sz w:val="18"/>
      <w:szCs w:val="18"/>
    </w:rPr>
  </w:style>
  <w:style w:type="paragraph" w:styleId="a5">
    <w:name w:val="header"/>
    <w:basedOn w:val="a"/>
    <w:qFormat/>
    <w:rsid w:val="00BD379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BD3792"/>
    <w:pPr>
      <w:spacing w:before="100" w:beforeAutospacing="1" w:after="100" w:afterAutospacing="1"/>
      <w:jc w:val="left"/>
    </w:pPr>
    <w:rPr>
      <w:kern w:val="0"/>
      <w:sz w:val="24"/>
    </w:rPr>
  </w:style>
  <w:style w:type="table" w:styleId="a7">
    <w:name w:val="Table Grid"/>
    <w:basedOn w:val="a1"/>
    <w:qFormat/>
    <w:rsid w:val="00BD37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BD3792"/>
  </w:style>
  <w:style w:type="character" w:styleId="a9">
    <w:name w:val="Hyperlink"/>
    <w:basedOn w:val="a0"/>
    <w:uiPriority w:val="99"/>
    <w:qFormat/>
    <w:rsid w:val="00BD3792"/>
    <w:rPr>
      <w:rFonts w:cs="Times New Roman"/>
      <w:color w:val="0000FF"/>
      <w:u w:val="single"/>
    </w:rPr>
  </w:style>
  <w:style w:type="paragraph" w:customStyle="1" w:styleId="1">
    <w:name w:val="列出段落1"/>
    <w:basedOn w:val="a"/>
    <w:qFormat/>
    <w:rsid w:val="00BD3792"/>
    <w:pPr>
      <w:ind w:firstLineChars="200" w:firstLine="420"/>
    </w:pPr>
    <w:rPr>
      <w:rFonts w:ascii="Calibri" w:hAnsi="Calibri"/>
      <w:szCs w:val="22"/>
    </w:rPr>
  </w:style>
  <w:style w:type="paragraph" w:styleId="aa">
    <w:name w:val="List Paragraph"/>
    <w:basedOn w:val="a"/>
    <w:uiPriority w:val="34"/>
    <w:qFormat/>
    <w:rsid w:val="00BD379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9</Pages>
  <Words>968</Words>
  <Characters>5524</Characters>
  <Application>Microsoft Office Word</Application>
  <DocSecurity>0</DocSecurity>
  <Lines>46</Lines>
  <Paragraphs>12</Paragraphs>
  <ScaleCrop>false</ScaleCrop>
  <Company>信念技术论坛</Company>
  <LinksUpToDate>false</LinksUpToDate>
  <CharactersWithSpaces>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益赫财办〔2013〕15号</dc:title>
  <dc:creator>Administrator</dc:creator>
  <cp:lastModifiedBy>xbany</cp:lastModifiedBy>
  <cp:revision>14</cp:revision>
  <cp:lastPrinted>2017-12-04T09:37:00Z</cp:lastPrinted>
  <dcterms:created xsi:type="dcterms:W3CDTF">2018-05-31T03:15:00Z</dcterms:created>
  <dcterms:modified xsi:type="dcterms:W3CDTF">2021-08-02T00:43:00Z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2EFB44268F9C42AA93A2D3DB884A9417</vt:lpwstr>
  </property>
</Properties>
</file>