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hint="eastAsia" w:ascii="黑体" w:eastAsia="黑体"/>
          <w:sz w:val="32"/>
          <w:szCs w:val="32"/>
          <w:lang w:val="en-US" w:eastAsia="zh-CN"/>
        </w:rPr>
      </w:pPr>
      <w:r>
        <w:rPr>
          <w:rFonts w:hint="eastAsia" w:ascii="黑体" w:eastAsia="黑体" w:cs="黑体"/>
          <w:sz w:val="32"/>
          <w:szCs w:val="32"/>
        </w:rPr>
        <w:t>附件：</w:t>
      </w:r>
    </w:p>
    <w:p>
      <w:pPr>
        <w:spacing w:before="156" w:beforeLines="50" w:after="156" w:afterLines="50"/>
        <w:jc w:val="center"/>
        <w:rPr>
          <w:rFonts w:ascii="方正小标宋简体" w:eastAsia="方正小标宋简体" w:cs="方正小标宋_GBK"/>
          <w:sz w:val="36"/>
          <w:szCs w:val="36"/>
        </w:rPr>
      </w:pPr>
      <w:r>
        <w:rPr>
          <w:rFonts w:hint="eastAsia" w:ascii="方正小标宋简体" w:eastAsia="方正小标宋简体" w:cs="方正小标宋_GBK"/>
          <w:sz w:val="36"/>
          <w:szCs w:val="36"/>
        </w:rPr>
        <w:t>202</w:t>
      </w:r>
      <w:r>
        <w:rPr>
          <w:rFonts w:hint="eastAsia" w:ascii="方正小标宋简体" w:eastAsia="方正小标宋简体" w:cs="方正小标宋_GBK"/>
          <w:sz w:val="36"/>
          <w:szCs w:val="36"/>
          <w:lang w:val="en-US" w:eastAsia="zh-CN"/>
        </w:rPr>
        <w:t>1</w:t>
      </w:r>
      <w:r>
        <w:rPr>
          <w:rFonts w:hint="eastAsia" w:ascii="方正小标宋简体" w:eastAsia="方正小标宋简体" w:cs="方正小标宋_GBK"/>
          <w:sz w:val="36"/>
          <w:szCs w:val="36"/>
        </w:rPr>
        <w:t>年度部门整体支出绩效自评指标计分表</w:t>
      </w:r>
    </w:p>
    <w:tbl>
      <w:tblPr>
        <w:tblStyle w:val="6"/>
        <w:tblW w:w="94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79"/>
        <w:gridCol w:w="707"/>
        <w:gridCol w:w="943"/>
        <w:gridCol w:w="707"/>
        <w:gridCol w:w="2973"/>
        <w:gridCol w:w="3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9" w:hRule="atLeast"/>
          <w:tblHeader/>
          <w:jc w:val="center"/>
        </w:trPr>
        <w:tc>
          <w:tcPr>
            <w:tcW w:w="579" w:type="dxa"/>
            <w:tcMar>
              <w:top w:w="10" w:type="dxa"/>
              <w:left w:w="10" w:type="dxa"/>
              <w:bottom w:w="0" w:type="dxa"/>
              <w:right w:w="10" w:type="dxa"/>
            </w:tcMar>
            <w:vAlign w:val="center"/>
          </w:tcPr>
          <w:p>
            <w:pPr>
              <w:spacing w:line="240" w:lineRule="exact"/>
              <w:jc w:val="center"/>
              <w:rPr>
                <w:rFonts w:ascii="宋体" w:cs="宋体"/>
                <w:b/>
                <w:bCs/>
              </w:rPr>
            </w:pPr>
            <w:r>
              <w:rPr>
                <w:rFonts w:hint="eastAsia" w:ascii="宋体" w:hAnsi="宋体" w:cs="宋体"/>
                <w:b/>
                <w:bCs/>
              </w:rPr>
              <w:t>一级</w:t>
            </w:r>
            <w:r>
              <w:rPr>
                <w:rFonts w:ascii="宋体" w:cs="宋体"/>
                <w:b/>
                <w:bCs/>
              </w:rPr>
              <w:br w:type="textWrapping"/>
            </w:r>
            <w:r>
              <w:rPr>
                <w:rFonts w:hint="eastAsia" w:ascii="宋体" w:hAnsi="宋体" w:cs="宋体"/>
                <w:b/>
                <w:bCs/>
              </w:rPr>
              <w:t>指标</w:t>
            </w:r>
          </w:p>
        </w:tc>
        <w:tc>
          <w:tcPr>
            <w:tcW w:w="707" w:type="dxa"/>
            <w:tcMar>
              <w:top w:w="10" w:type="dxa"/>
              <w:left w:w="10" w:type="dxa"/>
              <w:bottom w:w="0" w:type="dxa"/>
              <w:right w:w="10" w:type="dxa"/>
            </w:tcMar>
            <w:vAlign w:val="center"/>
          </w:tcPr>
          <w:p>
            <w:pPr>
              <w:spacing w:line="240" w:lineRule="exact"/>
              <w:ind w:right="-174" w:rightChars="-83"/>
              <w:jc w:val="center"/>
              <w:rPr>
                <w:rFonts w:ascii="宋体" w:cs="宋体"/>
                <w:b/>
                <w:bCs/>
              </w:rPr>
            </w:pPr>
            <w:r>
              <w:rPr>
                <w:rFonts w:hint="eastAsia" w:ascii="宋体" w:hAnsi="宋体" w:cs="宋体"/>
                <w:b/>
                <w:bCs/>
              </w:rPr>
              <w:t>二级</w:t>
            </w:r>
          </w:p>
          <w:p>
            <w:pPr>
              <w:spacing w:line="240" w:lineRule="exact"/>
              <w:ind w:right="-174" w:rightChars="-83"/>
              <w:jc w:val="center"/>
              <w:rPr>
                <w:rFonts w:ascii="宋体" w:cs="宋体"/>
                <w:b/>
                <w:bCs/>
              </w:rPr>
            </w:pPr>
            <w:r>
              <w:rPr>
                <w:rFonts w:hint="eastAsia" w:ascii="宋体" w:hAnsi="宋体" w:cs="宋体"/>
                <w:b/>
                <w:bCs/>
              </w:rPr>
              <w:t>指标</w:t>
            </w:r>
          </w:p>
        </w:tc>
        <w:tc>
          <w:tcPr>
            <w:tcW w:w="943" w:type="dxa"/>
            <w:tcMar>
              <w:top w:w="10" w:type="dxa"/>
              <w:left w:w="10" w:type="dxa"/>
              <w:bottom w:w="0" w:type="dxa"/>
              <w:right w:w="10" w:type="dxa"/>
            </w:tcMar>
            <w:vAlign w:val="center"/>
          </w:tcPr>
          <w:p>
            <w:pPr>
              <w:spacing w:line="240" w:lineRule="exact"/>
              <w:jc w:val="center"/>
              <w:rPr>
                <w:rFonts w:ascii="宋体" w:cs="宋体"/>
                <w:b/>
                <w:bCs/>
              </w:rPr>
            </w:pPr>
            <w:r>
              <w:rPr>
                <w:rFonts w:hint="eastAsia" w:ascii="宋体" w:hAnsi="宋体" w:cs="宋体"/>
                <w:b/>
                <w:bCs/>
              </w:rPr>
              <w:t>三级</w:t>
            </w:r>
          </w:p>
          <w:p>
            <w:pPr>
              <w:spacing w:line="240" w:lineRule="exact"/>
              <w:jc w:val="center"/>
              <w:rPr>
                <w:rFonts w:ascii="宋体" w:cs="宋体"/>
                <w:b/>
                <w:bCs/>
              </w:rPr>
            </w:pPr>
            <w:r>
              <w:rPr>
                <w:rFonts w:hint="eastAsia" w:ascii="宋体" w:hAnsi="宋体" w:cs="宋体"/>
                <w:b/>
                <w:bCs/>
              </w:rPr>
              <w:t>指标</w:t>
            </w:r>
          </w:p>
        </w:tc>
        <w:tc>
          <w:tcPr>
            <w:tcW w:w="707" w:type="dxa"/>
            <w:vAlign w:val="center"/>
          </w:tcPr>
          <w:p>
            <w:pPr>
              <w:spacing w:line="240" w:lineRule="exact"/>
              <w:ind w:left="105" w:leftChars="50" w:right="105" w:rightChars="50"/>
              <w:jc w:val="center"/>
              <w:rPr>
                <w:rFonts w:ascii="宋体" w:cs="宋体"/>
                <w:b/>
                <w:bCs/>
              </w:rPr>
            </w:pPr>
            <w:r>
              <w:rPr>
                <w:rFonts w:hint="eastAsia" w:ascii="宋体" w:hAnsi="宋体" w:cs="宋体"/>
                <w:b/>
                <w:bCs/>
              </w:rPr>
              <w:t>自评分</w:t>
            </w:r>
          </w:p>
        </w:tc>
        <w:tc>
          <w:tcPr>
            <w:tcW w:w="2973" w:type="dxa"/>
            <w:tcMar>
              <w:top w:w="10" w:type="dxa"/>
              <w:left w:w="10" w:type="dxa"/>
              <w:bottom w:w="0" w:type="dxa"/>
              <w:right w:w="10" w:type="dxa"/>
            </w:tcMar>
            <w:vAlign w:val="center"/>
          </w:tcPr>
          <w:p>
            <w:pPr>
              <w:spacing w:line="240" w:lineRule="exact"/>
              <w:ind w:left="105" w:leftChars="50" w:right="105" w:rightChars="50"/>
              <w:jc w:val="center"/>
              <w:rPr>
                <w:rFonts w:ascii="宋体" w:cs="宋体"/>
                <w:b/>
                <w:bCs/>
              </w:rPr>
            </w:pPr>
            <w:r>
              <w:rPr>
                <w:rFonts w:hint="eastAsia" w:ascii="宋体" w:hAnsi="宋体" w:cs="宋体"/>
                <w:b/>
                <w:bCs/>
              </w:rPr>
              <w:t>指标解释</w:t>
            </w:r>
          </w:p>
        </w:tc>
        <w:tc>
          <w:tcPr>
            <w:tcW w:w="3522" w:type="dxa"/>
            <w:tcMar>
              <w:top w:w="10" w:type="dxa"/>
              <w:left w:w="10" w:type="dxa"/>
              <w:bottom w:w="0" w:type="dxa"/>
              <w:right w:w="10" w:type="dxa"/>
            </w:tcMar>
            <w:vAlign w:val="center"/>
          </w:tcPr>
          <w:p>
            <w:pPr>
              <w:spacing w:line="240" w:lineRule="exact"/>
              <w:ind w:left="105" w:leftChars="50" w:right="105" w:rightChars="50"/>
              <w:jc w:val="center"/>
              <w:rPr>
                <w:rFonts w:ascii="宋体" w:cs="宋体"/>
                <w:b/>
                <w:bCs/>
              </w:rPr>
            </w:pPr>
            <w:r>
              <w:rPr>
                <w:rFonts w:hint="eastAsia" w:ascii="宋体" w:hAnsi="宋体" w:cs="宋体"/>
                <w:b/>
                <w:bCs/>
              </w:rPr>
              <w:t>指标说明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92"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投</w:t>
            </w:r>
            <w:r>
              <w:rPr>
                <w:rFonts w:ascii="宋体" w:hAnsi="宋体" w:cs="宋体"/>
              </w:rPr>
              <w:t xml:space="preserve">   </w:t>
            </w:r>
            <w:r>
              <w:rPr>
                <w:rFonts w:hint="eastAsia" w:ascii="宋体" w:hAnsi="宋体" w:cs="宋体"/>
              </w:rPr>
              <w:t>入（</w:t>
            </w:r>
            <w:r>
              <w:rPr>
                <w:rFonts w:ascii="宋体" w:hAnsi="宋体" w:cs="宋体"/>
              </w:rPr>
              <w:t>20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目标</w:t>
            </w:r>
            <w:r>
              <w:rPr>
                <w:rFonts w:ascii="宋体" w:cs="宋体"/>
              </w:rPr>
              <w:br w:type="textWrapping"/>
            </w:r>
            <w:r>
              <w:rPr>
                <w:rFonts w:hint="eastAsia" w:ascii="宋体" w:hAnsi="宋体" w:cs="宋体"/>
              </w:rPr>
              <w:t>设定（</w:t>
            </w:r>
            <w:r>
              <w:rPr>
                <w:rFonts w:ascii="宋体" w:hAnsi="宋体" w:cs="宋体"/>
              </w:rPr>
              <w:t>5</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绩效目标</w:t>
            </w:r>
          </w:p>
          <w:p>
            <w:pPr>
              <w:spacing w:line="240" w:lineRule="exact"/>
              <w:jc w:val="center"/>
              <w:rPr>
                <w:rFonts w:ascii="宋体" w:cs="宋体"/>
              </w:rPr>
            </w:pPr>
            <w:r>
              <w:rPr>
                <w:rFonts w:hint="eastAsia" w:ascii="宋体" w:hAnsi="宋体" w:cs="宋体"/>
              </w:rPr>
              <w:t>合理性（</w:t>
            </w:r>
            <w:r>
              <w:rPr>
                <w:rFonts w:ascii="宋体" w:hAnsi="宋体" w:cs="宋体"/>
              </w:rPr>
              <w:t>2</w:t>
            </w:r>
            <w:r>
              <w:rPr>
                <w:rFonts w:hint="eastAsia" w:ascii="宋体" w:hAnsi="宋体" w:cs="宋体"/>
              </w:rPr>
              <w:t>分）</w:t>
            </w:r>
          </w:p>
        </w:tc>
        <w:tc>
          <w:tcPr>
            <w:tcW w:w="707" w:type="dxa"/>
            <w:vAlign w:val="center"/>
          </w:tcPr>
          <w:p>
            <w:pPr>
              <w:numPr>
                <w:ilvl w:val="0"/>
                <w:numId w:val="0"/>
              </w:numPr>
              <w:tabs>
                <w:tab w:val="left" w:pos="2604"/>
              </w:tabs>
              <w:spacing w:line="240" w:lineRule="exact"/>
              <w:ind w:left="420" w:leftChars="0" w:right="105" w:rightChars="50"/>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部门所设立的整体绩效目标依据是否充分，是否符合客观实际，用以反映和考核部门整体绩效目标与部门履职、年度工作任务的相符性情况。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①是否符合国家法律法规、国民经济和社会发展总体规划；</w:t>
            </w:r>
            <w:r>
              <w:rPr>
                <w:rFonts w:ascii="宋体" w:cs="宋体"/>
              </w:rPr>
              <w:br w:type="textWrapping"/>
            </w:r>
            <w:r>
              <w:rPr>
                <w:rFonts w:hint="eastAsia" w:ascii="宋体" w:hAnsi="宋体" w:cs="宋体"/>
              </w:rPr>
              <w:t>②是否符合部门“三定”方案确定的职责；</w:t>
            </w:r>
            <w:r>
              <w:rPr>
                <w:rFonts w:ascii="宋体" w:cs="宋体"/>
              </w:rPr>
              <w:br w:type="textWrapping"/>
            </w:r>
            <w:r>
              <w:rPr>
                <w:rFonts w:hint="eastAsia" w:ascii="宋体" w:hAnsi="宋体" w:cs="宋体"/>
              </w:rPr>
              <w:t>③是否符合部门制定的中长期实施规划。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37"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绩效指标</w:t>
            </w:r>
          </w:p>
          <w:p>
            <w:pPr>
              <w:spacing w:line="240" w:lineRule="exact"/>
              <w:jc w:val="center"/>
              <w:rPr>
                <w:rFonts w:ascii="宋体" w:cs="宋体"/>
              </w:rPr>
            </w:pPr>
            <w:r>
              <w:rPr>
                <w:rFonts w:hint="eastAsia" w:ascii="宋体" w:hAnsi="宋体" w:cs="宋体"/>
              </w:rPr>
              <w:t>明确性（</w:t>
            </w:r>
            <w:r>
              <w:rPr>
                <w:rFonts w:ascii="宋体" w:hAnsi="宋体" w:cs="宋体"/>
              </w:rPr>
              <w:t>3</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3</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部门依据整体绩效目标所设定的绩效指标是否清晰、细化、可衡量，用以反映和考核部门整体绩效目标的明细化情况。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①是否将部门整体的绩效目标细化分解为具体的工作任务；</w:t>
            </w:r>
            <w:r>
              <w:rPr>
                <w:rFonts w:ascii="宋体" w:cs="宋体"/>
              </w:rPr>
              <w:br w:type="textWrapping"/>
            </w:r>
            <w:r>
              <w:rPr>
                <w:rFonts w:hint="eastAsia" w:ascii="宋体" w:hAnsi="宋体" w:cs="宋体"/>
              </w:rPr>
              <w:t>②是否通过清晰、可衡量的指标值予以体现。</w:t>
            </w:r>
            <w:r>
              <w:rPr>
                <w:rFonts w:ascii="宋体" w:hAnsi="宋体" w:cs="宋体"/>
              </w:rPr>
              <w:t xml:space="preserve">    </w:t>
            </w:r>
            <w:r>
              <w:rPr>
                <w:rFonts w:hint="eastAsia" w:ascii="宋体" w:hAnsi="宋体" w:cs="宋体"/>
              </w:rPr>
              <w:t>③是否与部门年度的任务数或计划数相对应；</w:t>
            </w:r>
            <w:r>
              <w:rPr>
                <w:rFonts w:ascii="宋体" w:cs="宋体"/>
              </w:rPr>
              <w:br w:type="textWrapping"/>
            </w:r>
            <w:r>
              <w:rPr>
                <w:rFonts w:hint="eastAsia" w:ascii="宋体" w:hAnsi="宋体" w:cs="宋体"/>
              </w:rPr>
              <w:t>④是否与本年度部门预算资金相匹配。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31" w:hRule="atLeast"/>
          <w:jc w:val="center"/>
        </w:trPr>
        <w:tc>
          <w:tcPr>
            <w:tcW w:w="579" w:type="dxa"/>
            <w:vMerge w:val="continue"/>
            <w:vAlign w:val="center"/>
          </w:tcPr>
          <w:p>
            <w:pPr>
              <w:spacing w:line="240" w:lineRule="exact"/>
              <w:rPr>
                <w:rFonts w:ascii="宋体" w:cs="宋体"/>
              </w:rPr>
            </w:pP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r>
              <w:rPr>
                <w:rFonts w:ascii="宋体" w:cs="宋体"/>
              </w:rPr>
              <w:br w:type="textWrapping"/>
            </w:r>
            <w:r>
              <w:rPr>
                <w:rFonts w:hint="eastAsia" w:ascii="宋体" w:hAnsi="宋体" w:cs="宋体"/>
              </w:rPr>
              <w:t>配置（</w:t>
            </w:r>
            <w:r>
              <w:rPr>
                <w:rFonts w:ascii="宋体" w:hAnsi="宋体" w:cs="宋体"/>
              </w:rPr>
              <w:t>15</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在职人员</w:t>
            </w:r>
          </w:p>
          <w:p>
            <w:pPr>
              <w:spacing w:line="240" w:lineRule="exact"/>
              <w:jc w:val="center"/>
              <w:rPr>
                <w:rFonts w:ascii="宋体" w:cs="宋体"/>
              </w:rPr>
            </w:pPr>
            <w:r>
              <w:rPr>
                <w:rFonts w:hint="eastAsia" w:ascii="宋体" w:hAnsi="宋体" w:cs="宋体"/>
              </w:rPr>
              <w:t>控制率（</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部门本年度实际在职人员数与编制数的比率，用以反映和考核部门对人员成本的控制程度。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在职人员控制率</w:t>
            </w:r>
            <w:r>
              <w:rPr>
                <w:rFonts w:ascii="宋体" w:hAnsi="宋体" w:cs="宋体"/>
              </w:rPr>
              <w:t>=</w:t>
            </w:r>
            <w:r>
              <w:rPr>
                <w:rFonts w:hint="eastAsia" w:ascii="宋体" w:hAnsi="宋体" w:cs="宋体"/>
              </w:rPr>
              <w:t>（在职人员数</w:t>
            </w:r>
            <w:r>
              <w:rPr>
                <w:rFonts w:ascii="宋体" w:hAnsi="宋体" w:cs="宋体"/>
              </w:rPr>
              <w:t>/</w:t>
            </w:r>
            <w:r>
              <w:rPr>
                <w:rFonts w:hint="eastAsia" w:ascii="宋体" w:hAnsi="宋体" w:cs="宋体"/>
              </w:rPr>
              <w:t>编制数）×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在职人员数：部门实际在职人数，以财政部确定的部门决算编制口径为准。</w:t>
            </w:r>
            <w:r>
              <w:rPr>
                <w:rFonts w:ascii="宋体" w:cs="宋体"/>
              </w:rPr>
              <w:br w:type="textWrapping"/>
            </w:r>
            <w:r>
              <w:rPr>
                <w:rFonts w:hint="eastAsia" w:ascii="宋体" w:hAnsi="宋体" w:cs="宋体"/>
              </w:rPr>
              <w:t>编制数：机构编制部门核定批复的部门的人员编制数。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30"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“三公经费”</w:t>
            </w:r>
          </w:p>
          <w:p>
            <w:pPr>
              <w:spacing w:line="240" w:lineRule="exact"/>
              <w:jc w:val="center"/>
              <w:rPr>
                <w:rFonts w:ascii="宋体" w:cs="宋体"/>
              </w:rPr>
            </w:pPr>
            <w:r>
              <w:rPr>
                <w:rFonts w:hint="eastAsia" w:ascii="宋体" w:hAnsi="宋体" w:cs="宋体"/>
              </w:rPr>
              <w:t>变动率（</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部门本年度“三公经费”预算数与上年度“三公经费”预算数的变动比率，用以反映和考核部门对控制重点行政成本的努力程度。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“三公经费”变动率</w:t>
            </w:r>
            <w:r>
              <w:rPr>
                <w:rFonts w:ascii="宋体" w:hAnsi="宋体" w:cs="宋体"/>
              </w:rPr>
              <w:t>=[</w:t>
            </w:r>
            <w:r>
              <w:rPr>
                <w:rFonts w:hint="eastAsia" w:ascii="宋体" w:hAnsi="宋体" w:cs="宋体"/>
              </w:rPr>
              <w:t>（本年度“三公经费”总额</w:t>
            </w:r>
            <w:r>
              <w:rPr>
                <w:rFonts w:ascii="宋体" w:hAnsi="宋体" w:cs="宋体"/>
              </w:rPr>
              <w:t>-</w:t>
            </w:r>
            <w:r>
              <w:rPr>
                <w:rFonts w:hint="eastAsia" w:ascii="宋体" w:hAnsi="宋体" w:cs="宋体"/>
              </w:rPr>
              <w:t>上年度“三公经费”总额）</w:t>
            </w:r>
            <w:r>
              <w:rPr>
                <w:rFonts w:ascii="宋体" w:hAnsi="宋体" w:cs="宋体"/>
              </w:rPr>
              <w:t>/</w:t>
            </w:r>
            <w:r>
              <w:rPr>
                <w:rFonts w:hint="eastAsia" w:ascii="宋体" w:hAnsi="宋体" w:cs="宋体"/>
              </w:rPr>
              <w:t>上年度“三公经费”总额</w:t>
            </w:r>
            <w:r>
              <w:rPr>
                <w:rFonts w:ascii="宋体" w:hAnsi="宋体" w:cs="宋体"/>
              </w:rPr>
              <w:t>]</w:t>
            </w:r>
            <w:r>
              <w:rPr>
                <w:rFonts w:hint="eastAsia" w:ascii="宋体" w:hAnsi="宋体" w:cs="宋体"/>
              </w:rPr>
              <w:t>×</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“三公经费”：年度预算安排的因公出国（境）费、公务车辆购置及运行费和公务招待费。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10"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重点支出</w:t>
            </w:r>
          </w:p>
          <w:p>
            <w:pPr>
              <w:spacing w:line="240" w:lineRule="exact"/>
              <w:jc w:val="center"/>
              <w:rPr>
                <w:rFonts w:ascii="宋体" w:cs="宋体"/>
              </w:rPr>
            </w:pPr>
            <w:r>
              <w:rPr>
                <w:rFonts w:hint="eastAsia" w:ascii="宋体" w:hAnsi="宋体" w:cs="宋体"/>
              </w:rPr>
              <w:t>安排率（</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部门本年度预算安排的重点预算支出与部门预算总支出的比率，用以反映和考核部门对履行主要职责或完成重点任务的保障程度。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重点支出安排率</w:t>
            </w:r>
            <w:r>
              <w:rPr>
                <w:rFonts w:ascii="宋体" w:hAnsi="宋体" w:cs="宋体"/>
              </w:rPr>
              <w:t>=</w:t>
            </w:r>
            <w:r>
              <w:rPr>
                <w:rFonts w:hint="eastAsia" w:ascii="宋体" w:hAnsi="宋体" w:cs="宋体"/>
              </w:rPr>
              <w:t>（重点预算支出</w:t>
            </w:r>
            <w:r>
              <w:rPr>
                <w:rFonts w:ascii="宋体" w:hAnsi="宋体" w:cs="宋体"/>
              </w:rPr>
              <w:t>/</w:t>
            </w:r>
            <w:r>
              <w:rPr>
                <w:rFonts w:hint="eastAsia" w:ascii="宋体" w:hAnsi="宋体" w:cs="宋体"/>
              </w:rPr>
              <w:t>预算总支出）×</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重点预算支出：部门年度预算安排的，与本部门履职和发展密切相关、具有明显社会和经济影响、党委政府关心或社会比较关注的预算支出支出总额。</w:t>
            </w:r>
            <w:r>
              <w:rPr>
                <w:rFonts w:ascii="宋体" w:cs="宋体"/>
              </w:rPr>
              <w:br w:type="textWrapping"/>
            </w:r>
            <w:r>
              <w:rPr>
                <w:rFonts w:hint="eastAsia" w:ascii="宋体" w:hAnsi="宋体" w:cs="宋体"/>
              </w:rPr>
              <w:t>预算总支出：部门年度预算安排的预算支出支出总额。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62"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过</w:t>
            </w:r>
            <w:r>
              <w:rPr>
                <w:rFonts w:ascii="宋体" w:hAnsi="宋体" w:cs="宋体"/>
              </w:rPr>
              <w:t xml:space="preserve">   </w:t>
            </w:r>
            <w:r>
              <w:rPr>
                <w:rFonts w:hint="eastAsia" w:ascii="宋体" w:hAnsi="宋体" w:cs="宋体"/>
              </w:rPr>
              <w:t>程（</w:t>
            </w:r>
            <w:r>
              <w:rPr>
                <w:rFonts w:ascii="宋体" w:hAnsi="宋体" w:cs="宋体"/>
              </w:rPr>
              <w:t>30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r>
              <w:rPr>
                <w:rFonts w:ascii="宋体" w:cs="宋体"/>
              </w:rPr>
              <w:br w:type="textWrapping"/>
            </w:r>
            <w:r>
              <w:rPr>
                <w:rFonts w:hint="eastAsia" w:ascii="宋体" w:hAnsi="宋体" w:cs="宋体"/>
              </w:rPr>
              <w:t>执行（</w:t>
            </w:r>
            <w:r>
              <w:rPr>
                <w:rFonts w:ascii="宋体" w:hAnsi="宋体" w:cs="宋体"/>
              </w:rPr>
              <w:t>20</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p>
          <w:p>
            <w:pPr>
              <w:spacing w:line="240" w:lineRule="exact"/>
              <w:jc w:val="center"/>
              <w:rPr>
                <w:rFonts w:ascii="宋体" w:cs="宋体"/>
              </w:rPr>
            </w:pPr>
            <w:r>
              <w:rPr>
                <w:rFonts w:hint="eastAsia" w:ascii="宋体" w:hAnsi="宋体" w:cs="宋体"/>
              </w:rPr>
              <w:t>执行率（</w:t>
            </w:r>
            <w:r>
              <w:rPr>
                <w:rFonts w:ascii="宋体" w:hAnsi="宋体" w:cs="宋体"/>
              </w:rPr>
              <w:t>4</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3</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部门本年度预算完成数与预算数的比率，用以反映和考核部门预算完成程度。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预算执行率</w:t>
            </w:r>
            <w:r>
              <w:rPr>
                <w:rFonts w:ascii="宋体" w:hAnsi="宋体" w:cs="宋体"/>
              </w:rPr>
              <w:t>=</w:t>
            </w:r>
            <w:r>
              <w:rPr>
                <w:rFonts w:hint="eastAsia" w:ascii="宋体" w:hAnsi="宋体" w:cs="宋体"/>
              </w:rPr>
              <w:t>（预算执行数</w:t>
            </w:r>
            <w:r>
              <w:rPr>
                <w:rFonts w:ascii="宋体" w:hAnsi="宋体" w:cs="宋体"/>
              </w:rPr>
              <w:t>/</w:t>
            </w:r>
            <w:r>
              <w:rPr>
                <w:rFonts w:hint="eastAsia" w:ascii="宋体" w:hAnsi="宋体" w:cs="宋体"/>
              </w:rPr>
              <w:t>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预算执行数：部门本年度实际完成的预算数。</w:t>
            </w:r>
            <w:r>
              <w:rPr>
                <w:rFonts w:ascii="宋体" w:cs="宋体"/>
              </w:rPr>
              <w:br w:type="textWrapping"/>
            </w:r>
            <w:r>
              <w:rPr>
                <w:rFonts w:hint="eastAsia" w:ascii="宋体" w:hAnsi="宋体" w:cs="宋体"/>
              </w:rPr>
              <w:t>预算数：财政部门批复的本年度部门预算数。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24"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p>
          <w:p>
            <w:pPr>
              <w:spacing w:line="240" w:lineRule="exact"/>
              <w:jc w:val="center"/>
              <w:rPr>
                <w:rFonts w:ascii="宋体" w:cs="宋体"/>
              </w:rPr>
            </w:pPr>
            <w:r>
              <w:rPr>
                <w:rFonts w:hint="eastAsia" w:ascii="宋体" w:hAnsi="宋体" w:cs="宋体"/>
              </w:rPr>
              <w:t>调整率（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部门本年度预算调整数与预算数的比率，用以反映和考核部门预算的调整程度。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预算调整率</w:t>
            </w:r>
            <w:r>
              <w:rPr>
                <w:rFonts w:ascii="宋体" w:hAnsi="宋体" w:cs="宋体"/>
              </w:rPr>
              <w:t>=</w:t>
            </w:r>
            <w:r>
              <w:rPr>
                <w:rFonts w:hint="eastAsia" w:ascii="宋体" w:hAnsi="宋体" w:cs="宋体"/>
              </w:rPr>
              <w:t>（预算调整数</w:t>
            </w:r>
            <w:r>
              <w:rPr>
                <w:rFonts w:ascii="宋体" w:hAnsi="宋体" w:cs="宋体"/>
              </w:rPr>
              <w:t>/</w:t>
            </w:r>
            <w:r>
              <w:rPr>
                <w:rFonts w:hint="eastAsia" w:ascii="宋体" w:hAnsi="宋体" w:cs="宋体"/>
              </w:rPr>
              <w:t>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预算调整数：部门在本年度内涉及预算的追加、追减或结构调整的资金总和（因落实国家政策、发生不可抗力、上级部门或本级党委政府临时交办而产生的调整除外）。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1"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支付</w:t>
            </w:r>
          </w:p>
          <w:p>
            <w:pPr>
              <w:spacing w:line="240" w:lineRule="exact"/>
              <w:jc w:val="center"/>
              <w:rPr>
                <w:rFonts w:ascii="宋体" w:cs="宋体"/>
              </w:rPr>
            </w:pPr>
            <w:r>
              <w:rPr>
                <w:rFonts w:hint="eastAsia" w:ascii="宋体" w:hAnsi="宋体" w:cs="宋体"/>
              </w:rPr>
              <w:t>进度率（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部门实际支付进度与既定支付进度的比率，用以反映和考核部门预算执行的及时性和均衡性程度。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支付进度率</w:t>
            </w:r>
            <w:r>
              <w:rPr>
                <w:rFonts w:ascii="宋体" w:hAnsi="宋体" w:cs="宋体"/>
              </w:rPr>
              <w:t>=</w:t>
            </w:r>
            <w:r>
              <w:rPr>
                <w:rFonts w:hint="eastAsia" w:ascii="宋体" w:hAnsi="宋体" w:cs="宋体"/>
              </w:rPr>
              <w:t>（实际支付进度</w:t>
            </w:r>
            <w:r>
              <w:rPr>
                <w:rFonts w:ascii="宋体" w:hAnsi="宋体" w:cs="宋体"/>
              </w:rPr>
              <w:t>/</w:t>
            </w:r>
            <w:r>
              <w:rPr>
                <w:rFonts w:hint="eastAsia" w:ascii="宋体" w:hAnsi="宋体" w:cs="宋体"/>
              </w:rPr>
              <w:t>既定支付进度）×</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实际支付进度：部门在某一时点的支出预算执行总数与年度支出预算数的比率。</w:t>
            </w:r>
            <w:r>
              <w:rPr>
                <w:rFonts w:ascii="宋体" w:cs="宋体"/>
              </w:rPr>
              <w:br w:type="textWrapping"/>
            </w:r>
            <w:r>
              <w:rPr>
                <w:rFonts w:hint="eastAsia" w:ascii="宋体" w:hAnsi="宋体" w:cs="宋体"/>
              </w:rPr>
              <w:t>既定支付进度：由部门在申报部门整体绩效目标时，参照序时支付进度、前三年支付进度、本级部门平均支付进度水平等确定的，在某一时点应达到的支付进度（比率）。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9" w:hRule="atLeast"/>
          <w:jc w:val="center"/>
        </w:trPr>
        <w:tc>
          <w:tcPr>
            <w:tcW w:w="579" w:type="dxa"/>
            <w:vMerge w:val="continue"/>
            <w:tcMar>
              <w:top w:w="10" w:type="dxa"/>
              <w:left w:w="10" w:type="dxa"/>
              <w:bottom w:w="0" w:type="dxa"/>
              <w:right w:w="10" w:type="dxa"/>
            </w:tcMar>
            <w:textDirection w:val="tbRlV"/>
            <w:vAlign w:val="center"/>
          </w:tcPr>
          <w:p>
            <w:pPr>
              <w:spacing w:line="240" w:lineRule="exact"/>
              <w:jc w:val="center"/>
              <w:rPr>
                <w:rFonts w:ascii="宋体" w:cs="宋体"/>
              </w:rPr>
            </w:pPr>
          </w:p>
        </w:tc>
        <w:tc>
          <w:tcPr>
            <w:tcW w:w="707" w:type="dxa"/>
            <w:vMerge w:val="continue"/>
            <w:tcMar>
              <w:top w:w="10" w:type="dxa"/>
              <w:left w:w="10" w:type="dxa"/>
              <w:bottom w:w="0" w:type="dxa"/>
              <w:right w:w="10" w:type="dxa"/>
            </w:tcMar>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结转</w:t>
            </w:r>
          </w:p>
          <w:p>
            <w:pPr>
              <w:spacing w:line="240" w:lineRule="exact"/>
              <w:jc w:val="center"/>
              <w:rPr>
                <w:rFonts w:ascii="宋体" w:cs="宋体"/>
              </w:rPr>
            </w:pPr>
            <w:r>
              <w:rPr>
                <w:rFonts w:hint="eastAsia" w:ascii="宋体" w:hAnsi="宋体" w:cs="宋体"/>
              </w:rPr>
              <w:t>结余率（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部门本年度结转结余总额与支出预算数的比率，用以反映和考核部门对本年度结转结余资金的实际控制程度。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结转结余率</w:t>
            </w:r>
            <w:r>
              <w:rPr>
                <w:rFonts w:ascii="宋体" w:hAnsi="宋体" w:cs="宋体"/>
              </w:rPr>
              <w:t>=</w:t>
            </w:r>
            <w:r>
              <w:rPr>
                <w:rFonts w:hint="eastAsia" w:ascii="宋体" w:hAnsi="宋体" w:cs="宋体"/>
              </w:rPr>
              <w:t>结转结余总额</w:t>
            </w:r>
            <w:r>
              <w:rPr>
                <w:rFonts w:ascii="宋体" w:hAnsi="宋体" w:cs="宋体"/>
              </w:rPr>
              <w:t>/</w:t>
            </w:r>
            <w:r>
              <w:rPr>
                <w:rFonts w:hint="eastAsia" w:ascii="宋体" w:hAnsi="宋体" w:cs="宋体"/>
              </w:rPr>
              <w:t>支出预算数×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结转结余总额：部门本年度的结转资金与结余资金之和（以决算数为准）。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3"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结转结余</w:t>
            </w:r>
          </w:p>
          <w:p>
            <w:pPr>
              <w:spacing w:line="240" w:lineRule="exact"/>
              <w:jc w:val="center"/>
              <w:rPr>
                <w:rFonts w:ascii="宋体" w:cs="宋体"/>
              </w:rPr>
            </w:pPr>
            <w:r>
              <w:rPr>
                <w:rFonts w:hint="eastAsia" w:ascii="宋体" w:hAnsi="宋体" w:cs="宋体"/>
              </w:rPr>
              <w:t>变动率（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部门本年度结转结余资金总额与上年度结转结余资金总额的变动比率，用以反映和考核部门对控制结转结余资金的努力程度。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结转结余变动率</w:t>
            </w:r>
            <w:r>
              <w:rPr>
                <w:rFonts w:ascii="宋体" w:hAnsi="宋体" w:cs="宋体"/>
              </w:rPr>
              <w:t>=[</w:t>
            </w:r>
            <w:r>
              <w:rPr>
                <w:rFonts w:hint="eastAsia" w:ascii="宋体" w:hAnsi="宋体" w:cs="宋体"/>
              </w:rPr>
              <w:t>（本年度累计结转结余资金总额</w:t>
            </w:r>
            <w:r>
              <w:rPr>
                <w:rFonts w:ascii="宋体" w:hAnsi="宋体" w:cs="宋体"/>
              </w:rPr>
              <w:t>-</w:t>
            </w:r>
            <w:r>
              <w:rPr>
                <w:rFonts w:hint="eastAsia" w:ascii="宋体" w:hAnsi="宋体" w:cs="宋体"/>
              </w:rPr>
              <w:t>上年度累计结转结余资金总额）</w:t>
            </w:r>
            <w:r>
              <w:rPr>
                <w:rFonts w:ascii="宋体" w:hAnsi="宋体" w:cs="宋体"/>
              </w:rPr>
              <w:t>/</w:t>
            </w:r>
            <w:r>
              <w:rPr>
                <w:rFonts w:hint="eastAsia" w:ascii="宋体" w:hAnsi="宋体" w:cs="宋体"/>
              </w:rPr>
              <w:t>上年度累计结转结余资金总额</w:t>
            </w:r>
            <w:r>
              <w:rPr>
                <w:rFonts w:ascii="宋体" w:hAnsi="宋体" w:cs="宋体"/>
              </w:rPr>
              <w:t>]</w:t>
            </w:r>
            <w:r>
              <w:rPr>
                <w:rFonts w:hint="eastAsia" w:ascii="宋体" w:hAnsi="宋体" w:cs="宋体"/>
              </w:rPr>
              <w:t>×</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5"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公用经费</w:t>
            </w:r>
          </w:p>
          <w:p>
            <w:pPr>
              <w:spacing w:line="240" w:lineRule="exact"/>
              <w:jc w:val="center"/>
              <w:rPr>
                <w:rFonts w:ascii="宋体" w:cs="宋体"/>
              </w:rPr>
            </w:pPr>
            <w:r>
              <w:rPr>
                <w:rFonts w:hint="eastAsia" w:ascii="宋体" w:hAnsi="宋体" w:cs="宋体"/>
              </w:rPr>
              <w:t>控制率（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部门本年度实际支出的公用经费总额与预算安排的公用经费总额的比率，用以反映和考核部门对机构运转成本的实际控制程度。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公用经费控制率</w:t>
            </w:r>
            <w:r>
              <w:rPr>
                <w:rFonts w:ascii="宋体" w:hAnsi="宋体" w:cs="宋体"/>
              </w:rPr>
              <w:t>=</w:t>
            </w:r>
            <w:r>
              <w:rPr>
                <w:rFonts w:hint="eastAsia" w:ascii="宋体" w:hAnsi="宋体" w:cs="宋体"/>
              </w:rPr>
              <w:t>（实际支出公用经费总额</w:t>
            </w:r>
            <w:r>
              <w:rPr>
                <w:rFonts w:ascii="宋体" w:hAnsi="宋体" w:cs="宋体"/>
              </w:rPr>
              <w:t>/</w:t>
            </w:r>
            <w:r>
              <w:rPr>
                <w:rFonts w:hint="eastAsia" w:ascii="宋体" w:hAnsi="宋体" w:cs="宋体"/>
              </w:rPr>
              <w:t>预算安排公用经费总额）×</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“三公经费”控制率（</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部门本年度“三公经费”实际支出数与预算安排数的比率，用以反映和考核部门对“三公经费”的实际控制程度。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“三公经费”控制率</w:t>
            </w:r>
            <w:r>
              <w:rPr>
                <w:rFonts w:ascii="宋体" w:hAnsi="宋体" w:cs="宋体"/>
              </w:rPr>
              <w:t>=</w:t>
            </w:r>
            <w:r>
              <w:rPr>
                <w:rFonts w:hint="eastAsia" w:ascii="宋体" w:hAnsi="宋体" w:cs="宋体"/>
              </w:rPr>
              <w:t>（“三公经费”实际支出数</w:t>
            </w:r>
            <w:r>
              <w:rPr>
                <w:rFonts w:ascii="宋体" w:hAnsi="宋体" w:cs="宋体"/>
              </w:rPr>
              <w:t>/</w:t>
            </w:r>
            <w:r>
              <w:rPr>
                <w:rFonts w:hint="eastAsia" w:ascii="宋体" w:hAnsi="宋体" w:cs="宋体"/>
              </w:rPr>
              <w:t>“三公经费”预算安排数）×</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20"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政府采购</w:t>
            </w:r>
          </w:p>
          <w:p>
            <w:pPr>
              <w:spacing w:line="240" w:lineRule="exact"/>
              <w:jc w:val="center"/>
              <w:rPr>
                <w:rFonts w:ascii="宋体" w:cs="宋体"/>
              </w:rPr>
            </w:pPr>
            <w:r>
              <w:rPr>
                <w:rFonts w:hint="eastAsia" w:ascii="宋体" w:hAnsi="宋体" w:cs="宋体"/>
              </w:rPr>
              <w:t>执行率（</w:t>
            </w:r>
            <w:r>
              <w:rPr>
                <w:rFonts w:ascii="宋体" w:hAnsi="宋体" w:cs="宋体"/>
              </w:rPr>
              <w:t>4</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3</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部门本年度实际政府采购金额与年初政府采购预算的比率，用以反映和考核部门政府采购预算执行情况。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hAnsi="宋体" w:cs="宋体"/>
              </w:rPr>
            </w:pPr>
            <w:r>
              <w:rPr>
                <w:rFonts w:hint="eastAsia" w:ascii="宋体" w:hAnsi="宋体" w:cs="宋体"/>
              </w:rPr>
              <w:t>政府采购执行率</w:t>
            </w:r>
            <w:r>
              <w:rPr>
                <w:rFonts w:ascii="宋体" w:hAnsi="宋体" w:cs="宋体"/>
              </w:rPr>
              <w:t>=</w:t>
            </w:r>
            <w:r>
              <w:rPr>
                <w:rFonts w:hint="eastAsia" w:ascii="宋体" w:hAnsi="宋体" w:cs="宋体"/>
              </w:rPr>
              <w:t>（实际政府采购金额</w:t>
            </w:r>
            <w:r>
              <w:rPr>
                <w:rFonts w:ascii="宋体" w:hAnsi="宋体" w:cs="宋体"/>
              </w:rPr>
              <w:t>/</w:t>
            </w:r>
            <w:r>
              <w:rPr>
                <w:rFonts w:hint="eastAsia" w:ascii="宋体" w:hAnsi="宋体" w:cs="宋体"/>
              </w:rPr>
              <w:t>政府采购预算数）×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政府采购预算：采购机关根据事业发展计划和行政任务编制的、并经过规定程序批准的年度政府采购计划。</w:t>
            </w:r>
            <w:r>
              <w:rPr>
                <w:rFonts w:ascii="宋体" w:hAnsi="宋体" w:cs="宋体"/>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29" w:hRule="atLeast"/>
          <w:jc w:val="center"/>
        </w:trPr>
        <w:tc>
          <w:tcPr>
            <w:tcW w:w="579" w:type="dxa"/>
            <w:vMerge w:val="restart"/>
            <w:vAlign w:val="center"/>
          </w:tcPr>
          <w:p>
            <w:pPr>
              <w:spacing w:line="240" w:lineRule="exact"/>
              <w:jc w:val="center"/>
              <w:rPr>
                <w:rFonts w:ascii="宋体" w:cs="宋体"/>
              </w:rPr>
            </w:pPr>
            <w:r>
              <w:rPr>
                <w:rFonts w:hint="eastAsia" w:ascii="宋体" w:hAnsi="宋体" w:cs="宋体"/>
              </w:rPr>
              <w:t>过</w:t>
            </w:r>
          </w:p>
          <w:p>
            <w:pPr>
              <w:spacing w:line="240" w:lineRule="exact"/>
              <w:jc w:val="center"/>
              <w:rPr>
                <w:rFonts w:ascii="宋体" w:cs="宋体"/>
              </w:rPr>
            </w:pPr>
            <w:r>
              <w:rPr>
                <w:rFonts w:hint="eastAsia" w:ascii="宋体" w:hAnsi="宋体" w:cs="宋体"/>
              </w:rPr>
              <w:t>程（</w:t>
            </w:r>
            <w:r>
              <w:rPr>
                <w:rFonts w:ascii="宋体" w:hAnsi="宋体" w:cs="宋体"/>
              </w:rPr>
              <w:t>30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预算</w:t>
            </w:r>
            <w:r>
              <w:rPr>
                <w:rFonts w:ascii="宋体" w:cs="宋体"/>
              </w:rPr>
              <w:br w:type="textWrapping"/>
            </w:r>
            <w:r>
              <w:rPr>
                <w:rFonts w:hint="eastAsia" w:ascii="宋体" w:hAnsi="宋体" w:cs="宋体"/>
              </w:rPr>
              <w:t>管理（</w:t>
            </w:r>
            <w:r>
              <w:rPr>
                <w:rFonts w:ascii="宋体" w:hAnsi="宋体" w:cs="宋体"/>
              </w:rPr>
              <w:t>5</w:t>
            </w:r>
            <w:r>
              <w:rPr>
                <w:rFonts w:hint="eastAsia" w:ascii="宋体" w:hAnsi="宋体" w:cs="宋体"/>
              </w:rPr>
              <w:t>分）</w:t>
            </w:r>
          </w:p>
          <w:p>
            <w:pPr>
              <w:spacing w:line="240" w:lineRule="exact"/>
              <w:jc w:val="center"/>
              <w:rPr>
                <w:rFonts w:ascii="宋体" w:cs="宋体"/>
              </w:rPr>
            </w:pPr>
            <w:r>
              <w:rPr>
                <w:rFonts w:hint="eastAsia" w:ascii="宋体" w:hAnsi="宋体" w:cs="宋体"/>
              </w:rPr>
              <w:t>）</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管理制度</w:t>
            </w:r>
          </w:p>
          <w:p>
            <w:pPr>
              <w:spacing w:line="240" w:lineRule="exact"/>
              <w:jc w:val="center"/>
              <w:rPr>
                <w:rFonts w:ascii="宋体" w:cs="宋体"/>
              </w:rPr>
            </w:pPr>
            <w:r>
              <w:rPr>
                <w:rFonts w:hint="eastAsia" w:ascii="宋体" w:hAnsi="宋体" w:cs="宋体"/>
              </w:rPr>
              <w:t>健全性（</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部门为加强预算管理、规范财务行为而制定的管理制度是否健全完整，用以反映和考核部门预算管理制度对完成主要职责或促进事业发展的保障情况。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①是否已制定或具有预算资金管理办法、内部财务管理制度、会计核算制度等管理制度；</w:t>
            </w:r>
            <w:r>
              <w:rPr>
                <w:rFonts w:ascii="宋体" w:cs="宋体"/>
              </w:rPr>
              <w:br w:type="textWrapping"/>
            </w:r>
            <w:r>
              <w:rPr>
                <w:rFonts w:hint="eastAsia" w:ascii="宋体" w:hAnsi="宋体" w:cs="宋体"/>
              </w:rPr>
              <w:t>②相关管理制度是否合法、合规、完整；</w:t>
            </w:r>
            <w:r>
              <w:rPr>
                <w:rFonts w:ascii="宋体" w:cs="宋体"/>
              </w:rPr>
              <w:br w:type="textWrapping"/>
            </w:r>
            <w:r>
              <w:rPr>
                <w:rFonts w:hint="eastAsia" w:ascii="宋体" w:hAnsi="宋体" w:cs="宋体"/>
              </w:rPr>
              <w:t>③相关管理制度是否得到有效执行。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7"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资金使用</w:t>
            </w:r>
          </w:p>
          <w:p>
            <w:pPr>
              <w:spacing w:line="240" w:lineRule="exact"/>
              <w:jc w:val="center"/>
              <w:rPr>
                <w:rFonts w:ascii="宋体" w:cs="宋体"/>
              </w:rPr>
            </w:pPr>
            <w:r>
              <w:rPr>
                <w:rFonts w:hint="eastAsia" w:ascii="宋体" w:hAnsi="宋体" w:cs="宋体"/>
              </w:rPr>
              <w:t>合规性（</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部门使用预算资金是否符合相关的预算财务管理制度的规定，用以反映和考核部门预算资金的规范运行情况。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①是否符合国家财经法规和财务管理制度规定以及有关预算支出管理办法的规定；</w:t>
            </w:r>
            <w:r>
              <w:rPr>
                <w:rFonts w:ascii="宋体" w:cs="宋体"/>
              </w:rPr>
              <w:br w:type="textWrapping"/>
            </w:r>
            <w:r>
              <w:rPr>
                <w:rFonts w:hint="eastAsia" w:ascii="宋体" w:hAnsi="宋体" w:cs="宋体"/>
              </w:rPr>
              <w:t>②资金的拨付是否有完整的审批程序和手续；</w:t>
            </w:r>
            <w:r>
              <w:rPr>
                <w:rFonts w:ascii="宋体" w:cs="宋体"/>
              </w:rPr>
              <w:br w:type="textWrapping"/>
            </w:r>
            <w:r>
              <w:rPr>
                <w:rFonts w:hint="eastAsia" w:ascii="宋体" w:hAnsi="宋体" w:cs="宋体"/>
              </w:rPr>
              <w:t>③预算支出的重大开支是否经过评估论证；</w:t>
            </w:r>
            <w:r>
              <w:rPr>
                <w:rFonts w:ascii="宋体" w:cs="宋体"/>
              </w:rPr>
              <w:br w:type="textWrapping"/>
            </w:r>
            <w:r>
              <w:rPr>
                <w:rFonts w:hint="eastAsia" w:ascii="宋体" w:hAnsi="宋体" w:cs="宋体"/>
              </w:rPr>
              <w:t>④是否符合部门预算批复的用途；</w:t>
            </w:r>
            <w:r>
              <w:rPr>
                <w:rFonts w:ascii="宋体" w:cs="宋体"/>
              </w:rPr>
              <w:br w:type="textWrapping"/>
            </w:r>
            <w:r>
              <w:rPr>
                <w:rFonts w:hint="eastAsia" w:ascii="宋体" w:hAnsi="宋体" w:cs="宋体"/>
              </w:rPr>
              <w:t>⑤是否存在截留、挤占、挪用、虚列支出等情况。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2"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预决算信</w:t>
            </w:r>
          </w:p>
          <w:p>
            <w:pPr>
              <w:spacing w:line="240" w:lineRule="exact"/>
              <w:jc w:val="center"/>
              <w:rPr>
                <w:rFonts w:ascii="宋体" w:cs="宋体"/>
              </w:rPr>
            </w:pPr>
            <w:r>
              <w:rPr>
                <w:rFonts w:hint="eastAsia" w:ascii="宋体" w:hAnsi="宋体" w:cs="宋体"/>
              </w:rPr>
              <w:t>息公开性（</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部门是否按照政府信息公开有关规定公开相关预决算信息，用以反映和考核部门预决算管理的公开透明情况。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①是否按规定内容公开预决算信息；</w:t>
            </w:r>
            <w:r>
              <w:rPr>
                <w:rFonts w:ascii="宋体" w:cs="宋体"/>
              </w:rPr>
              <w:br w:type="textWrapping"/>
            </w:r>
            <w:r>
              <w:rPr>
                <w:rFonts w:hint="eastAsia" w:ascii="宋体" w:hAnsi="宋体" w:cs="宋体"/>
              </w:rPr>
              <w:t>②是否按规定时限公开预决算信息。</w:t>
            </w:r>
            <w:r>
              <w:rPr>
                <w:rFonts w:ascii="宋体" w:cs="宋体"/>
              </w:rPr>
              <w:br w:type="textWrapping"/>
            </w:r>
            <w:r>
              <w:rPr>
                <w:rFonts w:hint="eastAsia" w:ascii="宋体" w:hAnsi="宋体" w:cs="宋体"/>
              </w:rPr>
              <w:t>预决算信息是指与部门预算、执行、决算、监督、绩效等管理相关的信息。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7"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基础信息</w:t>
            </w:r>
          </w:p>
          <w:p>
            <w:pPr>
              <w:spacing w:line="240" w:lineRule="exact"/>
              <w:jc w:val="center"/>
              <w:rPr>
                <w:rFonts w:ascii="宋体" w:cs="宋体"/>
              </w:rPr>
            </w:pPr>
            <w:r>
              <w:rPr>
                <w:rFonts w:hint="eastAsia" w:ascii="宋体" w:hAnsi="宋体" w:cs="宋体"/>
              </w:rPr>
              <w:t>完善性（</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部门基础信息是否完善，用以反映和考核基础信息对预算管理工作的支撑情况。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①基础数据信息和会计信息资料是否真实；</w:t>
            </w:r>
            <w:r>
              <w:rPr>
                <w:rFonts w:ascii="宋体" w:cs="宋体"/>
              </w:rPr>
              <w:br w:type="textWrapping"/>
            </w:r>
            <w:r>
              <w:rPr>
                <w:rFonts w:hint="eastAsia" w:ascii="宋体" w:hAnsi="宋体" w:cs="宋体"/>
              </w:rPr>
              <w:t>②基础数据信息和会计信息资料是否完整；</w:t>
            </w:r>
            <w:r>
              <w:rPr>
                <w:rFonts w:ascii="宋体" w:cs="宋体"/>
              </w:rPr>
              <w:br w:type="textWrapping"/>
            </w:r>
            <w:r>
              <w:rPr>
                <w:rFonts w:hint="eastAsia" w:ascii="宋体" w:hAnsi="宋体" w:cs="宋体"/>
              </w:rPr>
              <w:t>③基础数据信息和会计信息资料是否准确。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89" w:hRule="atLeast"/>
          <w:jc w:val="center"/>
        </w:trPr>
        <w:tc>
          <w:tcPr>
            <w:tcW w:w="579" w:type="dxa"/>
            <w:vMerge w:val="continue"/>
            <w:tcMar>
              <w:top w:w="10" w:type="dxa"/>
              <w:left w:w="10" w:type="dxa"/>
              <w:bottom w:w="0" w:type="dxa"/>
              <w:right w:w="10" w:type="dxa"/>
            </w:tcMar>
            <w:textDirection w:val="tbRlV"/>
            <w:vAlign w:val="center"/>
          </w:tcPr>
          <w:p>
            <w:pPr>
              <w:spacing w:line="240" w:lineRule="exact"/>
              <w:jc w:val="center"/>
              <w:rPr>
                <w:rFonts w:ascii="宋体" w:cs="宋体"/>
              </w:rPr>
            </w:pP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资产</w:t>
            </w:r>
            <w:r>
              <w:rPr>
                <w:rFonts w:ascii="宋体" w:cs="宋体"/>
              </w:rPr>
              <w:br w:type="textWrapping"/>
            </w:r>
            <w:r>
              <w:rPr>
                <w:rFonts w:hint="eastAsia" w:ascii="宋体" w:hAnsi="宋体" w:cs="宋体"/>
              </w:rPr>
              <w:t>管理（</w:t>
            </w:r>
            <w:r>
              <w:rPr>
                <w:rFonts w:ascii="宋体" w:hAnsi="宋体" w:cs="宋体"/>
              </w:rPr>
              <w:t>5</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管理制度</w:t>
            </w:r>
          </w:p>
          <w:p>
            <w:pPr>
              <w:spacing w:line="240" w:lineRule="exact"/>
              <w:jc w:val="center"/>
              <w:rPr>
                <w:rFonts w:ascii="宋体" w:cs="宋体"/>
              </w:rPr>
            </w:pPr>
            <w:r>
              <w:rPr>
                <w:rFonts w:hint="eastAsia" w:ascii="宋体" w:hAnsi="宋体" w:cs="宋体"/>
              </w:rPr>
              <w:t>健全性（</w:t>
            </w:r>
            <w:r>
              <w:rPr>
                <w:rFonts w:ascii="宋体" w:hAnsi="宋体" w:cs="宋体"/>
              </w:rPr>
              <w:t>2</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部门为加强资产管理、规范资产管理行为而制定的管理制度是否健全完整，用以反映和考核部门资产管理制度对完成主要职责或促进社会发展的保障情况。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①是否已制定或具有资产管理制度；</w:t>
            </w:r>
            <w:r>
              <w:rPr>
                <w:rFonts w:ascii="宋体" w:hAnsi="宋体" w:cs="宋体"/>
              </w:rPr>
              <w:t xml:space="preserve">           </w:t>
            </w:r>
            <w:r>
              <w:rPr>
                <w:rFonts w:hint="eastAsia" w:ascii="宋体" w:hAnsi="宋体" w:cs="宋体"/>
              </w:rPr>
              <w:t>②相关资金管理制度是否合法、合规、完整；</w:t>
            </w:r>
            <w:r>
              <w:rPr>
                <w:rFonts w:ascii="宋体" w:cs="宋体"/>
              </w:rPr>
              <w:br w:type="textWrapping"/>
            </w:r>
            <w:r>
              <w:rPr>
                <w:rFonts w:hint="eastAsia" w:ascii="宋体" w:hAnsi="宋体" w:cs="宋体"/>
              </w:rPr>
              <w:t>③相关资产管理制度是否得到有效执行。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87" w:hRule="atLeast"/>
          <w:jc w:val="center"/>
        </w:trPr>
        <w:tc>
          <w:tcPr>
            <w:tcW w:w="579" w:type="dxa"/>
            <w:vMerge w:val="continue"/>
            <w:vAlign w:val="center"/>
          </w:tcPr>
          <w:p>
            <w:pPr>
              <w:spacing w:line="240" w:lineRule="exact"/>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资产管理</w:t>
            </w:r>
          </w:p>
          <w:p>
            <w:pPr>
              <w:spacing w:line="240" w:lineRule="exact"/>
              <w:jc w:val="center"/>
              <w:rPr>
                <w:rFonts w:ascii="宋体" w:cs="宋体"/>
              </w:rPr>
            </w:pPr>
            <w:r>
              <w:rPr>
                <w:rFonts w:hint="eastAsia" w:ascii="宋体" w:hAnsi="宋体" w:cs="宋体"/>
              </w:rPr>
              <w:t>安全性（</w:t>
            </w:r>
            <w:r>
              <w:rPr>
                <w:rFonts w:ascii="宋体" w:hAnsi="宋体" w:cs="宋体"/>
              </w:rPr>
              <w:t>2</w:t>
            </w:r>
            <w:r>
              <w:rPr>
                <w:rFonts w:hint="eastAsia" w:ascii="宋体" w:hAnsi="宋体" w:cs="宋体"/>
              </w:rPr>
              <w:t>分）</w:t>
            </w:r>
          </w:p>
        </w:tc>
        <w:tc>
          <w:tcPr>
            <w:tcW w:w="707" w:type="dxa"/>
            <w:vAlign w:val="center"/>
          </w:tcPr>
          <w:p>
            <w:pPr>
              <w:tabs>
                <w:tab w:val="left" w:pos="761"/>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2</w:t>
            </w:r>
          </w:p>
        </w:tc>
        <w:tc>
          <w:tcPr>
            <w:tcW w:w="2973" w:type="dxa"/>
            <w:tcMar>
              <w:top w:w="10" w:type="dxa"/>
              <w:left w:w="10" w:type="dxa"/>
              <w:bottom w:w="0" w:type="dxa"/>
              <w:right w:w="10" w:type="dxa"/>
            </w:tcMar>
            <w:vAlign w:val="center"/>
          </w:tcPr>
          <w:p>
            <w:pPr>
              <w:tabs>
                <w:tab w:val="left" w:pos="761"/>
                <w:tab w:val="left" w:pos="2604"/>
              </w:tabs>
              <w:spacing w:line="240" w:lineRule="exact"/>
              <w:ind w:left="105" w:leftChars="50" w:right="105" w:rightChars="50" w:firstLine="96" w:firstLineChars="46"/>
              <w:rPr>
                <w:rFonts w:ascii="宋体" w:cs="宋体"/>
              </w:rPr>
            </w:pPr>
            <w:r>
              <w:rPr>
                <w:rFonts w:hint="eastAsia" w:ascii="宋体" w:hAnsi="宋体" w:cs="宋体"/>
              </w:rPr>
              <w:t>部门的资产是否保存完整、使用合规、配置合理、处置规范、收入及时足额上缴，用以反映和考核部门资产安全运行情况。</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评价要点：</w:t>
            </w:r>
            <w:r>
              <w:rPr>
                <w:rFonts w:ascii="宋体" w:cs="宋体"/>
              </w:rPr>
              <w:br w:type="textWrapping"/>
            </w:r>
            <w:r>
              <w:rPr>
                <w:rFonts w:hint="eastAsia" w:ascii="宋体" w:hAnsi="宋体" w:cs="宋体"/>
              </w:rPr>
              <w:t>①资产保存是否完整；</w:t>
            </w:r>
            <w:r>
              <w:rPr>
                <w:rFonts w:ascii="宋体" w:cs="宋体"/>
              </w:rPr>
              <w:br w:type="textWrapping"/>
            </w:r>
            <w:r>
              <w:rPr>
                <w:rFonts w:hint="eastAsia" w:ascii="宋体" w:hAnsi="宋体" w:cs="宋体"/>
              </w:rPr>
              <w:t>②资产配置是否合理；</w:t>
            </w:r>
            <w:r>
              <w:rPr>
                <w:rFonts w:ascii="宋体" w:cs="宋体"/>
              </w:rPr>
              <w:br w:type="textWrapping"/>
            </w:r>
            <w:r>
              <w:rPr>
                <w:rFonts w:hint="eastAsia" w:ascii="宋体" w:hAnsi="宋体" w:cs="宋体"/>
              </w:rPr>
              <w:t>③资产处置是否规范；</w:t>
            </w:r>
            <w:r>
              <w:rPr>
                <w:rFonts w:ascii="宋体" w:cs="宋体"/>
              </w:rPr>
              <w:br w:type="textWrapping"/>
            </w:r>
            <w:r>
              <w:rPr>
                <w:rFonts w:hint="eastAsia" w:ascii="宋体" w:hAnsi="宋体" w:cs="宋体"/>
              </w:rPr>
              <w:t>④资产账务管理是否合规，是否帐实相符；</w:t>
            </w:r>
            <w:r>
              <w:rPr>
                <w:rFonts w:ascii="宋体" w:cs="宋体"/>
              </w:rPr>
              <w:br w:type="textWrapping"/>
            </w:r>
            <w:r>
              <w:rPr>
                <w:rFonts w:hint="eastAsia" w:ascii="宋体" w:hAnsi="宋体" w:cs="宋体"/>
              </w:rPr>
              <w:t>⑤资产是否有偿使用及处置收入及时足额上缴。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5"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固定资产</w:t>
            </w:r>
          </w:p>
          <w:p>
            <w:pPr>
              <w:spacing w:line="240" w:lineRule="exact"/>
              <w:jc w:val="center"/>
              <w:rPr>
                <w:rFonts w:ascii="宋体" w:cs="宋体"/>
              </w:rPr>
            </w:pPr>
            <w:r>
              <w:rPr>
                <w:rFonts w:hint="eastAsia" w:ascii="宋体" w:hAnsi="宋体" w:cs="宋体"/>
              </w:rPr>
              <w:t>利用率（</w:t>
            </w:r>
            <w:r>
              <w:rPr>
                <w:rFonts w:ascii="宋体" w:hAnsi="宋体" w:cs="宋体"/>
              </w:rPr>
              <w:t>1</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1</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部门实际在用固定资产总额与所有固定资产总额的比率，用以反映和考核部门固定资产使用效率程度。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固定资产利用率</w:t>
            </w:r>
            <w:r>
              <w:rPr>
                <w:rFonts w:ascii="宋体" w:hAnsi="宋体" w:cs="宋体"/>
              </w:rPr>
              <w:t>=</w:t>
            </w:r>
            <w:r>
              <w:rPr>
                <w:rFonts w:hint="eastAsia" w:ascii="宋体" w:hAnsi="宋体" w:cs="宋体"/>
              </w:rPr>
              <w:t>（实际在用固定资产总额</w:t>
            </w:r>
            <w:r>
              <w:rPr>
                <w:rFonts w:ascii="宋体" w:hAnsi="宋体" w:cs="宋体"/>
              </w:rPr>
              <w:t>/</w:t>
            </w:r>
            <w:r>
              <w:rPr>
                <w:rFonts w:hint="eastAsia" w:ascii="宋体" w:hAnsi="宋体" w:cs="宋体"/>
              </w:rPr>
              <w:t>所有固定资产总额）×</w:t>
            </w:r>
            <w:r>
              <w:rPr>
                <w:rFonts w:ascii="宋体" w:hAnsi="宋体" w:cs="宋体"/>
              </w:rPr>
              <w:t>100%</w:t>
            </w:r>
            <w:r>
              <w:rPr>
                <w:rFonts w:hint="eastAsia"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71"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产</w:t>
            </w:r>
            <w:r>
              <w:rPr>
                <w:rFonts w:ascii="宋体" w:hAnsi="宋体" w:cs="宋体"/>
              </w:rPr>
              <w:t xml:space="preserve">   </w:t>
            </w:r>
            <w:r>
              <w:rPr>
                <w:rFonts w:hint="eastAsia" w:ascii="宋体" w:hAnsi="宋体" w:cs="宋体"/>
              </w:rPr>
              <w:t>出（</w:t>
            </w:r>
            <w:r>
              <w:rPr>
                <w:rFonts w:ascii="宋体" w:hAnsi="宋体" w:cs="宋体"/>
              </w:rPr>
              <w:t>30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职责</w:t>
            </w:r>
            <w:r>
              <w:rPr>
                <w:rFonts w:ascii="宋体" w:cs="宋体"/>
              </w:rPr>
              <w:br w:type="textWrapping"/>
            </w:r>
            <w:r>
              <w:rPr>
                <w:rFonts w:hint="eastAsia" w:ascii="宋体" w:hAnsi="宋体" w:cs="宋体"/>
              </w:rPr>
              <w:t>履行（</w:t>
            </w:r>
            <w:r>
              <w:rPr>
                <w:rFonts w:ascii="宋体" w:hAnsi="宋体" w:cs="宋体"/>
              </w:rPr>
              <w:t>30</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实际</w:t>
            </w:r>
          </w:p>
          <w:p>
            <w:pPr>
              <w:spacing w:line="240" w:lineRule="exact"/>
              <w:jc w:val="center"/>
              <w:rPr>
                <w:rFonts w:ascii="宋体" w:cs="宋体"/>
              </w:rPr>
            </w:pPr>
            <w:r>
              <w:rPr>
                <w:rFonts w:hint="eastAsia" w:ascii="宋体" w:hAnsi="宋体" w:cs="宋体"/>
              </w:rPr>
              <w:t>完成率（</w:t>
            </w:r>
            <w:r>
              <w:rPr>
                <w:rFonts w:ascii="宋体" w:hAnsi="宋体" w:cs="宋体"/>
              </w:rPr>
              <w:t>8</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7</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部门履行职责而实际完成工作数与计划工作数的比率，用以反映和考核部门履职工作任务目标的实现程度。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实际完成率</w:t>
            </w:r>
            <w:r>
              <w:rPr>
                <w:rFonts w:ascii="宋体" w:hAnsi="宋体" w:cs="宋体"/>
              </w:rPr>
              <w:t>=</w:t>
            </w:r>
            <w:r>
              <w:rPr>
                <w:rFonts w:hint="eastAsia" w:ascii="宋体" w:hAnsi="宋体" w:cs="宋体"/>
              </w:rPr>
              <w:t>（实际完成工作数</w:t>
            </w:r>
            <w:r>
              <w:rPr>
                <w:rFonts w:ascii="宋体" w:hAnsi="宋体" w:cs="宋体"/>
              </w:rPr>
              <w:t>/</w:t>
            </w:r>
            <w:r>
              <w:rPr>
                <w:rFonts w:hint="eastAsia" w:ascii="宋体" w:hAnsi="宋体" w:cs="宋体"/>
              </w:rPr>
              <w:t>计划工作数）×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实际完成工作数：一定时期（年度或规划期）内部门实际完成工作任务的数量。</w:t>
            </w:r>
            <w:r>
              <w:rPr>
                <w:rFonts w:ascii="宋体" w:cs="宋体"/>
              </w:rPr>
              <w:br w:type="textWrapping"/>
            </w:r>
            <w:r>
              <w:rPr>
                <w:rFonts w:hint="eastAsia" w:ascii="宋体" w:hAnsi="宋体" w:cs="宋体"/>
              </w:rPr>
              <w:t>计划工作数：部门整体绩效目标确定的一定时期（年度或规划期）内预计完成工作任务的数量。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93" w:hRule="atLeast"/>
          <w:jc w:val="center"/>
        </w:trPr>
        <w:tc>
          <w:tcPr>
            <w:tcW w:w="579" w:type="dxa"/>
            <w:vMerge w:val="continue"/>
            <w:textDirection w:val="tbRlV"/>
            <w:vAlign w:val="center"/>
          </w:tcPr>
          <w:p>
            <w:pPr>
              <w:spacing w:line="240" w:lineRule="exact"/>
              <w:ind w:left="113"/>
              <w:jc w:val="center"/>
              <w:rPr>
                <w:rFonts w:ascii="宋体" w:cs="宋体"/>
              </w:rPr>
            </w:pPr>
          </w:p>
        </w:tc>
        <w:tc>
          <w:tcPr>
            <w:tcW w:w="707" w:type="dxa"/>
            <w:vMerge w:val="continue"/>
            <w:vAlign w:val="center"/>
          </w:tcPr>
          <w:p>
            <w:pPr>
              <w:spacing w:line="240" w:lineRule="exact"/>
              <w:jc w:val="center"/>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完成</w:t>
            </w:r>
          </w:p>
          <w:p>
            <w:pPr>
              <w:spacing w:line="240" w:lineRule="exact"/>
              <w:jc w:val="center"/>
              <w:rPr>
                <w:rFonts w:ascii="宋体" w:cs="宋体"/>
              </w:rPr>
            </w:pPr>
            <w:r>
              <w:rPr>
                <w:rFonts w:hint="eastAsia" w:ascii="宋体" w:hAnsi="宋体" w:cs="宋体"/>
              </w:rPr>
              <w:t>及时率（</w:t>
            </w:r>
            <w:r>
              <w:rPr>
                <w:rFonts w:ascii="宋体" w:hAnsi="宋体" w:cs="宋体"/>
              </w:rPr>
              <w:t>4</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4</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部门在规定时限内及时完成的实际工作数与计划工作数的比率</w:t>
            </w:r>
            <w:r>
              <w:rPr>
                <w:rFonts w:ascii="宋体" w:hAnsi="宋体" w:cs="宋体"/>
              </w:rPr>
              <w:t>,</w:t>
            </w:r>
            <w:r>
              <w:rPr>
                <w:rFonts w:hint="eastAsia" w:ascii="宋体" w:hAnsi="宋体" w:cs="宋体"/>
              </w:rPr>
              <w:t>用以反映和考核部门履职时效目标的实现程度。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完成及时率</w:t>
            </w:r>
            <w:r>
              <w:rPr>
                <w:rFonts w:ascii="宋体" w:hAnsi="宋体" w:cs="宋体"/>
              </w:rPr>
              <w:t>=</w:t>
            </w:r>
            <w:r>
              <w:rPr>
                <w:rFonts w:hint="eastAsia" w:ascii="宋体" w:hAnsi="宋体" w:cs="宋体"/>
              </w:rPr>
              <w:t>（及时完成实际工作数</w:t>
            </w:r>
            <w:r>
              <w:rPr>
                <w:rFonts w:ascii="宋体" w:hAnsi="宋体" w:cs="宋体"/>
              </w:rPr>
              <w:t>/</w:t>
            </w:r>
            <w:r>
              <w:rPr>
                <w:rFonts w:hint="eastAsia" w:ascii="宋体" w:hAnsi="宋体" w:cs="宋体"/>
              </w:rPr>
              <w:t>计划工作数）×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及时完成实际工作数：部门按照整体绩效目标确定的时限实际完成的工作任务数量。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75"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质量</w:t>
            </w:r>
          </w:p>
          <w:p>
            <w:pPr>
              <w:spacing w:line="240" w:lineRule="exact"/>
              <w:jc w:val="center"/>
              <w:rPr>
                <w:rFonts w:ascii="宋体" w:cs="宋体"/>
              </w:rPr>
            </w:pPr>
            <w:r>
              <w:rPr>
                <w:rFonts w:hint="eastAsia" w:ascii="宋体" w:hAnsi="宋体" w:cs="宋体"/>
              </w:rPr>
              <w:t>达标率（</w:t>
            </w:r>
            <w:r>
              <w:rPr>
                <w:rFonts w:ascii="宋体" w:hAnsi="宋体" w:cs="宋体"/>
              </w:rPr>
              <w:t>8</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7</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达到质量标准（绩效标准值）的实际工作数与计划工作数的比率</w:t>
            </w:r>
            <w:r>
              <w:rPr>
                <w:rFonts w:ascii="宋体" w:hAnsi="宋体" w:cs="宋体"/>
              </w:rPr>
              <w:t>,</w:t>
            </w:r>
            <w:r>
              <w:rPr>
                <w:rFonts w:hint="eastAsia" w:ascii="宋体" w:hAnsi="宋体" w:cs="宋体"/>
              </w:rPr>
              <w:t>用以反映和考核部门履职质量目标的实现程度。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质量达标率</w:t>
            </w:r>
            <w:r>
              <w:rPr>
                <w:rFonts w:ascii="宋体" w:hAnsi="宋体" w:cs="宋体"/>
              </w:rPr>
              <w:t>=</w:t>
            </w:r>
            <w:r>
              <w:rPr>
                <w:rFonts w:hint="eastAsia" w:ascii="宋体" w:hAnsi="宋体" w:cs="宋体"/>
              </w:rPr>
              <w:t>（质量达标实际工作数</w:t>
            </w:r>
            <w:r>
              <w:rPr>
                <w:rFonts w:ascii="宋体" w:hAnsi="宋体" w:cs="宋体"/>
              </w:rPr>
              <w:t>/</w:t>
            </w:r>
            <w:r>
              <w:rPr>
                <w:rFonts w:hint="eastAsia" w:ascii="宋体" w:hAnsi="宋体" w:cs="宋体"/>
              </w:rPr>
              <w:t>计划工作数）×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质量达标实际工作数：一定时期（年度或规划期）内部门实际完成工作数中达到部门绩效目标要求（绩效标准值）的工作任务数量。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5"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重点工作</w:t>
            </w:r>
          </w:p>
          <w:p>
            <w:pPr>
              <w:spacing w:line="240" w:lineRule="exact"/>
              <w:jc w:val="center"/>
              <w:rPr>
                <w:rFonts w:ascii="宋体" w:cs="宋体"/>
              </w:rPr>
            </w:pPr>
            <w:r>
              <w:rPr>
                <w:rFonts w:hint="eastAsia" w:ascii="宋体" w:hAnsi="宋体" w:cs="宋体"/>
              </w:rPr>
              <w:t>办结率（</w:t>
            </w:r>
            <w:r>
              <w:rPr>
                <w:rFonts w:ascii="宋体" w:hAnsi="宋体" w:cs="宋体"/>
              </w:rPr>
              <w:t>10</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9</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部门年度重点工作实际完成数与交办或下达数的比率，用以反映部门对重点工作的办理落实程度。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重点工作办结率</w:t>
            </w:r>
            <w:r>
              <w:rPr>
                <w:rFonts w:ascii="宋体" w:hAnsi="宋体" w:cs="宋体"/>
              </w:rPr>
              <w:t>=</w:t>
            </w:r>
            <w:r>
              <w:rPr>
                <w:rFonts w:hint="eastAsia" w:ascii="宋体" w:hAnsi="宋体" w:cs="宋体"/>
              </w:rPr>
              <w:t>（重点工作实际完成数</w:t>
            </w:r>
            <w:r>
              <w:rPr>
                <w:rFonts w:ascii="宋体" w:hAnsi="宋体" w:cs="宋体"/>
              </w:rPr>
              <w:t>/</w:t>
            </w:r>
            <w:r>
              <w:rPr>
                <w:rFonts w:hint="eastAsia" w:ascii="宋体" w:hAnsi="宋体" w:cs="宋体"/>
              </w:rPr>
              <w:t>交办或下达数）×</w:t>
            </w:r>
            <w:r>
              <w:rPr>
                <w:rFonts w:ascii="宋体" w:hAnsi="宋体" w:cs="宋体"/>
              </w:rPr>
              <w:t>100%</w:t>
            </w:r>
            <w:r>
              <w:rPr>
                <w:rFonts w:hint="eastAsia" w:ascii="宋体" w:hAnsi="宋体" w:cs="宋体"/>
              </w:rPr>
              <w:t>。</w:t>
            </w:r>
            <w:r>
              <w:rPr>
                <w:rFonts w:ascii="宋体" w:cs="宋体"/>
              </w:rPr>
              <w:br w:type="textWrapping"/>
            </w:r>
            <w:r>
              <w:rPr>
                <w:rFonts w:hint="eastAsia" w:ascii="宋体" w:hAnsi="宋体" w:cs="宋体"/>
              </w:rPr>
              <w:t>重点工作是指党委、政府、人大、相关部门交办或下达的工作任务。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9" w:hRule="atLeast"/>
          <w:jc w:val="center"/>
        </w:trPr>
        <w:tc>
          <w:tcPr>
            <w:tcW w:w="579" w:type="dxa"/>
            <w:vMerge w:val="restart"/>
            <w:tcMar>
              <w:top w:w="10" w:type="dxa"/>
              <w:left w:w="10" w:type="dxa"/>
              <w:bottom w:w="0" w:type="dxa"/>
              <w:right w:w="10" w:type="dxa"/>
            </w:tcMar>
            <w:textDirection w:val="tbRlV"/>
            <w:vAlign w:val="center"/>
          </w:tcPr>
          <w:p>
            <w:pPr>
              <w:spacing w:line="240" w:lineRule="exact"/>
              <w:jc w:val="center"/>
              <w:rPr>
                <w:rFonts w:ascii="宋体" w:cs="宋体"/>
              </w:rPr>
            </w:pPr>
            <w:r>
              <w:rPr>
                <w:rFonts w:hint="eastAsia" w:ascii="宋体" w:hAnsi="宋体" w:cs="宋体"/>
              </w:rPr>
              <w:t>效</w:t>
            </w:r>
            <w:r>
              <w:rPr>
                <w:rFonts w:ascii="宋体" w:hAnsi="宋体" w:cs="宋体"/>
              </w:rPr>
              <w:t xml:space="preserve">   </w:t>
            </w:r>
            <w:r>
              <w:rPr>
                <w:rFonts w:hint="eastAsia" w:ascii="宋体" w:hAnsi="宋体" w:cs="宋体"/>
              </w:rPr>
              <w:t>果（</w:t>
            </w:r>
            <w:r>
              <w:rPr>
                <w:rFonts w:ascii="宋体" w:hAnsi="宋体" w:cs="宋体"/>
              </w:rPr>
              <w:t>20</w:t>
            </w:r>
            <w:r>
              <w:rPr>
                <w:rFonts w:hint="eastAsia" w:ascii="宋体" w:hAnsi="宋体" w:cs="宋体"/>
              </w:rPr>
              <w:t>分）</w:t>
            </w:r>
          </w:p>
        </w:tc>
        <w:tc>
          <w:tcPr>
            <w:tcW w:w="707" w:type="dxa"/>
            <w:vMerge w:val="restart"/>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履职</w:t>
            </w:r>
            <w:r>
              <w:rPr>
                <w:rFonts w:ascii="宋体" w:cs="宋体"/>
              </w:rPr>
              <w:br w:type="textWrapping"/>
            </w:r>
            <w:r>
              <w:rPr>
                <w:rFonts w:hint="eastAsia" w:ascii="宋体" w:hAnsi="宋体" w:cs="宋体"/>
              </w:rPr>
              <w:t>效益（</w:t>
            </w:r>
            <w:r>
              <w:rPr>
                <w:rFonts w:ascii="宋体" w:hAnsi="宋体" w:cs="宋体"/>
              </w:rPr>
              <w:t>20</w:t>
            </w:r>
            <w:r>
              <w:rPr>
                <w:rFonts w:hint="eastAsia" w:ascii="宋体" w:hAnsi="宋体" w:cs="宋体"/>
              </w:rPr>
              <w:t>分）</w:t>
            </w: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经济效益（</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bookmarkStart w:id="0" w:name="_GoBack"/>
            <w:bookmarkEnd w:id="0"/>
            <w:r>
              <w:rPr>
                <w:rFonts w:hint="eastAsia" w:ascii="宋体" w:cs="宋体"/>
                <w:lang w:val="en-US" w:eastAsia="zh-CN"/>
              </w:rPr>
              <w:t>4</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部门履行职责对经济发展所带来的直接或间接影响。</w:t>
            </w:r>
          </w:p>
        </w:tc>
        <w:tc>
          <w:tcPr>
            <w:tcW w:w="3522" w:type="dxa"/>
            <w:vMerge w:val="restart"/>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此三项指标为设置部门整体支出绩效评价指标时必须考虑的共性要素，可根据部门实际并结合部门整体支出绩效目标设立情况有选择的进行设置，并将其细化为相应的个性化指标。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9"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社会效益（</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部门履行职责对社会发展所带来的直接或间接影响。</w:t>
            </w:r>
          </w:p>
        </w:tc>
        <w:tc>
          <w:tcPr>
            <w:tcW w:w="3522" w:type="dxa"/>
            <w:vMerge w:val="continue"/>
            <w:vAlign w:val="center"/>
          </w:tcPr>
          <w:p>
            <w:pPr>
              <w:spacing w:line="240" w:lineRule="exact"/>
              <w:ind w:left="105" w:leftChars="50" w:right="105" w:rightChars="50"/>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9"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生态效益（</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4</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部门履行职责对生态环境所带来的直接或间接影响。</w:t>
            </w:r>
          </w:p>
        </w:tc>
        <w:tc>
          <w:tcPr>
            <w:tcW w:w="3522" w:type="dxa"/>
            <w:vMerge w:val="continue"/>
            <w:vAlign w:val="center"/>
          </w:tcPr>
          <w:p>
            <w:pPr>
              <w:spacing w:line="240" w:lineRule="exact"/>
              <w:ind w:left="105" w:leftChars="50" w:right="105" w:rightChars="50"/>
              <w:rPr>
                <w:rFonts w:asci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3" w:hRule="atLeast"/>
          <w:jc w:val="center"/>
        </w:trPr>
        <w:tc>
          <w:tcPr>
            <w:tcW w:w="579" w:type="dxa"/>
            <w:vMerge w:val="continue"/>
            <w:vAlign w:val="center"/>
          </w:tcPr>
          <w:p>
            <w:pPr>
              <w:spacing w:line="240" w:lineRule="exact"/>
              <w:rPr>
                <w:rFonts w:ascii="宋体" w:cs="宋体"/>
              </w:rPr>
            </w:pPr>
          </w:p>
        </w:tc>
        <w:tc>
          <w:tcPr>
            <w:tcW w:w="707" w:type="dxa"/>
            <w:vMerge w:val="continue"/>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r>
              <w:rPr>
                <w:rFonts w:hint="eastAsia" w:ascii="宋体" w:hAnsi="宋体" w:cs="宋体"/>
              </w:rPr>
              <w:t>社会公众</w:t>
            </w:r>
          </w:p>
          <w:p>
            <w:pPr>
              <w:spacing w:line="240" w:lineRule="exact"/>
              <w:jc w:val="center"/>
              <w:rPr>
                <w:rFonts w:ascii="宋体" w:cs="宋体"/>
              </w:rPr>
            </w:pPr>
            <w:r>
              <w:rPr>
                <w:rFonts w:hint="eastAsia" w:ascii="宋体" w:hAnsi="宋体" w:cs="宋体"/>
              </w:rPr>
              <w:t>或服务对</w:t>
            </w:r>
          </w:p>
          <w:p>
            <w:pPr>
              <w:spacing w:line="240" w:lineRule="exact"/>
              <w:jc w:val="center"/>
              <w:rPr>
                <w:rFonts w:ascii="宋体" w:cs="宋体"/>
              </w:rPr>
            </w:pPr>
            <w:r>
              <w:rPr>
                <w:rFonts w:hint="eastAsia" w:ascii="宋体" w:hAnsi="宋体" w:cs="宋体"/>
              </w:rPr>
              <w:t>象满意度（</w:t>
            </w:r>
            <w:r>
              <w:rPr>
                <w:rFonts w:ascii="宋体" w:hAnsi="宋体" w:cs="宋体"/>
              </w:rPr>
              <w:t>5</w:t>
            </w:r>
            <w:r>
              <w:rPr>
                <w:rFonts w:hint="eastAsia" w:ascii="宋体" w:hAnsi="宋体" w:cs="宋体"/>
              </w:rPr>
              <w:t>分）</w:t>
            </w: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5</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r>
              <w:rPr>
                <w:rFonts w:hint="eastAsia" w:ascii="宋体" w:hAnsi="宋体" w:cs="宋体"/>
              </w:rPr>
              <w:t>社会公众或部门的服务对象对部门履职效果的满意程度。</w:t>
            </w: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r>
              <w:rPr>
                <w:rFonts w:hint="eastAsia" w:ascii="宋体" w:hAnsi="宋体" w:cs="宋体"/>
              </w:rPr>
              <w:t>社会公众或服务对象是指部门履行职责而影响到的部门、群体或个人。一般采取社会调查的方式。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2" w:hRule="atLeast"/>
          <w:jc w:val="center"/>
        </w:trPr>
        <w:tc>
          <w:tcPr>
            <w:tcW w:w="579" w:type="dxa"/>
            <w:vAlign w:val="center"/>
          </w:tcPr>
          <w:p>
            <w:pPr>
              <w:spacing w:line="240" w:lineRule="exact"/>
              <w:rPr>
                <w:rFonts w:ascii="宋体" w:cs="宋体"/>
              </w:rPr>
            </w:pPr>
            <w:r>
              <w:rPr>
                <w:rFonts w:hint="eastAsia" w:ascii="宋体" w:hAnsi="宋体" w:cs="宋体"/>
              </w:rPr>
              <w:t>总分</w:t>
            </w:r>
          </w:p>
        </w:tc>
        <w:tc>
          <w:tcPr>
            <w:tcW w:w="707" w:type="dxa"/>
            <w:vAlign w:val="center"/>
          </w:tcPr>
          <w:p>
            <w:pPr>
              <w:spacing w:line="240" w:lineRule="exact"/>
              <w:rPr>
                <w:rFonts w:ascii="宋体" w:cs="宋体"/>
              </w:rPr>
            </w:pPr>
          </w:p>
        </w:tc>
        <w:tc>
          <w:tcPr>
            <w:tcW w:w="943" w:type="dxa"/>
            <w:tcMar>
              <w:top w:w="10" w:type="dxa"/>
              <w:left w:w="10" w:type="dxa"/>
              <w:bottom w:w="0" w:type="dxa"/>
              <w:right w:w="10" w:type="dxa"/>
            </w:tcMar>
            <w:vAlign w:val="center"/>
          </w:tcPr>
          <w:p>
            <w:pPr>
              <w:spacing w:line="240" w:lineRule="exact"/>
              <w:jc w:val="center"/>
              <w:rPr>
                <w:rFonts w:ascii="宋体" w:cs="宋体"/>
              </w:rPr>
            </w:pPr>
          </w:p>
        </w:tc>
        <w:tc>
          <w:tcPr>
            <w:tcW w:w="707" w:type="dxa"/>
            <w:vAlign w:val="center"/>
          </w:tcPr>
          <w:p>
            <w:pPr>
              <w:tabs>
                <w:tab w:val="left" w:pos="2604"/>
              </w:tabs>
              <w:spacing w:line="240" w:lineRule="exact"/>
              <w:ind w:left="105" w:leftChars="50" w:right="105" w:rightChars="50" w:firstLine="96" w:firstLineChars="46"/>
              <w:jc w:val="center"/>
              <w:rPr>
                <w:rFonts w:hint="eastAsia" w:ascii="宋体" w:eastAsia="宋体" w:cs="宋体"/>
                <w:lang w:val="en-US" w:eastAsia="zh-CN"/>
              </w:rPr>
            </w:pPr>
            <w:r>
              <w:rPr>
                <w:rFonts w:hint="eastAsia" w:ascii="宋体" w:cs="宋体"/>
                <w:lang w:val="en-US" w:eastAsia="zh-CN"/>
              </w:rPr>
              <w:t>93</w:t>
            </w:r>
          </w:p>
        </w:tc>
        <w:tc>
          <w:tcPr>
            <w:tcW w:w="2973" w:type="dxa"/>
            <w:tcMar>
              <w:top w:w="10" w:type="dxa"/>
              <w:left w:w="10" w:type="dxa"/>
              <w:bottom w:w="0" w:type="dxa"/>
              <w:right w:w="10" w:type="dxa"/>
            </w:tcMar>
            <w:vAlign w:val="center"/>
          </w:tcPr>
          <w:p>
            <w:pPr>
              <w:tabs>
                <w:tab w:val="left" w:pos="2604"/>
              </w:tabs>
              <w:spacing w:line="240" w:lineRule="exact"/>
              <w:ind w:left="105" w:leftChars="50" w:right="105" w:rightChars="50" w:firstLine="96" w:firstLineChars="46"/>
              <w:rPr>
                <w:rFonts w:ascii="宋体" w:cs="宋体"/>
              </w:rPr>
            </w:pPr>
          </w:p>
        </w:tc>
        <w:tc>
          <w:tcPr>
            <w:tcW w:w="3522" w:type="dxa"/>
            <w:tcMar>
              <w:top w:w="10" w:type="dxa"/>
              <w:left w:w="10" w:type="dxa"/>
              <w:bottom w:w="0" w:type="dxa"/>
              <w:right w:w="10" w:type="dxa"/>
            </w:tcMar>
            <w:vAlign w:val="center"/>
          </w:tcPr>
          <w:p>
            <w:pPr>
              <w:spacing w:line="240" w:lineRule="exact"/>
              <w:ind w:left="105" w:leftChars="50" w:right="105" w:rightChars="50"/>
              <w:rPr>
                <w:rFonts w:ascii="宋体" w:cs="宋体"/>
              </w:rPr>
            </w:pPr>
          </w:p>
        </w:tc>
      </w:tr>
    </w:tbl>
    <w:p>
      <w:pPr>
        <w:spacing w:line="560" w:lineRule="exact"/>
        <w:rPr>
          <w:rFonts w:ascii="仿宋" w:hAnsi="仿宋" w:eastAsia="仿宋"/>
          <w:b/>
          <w:sz w:val="18"/>
          <w:szCs w:val="18"/>
        </w:rPr>
      </w:pPr>
    </w:p>
    <w:p>
      <w:pPr>
        <w:spacing w:line="40" w:lineRule="exact"/>
      </w:pPr>
    </w:p>
    <w:sectPr>
      <w:footerReference r:id="rId3" w:type="default"/>
      <w:footerReference r:id="rId4" w:type="even"/>
      <w:pgSz w:w="11906" w:h="16838"/>
      <w:pgMar w:top="2098" w:right="1474" w:bottom="1985" w:left="1588" w:header="851" w:footer="1701"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方正小标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Fonts w:ascii="宋体" w:hAnsi="宋体"/>
        <w:sz w:val="28"/>
        <w:szCs w:val="28"/>
      </w:rPr>
    </w:pPr>
    <w:r>
      <w:rPr>
        <w:rStyle w:val="9"/>
        <w:rFonts w:ascii="宋体" w:hAnsi="宋体"/>
        <w:sz w:val="28"/>
        <w:szCs w:val="28"/>
      </w:rPr>
      <w:fldChar w:fldCharType="begin"/>
    </w:r>
    <w:r>
      <w:rPr>
        <w:rStyle w:val="9"/>
        <w:rFonts w:ascii="宋体" w:hAnsi="宋体"/>
        <w:sz w:val="28"/>
        <w:szCs w:val="28"/>
      </w:rPr>
      <w:instrText xml:space="preserve">PAGE  </w:instrText>
    </w:r>
    <w:r>
      <w:rPr>
        <w:rStyle w:val="9"/>
        <w:rFonts w:ascii="宋体" w:hAnsi="宋体"/>
        <w:sz w:val="28"/>
        <w:szCs w:val="28"/>
      </w:rPr>
      <w:fldChar w:fldCharType="separate"/>
    </w:r>
    <w:r>
      <w:rPr>
        <w:rStyle w:val="9"/>
        <w:rFonts w:ascii="宋体" w:hAnsi="宋体"/>
        <w:sz w:val="28"/>
        <w:szCs w:val="28"/>
      </w:rPr>
      <w:t>- 26 -</w:t>
    </w:r>
    <w:r>
      <w:rPr>
        <w:rStyle w:val="9"/>
        <w:rFonts w:ascii="宋体" w:hAnsi="宋体"/>
        <w:sz w:val="28"/>
        <w:szCs w:val="28"/>
      </w:rPr>
      <w:fldChar w:fldCharType="end"/>
    </w:r>
  </w:p>
  <w:p>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outside" w:y="1"/>
      <w:rPr>
        <w:rStyle w:val="9"/>
      </w:rPr>
    </w:pPr>
    <w:r>
      <w:rPr>
        <w:rStyle w:val="9"/>
      </w:rPr>
      <w:fldChar w:fldCharType="begin"/>
    </w:r>
    <w:r>
      <w:rPr>
        <w:rStyle w:val="9"/>
      </w:rPr>
      <w:instrText xml:space="preserve">PAGE  </w:instrText>
    </w:r>
    <w:r>
      <w:rPr>
        <w:rStyle w:val="9"/>
      </w:rPr>
      <w:fldChar w:fldCharType="end"/>
    </w:r>
  </w:p>
  <w:p>
    <w:pPr>
      <w:pStyle w:val="4"/>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E4E"/>
    <w:rsid w:val="00043673"/>
    <w:rsid w:val="00043987"/>
    <w:rsid w:val="00044C5A"/>
    <w:rsid w:val="00046499"/>
    <w:rsid w:val="0004784E"/>
    <w:rsid w:val="00053547"/>
    <w:rsid w:val="00062EEC"/>
    <w:rsid w:val="0006715E"/>
    <w:rsid w:val="000700BE"/>
    <w:rsid w:val="000707EC"/>
    <w:rsid w:val="000745D4"/>
    <w:rsid w:val="00076E70"/>
    <w:rsid w:val="0008086E"/>
    <w:rsid w:val="000A30BF"/>
    <w:rsid w:val="000B2FF9"/>
    <w:rsid w:val="000C0EA0"/>
    <w:rsid w:val="000E1641"/>
    <w:rsid w:val="000E187E"/>
    <w:rsid w:val="000F1A10"/>
    <w:rsid w:val="0011361A"/>
    <w:rsid w:val="00114A8C"/>
    <w:rsid w:val="001255CE"/>
    <w:rsid w:val="00127003"/>
    <w:rsid w:val="00131A56"/>
    <w:rsid w:val="00160F3B"/>
    <w:rsid w:val="0017778D"/>
    <w:rsid w:val="00195999"/>
    <w:rsid w:val="001C0DB6"/>
    <w:rsid w:val="001C0F35"/>
    <w:rsid w:val="001F2F33"/>
    <w:rsid w:val="001F44AE"/>
    <w:rsid w:val="00205B34"/>
    <w:rsid w:val="00225BDA"/>
    <w:rsid w:val="00240824"/>
    <w:rsid w:val="00261F7B"/>
    <w:rsid w:val="00275E2C"/>
    <w:rsid w:val="002801BE"/>
    <w:rsid w:val="002A1B49"/>
    <w:rsid w:val="002A1CBA"/>
    <w:rsid w:val="002B3F1D"/>
    <w:rsid w:val="002C2D45"/>
    <w:rsid w:val="002C4771"/>
    <w:rsid w:val="002C7F30"/>
    <w:rsid w:val="002D26BD"/>
    <w:rsid w:val="002E2FC3"/>
    <w:rsid w:val="003055D2"/>
    <w:rsid w:val="0032411A"/>
    <w:rsid w:val="00360B49"/>
    <w:rsid w:val="00363CDB"/>
    <w:rsid w:val="00381196"/>
    <w:rsid w:val="003D5823"/>
    <w:rsid w:val="003F5B92"/>
    <w:rsid w:val="004100B2"/>
    <w:rsid w:val="004253D4"/>
    <w:rsid w:val="004339D2"/>
    <w:rsid w:val="004339FD"/>
    <w:rsid w:val="0044445F"/>
    <w:rsid w:val="00463F94"/>
    <w:rsid w:val="0046694E"/>
    <w:rsid w:val="00471E21"/>
    <w:rsid w:val="0047441E"/>
    <w:rsid w:val="00474423"/>
    <w:rsid w:val="004842A1"/>
    <w:rsid w:val="00495360"/>
    <w:rsid w:val="004C2EAB"/>
    <w:rsid w:val="004D76CB"/>
    <w:rsid w:val="004E4B88"/>
    <w:rsid w:val="004E67A5"/>
    <w:rsid w:val="004F08CD"/>
    <w:rsid w:val="004F0E74"/>
    <w:rsid w:val="00502CDD"/>
    <w:rsid w:val="005130D4"/>
    <w:rsid w:val="00527477"/>
    <w:rsid w:val="0053268F"/>
    <w:rsid w:val="005377A9"/>
    <w:rsid w:val="005474E5"/>
    <w:rsid w:val="00560BD3"/>
    <w:rsid w:val="005668C4"/>
    <w:rsid w:val="00570BA5"/>
    <w:rsid w:val="0057391C"/>
    <w:rsid w:val="00574727"/>
    <w:rsid w:val="0057600C"/>
    <w:rsid w:val="005C6EE6"/>
    <w:rsid w:val="005D6425"/>
    <w:rsid w:val="005E7BED"/>
    <w:rsid w:val="00603866"/>
    <w:rsid w:val="00611C0D"/>
    <w:rsid w:val="006269B7"/>
    <w:rsid w:val="00652C8A"/>
    <w:rsid w:val="00653E1D"/>
    <w:rsid w:val="00656DC4"/>
    <w:rsid w:val="006576A8"/>
    <w:rsid w:val="006733AA"/>
    <w:rsid w:val="006860EE"/>
    <w:rsid w:val="00687AB1"/>
    <w:rsid w:val="00691477"/>
    <w:rsid w:val="00692C66"/>
    <w:rsid w:val="006E452E"/>
    <w:rsid w:val="006F3651"/>
    <w:rsid w:val="0070111B"/>
    <w:rsid w:val="00703E8E"/>
    <w:rsid w:val="00725319"/>
    <w:rsid w:val="00731951"/>
    <w:rsid w:val="0075061C"/>
    <w:rsid w:val="00751067"/>
    <w:rsid w:val="00753264"/>
    <w:rsid w:val="0075363C"/>
    <w:rsid w:val="0077323A"/>
    <w:rsid w:val="00773BB2"/>
    <w:rsid w:val="00786337"/>
    <w:rsid w:val="007877CC"/>
    <w:rsid w:val="00794E47"/>
    <w:rsid w:val="007A01CF"/>
    <w:rsid w:val="007A4F71"/>
    <w:rsid w:val="007C129E"/>
    <w:rsid w:val="007C772C"/>
    <w:rsid w:val="007D4D52"/>
    <w:rsid w:val="007E3DC4"/>
    <w:rsid w:val="008116C4"/>
    <w:rsid w:val="00812C26"/>
    <w:rsid w:val="008232D3"/>
    <w:rsid w:val="008630D6"/>
    <w:rsid w:val="00864FB5"/>
    <w:rsid w:val="008A23A0"/>
    <w:rsid w:val="008D28B7"/>
    <w:rsid w:val="009031A5"/>
    <w:rsid w:val="009058DE"/>
    <w:rsid w:val="00907791"/>
    <w:rsid w:val="00913917"/>
    <w:rsid w:val="0092195E"/>
    <w:rsid w:val="00923B36"/>
    <w:rsid w:val="00923DDB"/>
    <w:rsid w:val="00927ABE"/>
    <w:rsid w:val="00932468"/>
    <w:rsid w:val="00945B69"/>
    <w:rsid w:val="009773D3"/>
    <w:rsid w:val="00993293"/>
    <w:rsid w:val="009B590E"/>
    <w:rsid w:val="009C66F8"/>
    <w:rsid w:val="009E71C7"/>
    <w:rsid w:val="009F034D"/>
    <w:rsid w:val="00A06127"/>
    <w:rsid w:val="00A141C5"/>
    <w:rsid w:val="00A203CE"/>
    <w:rsid w:val="00A2354B"/>
    <w:rsid w:val="00A46C5E"/>
    <w:rsid w:val="00A53B16"/>
    <w:rsid w:val="00A6529F"/>
    <w:rsid w:val="00A75930"/>
    <w:rsid w:val="00A92BDD"/>
    <w:rsid w:val="00A96E4E"/>
    <w:rsid w:val="00A973F9"/>
    <w:rsid w:val="00AA2837"/>
    <w:rsid w:val="00AC0F3E"/>
    <w:rsid w:val="00AC1BEB"/>
    <w:rsid w:val="00AE2C45"/>
    <w:rsid w:val="00AF39AF"/>
    <w:rsid w:val="00B04618"/>
    <w:rsid w:val="00B07FBC"/>
    <w:rsid w:val="00B315F5"/>
    <w:rsid w:val="00B32278"/>
    <w:rsid w:val="00B47A0F"/>
    <w:rsid w:val="00B603E1"/>
    <w:rsid w:val="00B62EEF"/>
    <w:rsid w:val="00B6633F"/>
    <w:rsid w:val="00B66D52"/>
    <w:rsid w:val="00B7282C"/>
    <w:rsid w:val="00B74DD4"/>
    <w:rsid w:val="00B83098"/>
    <w:rsid w:val="00B927C4"/>
    <w:rsid w:val="00B92B2D"/>
    <w:rsid w:val="00BA3800"/>
    <w:rsid w:val="00BC240C"/>
    <w:rsid w:val="00BD32A3"/>
    <w:rsid w:val="00BD5B91"/>
    <w:rsid w:val="00BE2BF5"/>
    <w:rsid w:val="00BF2755"/>
    <w:rsid w:val="00BF32BF"/>
    <w:rsid w:val="00C06A90"/>
    <w:rsid w:val="00C2173E"/>
    <w:rsid w:val="00C257FC"/>
    <w:rsid w:val="00C420B8"/>
    <w:rsid w:val="00C42A75"/>
    <w:rsid w:val="00C45C4C"/>
    <w:rsid w:val="00C50901"/>
    <w:rsid w:val="00C5323B"/>
    <w:rsid w:val="00C533D0"/>
    <w:rsid w:val="00C54B1E"/>
    <w:rsid w:val="00C73AD8"/>
    <w:rsid w:val="00C86C5C"/>
    <w:rsid w:val="00CC344F"/>
    <w:rsid w:val="00CC71D0"/>
    <w:rsid w:val="00CD4EFC"/>
    <w:rsid w:val="00CD59F7"/>
    <w:rsid w:val="00CD5DCF"/>
    <w:rsid w:val="00D1370D"/>
    <w:rsid w:val="00D15C1A"/>
    <w:rsid w:val="00D33B7A"/>
    <w:rsid w:val="00D34B44"/>
    <w:rsid w:val="00D35A8F"/>
    <w:rsid w:val="00D45FEC"/>
    <w:rsid w:val="00D46ABA"/>
    <w:rsid w:val="00D62B04"/>
    <w:rsid w:val="00D700E5"/>
    <w:rsid w:val="00D77BEC"/>
    <w:rsid w:val="00D87615"/>
    <w:rsid w:val="00DA0F2B"/>
    <w:rsid w:val="00DB1BBE"/>
    <w:rsid w:val="00DC17E6"/>
    <w:rsid w:val="00DC3341"/>
    <w:rsid w:val="00DE44B6"/>
    <w:rsid w:val="00DE7156"/>
    <w:rsid w:val="00DF6034"/>
    <w:rsid w:val="00E02435"/>
    <w:rsid w:val="00E16938"/>
    <w:rsid w:val="00E36B6C"/>
    <w:rsid w:val="00E73877"/>
    <w:rsid w:val="00E73F64"/>
    <w:rsid w:val="00E94291"/>
    <w:rsid w:val="00EA3651"/>
    <w:rsid w:val="00EB0008"/>
    <w:rsid w:val="00ED2F5C"/>
    <w:rsid w:val="00ED6DD5"/>
    <w:rsid w:val="00F05BDC"/>
    <w:rsid w:val="00F219BE"/>
    <w:rsid w:val="00F243BD"/>
    <w:rsid w:val="00F3496C"/>
    <w:rsid w:val="00F87EE5"/>
    <w:rsid w:val="00F956AF"/>
    <w:rsid w:val="00FA11BF"/>
    <w:rsid w:val="00FC2CA7"/>
    <w:rsid w:val="00FE0362"/>
    <w:rsid w:val="00FF0B19"/>
    <w:rsid w:val="00FF5A97"/>
    <w:rsid w:val="0EA346CE"/>
    <w:rsid w:val="108B69F5"/>
    <w:rsid w:val="19365F3B"/>
    <w:rsid w:val="19997AD3"/>
    <w:rsid w:val="22C3475D"/>
    <w:rsid w:val="2A3D215A"/>
    <w:rsid w:val="36B43894"/>
    <w:rsid w:val="48BE7881"/>
    <w:rsid w:val="568266F0"/>
    <w:rsid w:val="57B22476"/>
    <w:rsid w:val="5B701845"/>
    <w:rsid w:val="5D93200B"/>
    <w:rsid w:val="67A15106"/>
    <w:rsid w:val="697A6C25"/>
    <w:rsid w:val="6B5E1AD3"/>
    <w:rsid w:val="75CF3C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99"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37"/>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8">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3">
    <w:name w:val="Date"/>
    <w:basedOn w:val="1"/>
    <w:next w:val="1"/>
    <w:link w:val="15"/>
    <w:qFormat/>
    <w:uiPriority w:val="99"/>
    <w:pPr>
      <w:ind w:left="100" w:leftChars="2500"/>
    </w:pPr>
  </w:style>
  <w:style w:type="paragraph" w:styleId="4">
    <w:name w:val="footer"/>
    <w:basedOn w:val="1"/>
    <w:link w:val="13"/>
    <w:qFormat/>
    <w:uiPriority w:val="99"/>
    <w:pPr>
      <w:tabs>
        <w:tab w:val="center" w:pos="4153"/>
        <w:tab w:val="right" w:pos="8306"/>
      </w:tabs>
      <w:snapToGrid w:val="0"/>
      <w:jc w:val="left"/>
    </w:pPr>
    <w:rPr>
      <w:sz w:val="18"/>
      <w:szCs w:val="18"/>
    </w:rPr>
  </w:style>
  <w:style w:type="paragraph" w:styleId="5">
    <w:name w:val="header"/>
    <w:basedOn w:val="1"/>
    <w:link w:val="14"/>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99"/>
  </w:style>
  <w:style w:type="character" w:styleId="10">
    <w:name w:val="FollowedHyperlink"/>
    <w:basedOn w:val="8"/>
    <w:qFormat/>
    <w:uiPriority w:val="99"/>
    <w:rPr>
      <w:color w:val="800080"/>
      <w:u w:val="single"/>
    </w:rPr>
  </w:style>
  <w:style w:type="character" w:styleId="11">
    <w:name w:val="Hyperlink"/>
    <w:basedOn w:val="8"/>
    <w:qFormat/>
    <w:uiPriority w:val="99"/>
    <w:rPr>
      <w:color w:val="0000FF"/>
      <w:u w:val="single"/>
    </w:rPr>
  </w:style>
  <w:style w:type="paragraph" w:customStyle="1" w:styleId="12">
    <w:name w:val="列出段落1"/>
    <w:basedOn w:val="1"/>
    <w:qFormat/>
    <w:uiPriority w:val="99"/>
    <w:pPr>
      <w:ind w:firstLine="420" w:firstLineChars="200"/>
    </w:pPr>
    <w:rPr>
      <w:rFonts w:ascii="Calibri" w:hAnsi="Calibri" w:cs="Calibri"/>
      <w:szCs w:val="21"/>
    </w:rPr>
  </w:style>
  <w:style w:type="character" w:customStyle="1" w:styleId="13">
    <w:name w:val="页脚 字符"/>
    <w:basedOn w:val="8"/>
    <w:link w:val="4"/>
    <w:qFormat/>
    <w:locked/>
    <w:uiPriority w:val="99"/>
    <w:rPr>
      <w:kern w:val="2"/>
      <w:sz w:val="18"/>
      <w:szCs w:val="18"/>
    </w:rPr>
  </w:style>
  <w:style w:type="character" w:customStyle="1" w:styleId="14">
    <w:name w:val="页眉 字符"/>
    <w:basedOn w:val="8"/>
    <w:link w:val="5"/>
    <w:qFormat/>
    <w:locked/>
    <w:uiPriority w:val="99"/>
    <w:rPr>
      <w:kern w:val="2"/>
      <w:sz w:val="18"/>
      <w:szCs w:val="18"/>
    </w:rPr>
  </w:style>
  <w:style w:type="character" w:customStyle="1" w:styleId="15">
    <w:name w:val="日期 字符"/>
    <w:basedOn w:val="8"/>
    <w:link w:val="3"/>
    <w:qFormat/>
    <w:locked/>
    <w:uiPriority w:val="99"/>
    <w:rPr>
      <w:kern w:val="2"/>
      <w:sz w:val="21"/>
      <w:szCs w:val="24"/>
    </w:rPr>
  </w:style>
  <w:style w:type="paragraph" w:customStyle="1" w:styleId="16">
    <w:name w:val="xl65"/>
    <w:basedOn w:val="1"/>
    <w:qFormat/>
    <w:uiPriority w:val="99"/>
    <w:pPr>
      <w:widowControl/>
      <w:shd w:val="clear" w:color="000000" w:fill="FFFFFF"/>
      <w:spacing w:before="100" w:beforeAutospacing="1" w:after="100" w:afterAutospacing="1"/>
      <w:jc w:val="left"/>
    </w:pPr>
    <w:rPr>
      <w:rFonts w:ascii="宋体" w:hAnsi="宋体" w:cs="宋体"/>
      <w:kern w:val="0"/>
      <w:sz w:val="24"/>
    </w:rPr>
  </w:style>
  <w:style w:type="paragraph" w:customStyle="1" w:styleId="17">
    <w:name w:val="xl66"/>
    <w:basedOn w:val="1"/>
    <w:qFormat/>
    <w:uiPriority w:val="99"/>
    <w:pPr>
      <w:widowControl/>
      <w:shd w:val="clear" w:color="000000" w:fill="FFFFFF"/>
      <w:spacing w:before="100" w:beforeAutospacing="1" w:after="100" w:afterAutospacing="1"/>
      <w:jc w:val="left"/>
    </w:pPr>
    <w:rPr>
      <w:rFonts w:ascii="宋体" w:hAnsi="宋体" w:cs="宋体"/>
      <w:color w:val="000000"/>
      <w:kern w:val="0"/>
      <w:sz w:val="24"/>
    </w:rPr>
  </w:style>
  <w:style w:type="paragraph" w:customStyle="1" w:styleId="18">
    <w:name w:val="xl67"/>
    <w:basedOn w:val="1"/>
    <w:qFormat/>
    <w:uiPriority w:val="99"/>
    <w:pPr>
      <w:widowControl/>
      <w:spacing w:before="100" w:beforeAutospacing="1" w:after="100" w:afterAutospacing="1"/>
      <w:jc w:val="left"/>
    </w:pPr>
    <w:rPr>
      <w:rFonts w:ascii="宋体" w:hAnsi="宋体" w:cs="宋体"/>
      <w:kern w:val="0"/>
      <w:sz w:val="24"/>
    </w:rPr>
  </w:style>
  <w:style w:type="paragraph" w:customStyle="1" w:styleId="19">
    <w:name w:val="xl68"/>
    <w:basedOn w:val="1"/>
    <w:qFormat/>
    <w:uiPriority w:val="99"/>
    <w:pPr>
      <w:widowControl/>
      <w:spacing w:before="100" w:beforeAutospacing="1" w:after="100" w:afterAutospacing="1"/>
      <w:jc w:val="left"/>
    </w:pPr>
    <w:rPr>
      <w:rFonts w:ascii="宋体" w:hAnsi="宋体" w:cs="宋体"/>
      <w:kern w:val="0"/>
      <w:sz w:val="24"/>
    </w:rPr>
  </w:style>
  <w:style w:type="paragraph" w:customStyle="1" w:styleId="20">
    <w:name w:val="xl69"/>
    <w:basedOn w:val="1"/>
    <w:qFormat/>
    <w:uiPriority w:val="99"/>
    <w:pPr>
      <w:widowControl/>
      <w:spacing w:before="100" w:beforeAutospacing="1" w:after="100" w:afterAutospacing="1"/>
      <w:jc w:val="left"/>
    </w:pPr>
    <w:rPr>
      <w:rFonts w:ascii="宋体" w:hAnsi="宋体" w:cs="宋体"/>
      <w:kern w:val="0"/>
      <w:sz w:val="24"/>
    </w:rPr>
  </w:style>
  <w:style w:type="paragraph" w:customStyle="1" w:styleId="21">
    <w:name w:val="xl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4"/>
    </w:rPr>
  </w:style>
  <w:style w:type="paragraph" w:customStyle="1" w:styleId="22">
    <w:name w:val="xl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4"/>
    </w:rPr>
  </w:style>
  <w:style w:type="paragraph" w:customStyle="1" w:styleId="23">
    <w:name w:val="xl7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4"/>
    </w:rPr>
  </w:style>
  <w:style w:type="paragraph" w:customStyle="1" w:styleId="24">
    <w:name w:val="xl7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25">
    <w:name w:val="xl7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26">
    <w:name w:val="xl7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pPr>
    <w:rPr>
      <w:rFonts w:ascii="宋体" w:hAnsi="宋体" w:cs="宋体"/>
      <w:kern w:val="0"/>
      <w:sz w:val="18"/>
      <w:szCs w:val="18"/>
    </w:rPr>
  </w:style>
  <w:style w:type="paragraph" w:customStyle="1" w:styleId="27">
    <w:name w:val="xl76"/>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8">
    <w:name w:val="xl7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9">
    <w:name w:val="xl78"/>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30">
    <w:name w:val="xl7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1">
    <w:name w:val="xl8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2">
    <w:name w:val="xl8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3">
    <w:name w:val="列出段落2"/>
    <w:basedOn w:val="1"/>
    <w:qFormat/>
    <w:uiPriority w:val="99"/>
    <w:pPr>
      <w:ind w:firstLine="420" w:firstLineChars="200"/>
    </w:pPr>
    <w:rPr>
      <w:rFonts w:ascii="等线" w:hAnsi="等线" w:eastAsia="等线" w:cs="等线"/>
      <w:szCs w:val="21"/>
    </w:rPr>
  </w:style>
  <w:style w:type="paragraph" w:customStyle="1" w:styleId="34">
    <w:name w:val="msonormal"/>
    <w:basedOn w:val="1"/>
    <w:qFormat/>
    <w:uiPriority w:val="99"/>
    <w:pPr>
      <w:widowControl/>
      <w:spacing w:before="100" w:beforeAutospacing="1" w:after="100" w:afterAutospacing="1"/>
      <w:jc w:val="left"/>
    </w:pPr>
    <w:rPr>
      <w:rFonts w:ascii="宋体" w:hAnsi="宋体" w:cs="宋体"/>
      <w:kern w:val="0"/>
      <w:sz w:val="24"/>
    </w:rPr>
  </w:style>
  <w:style w:type="paragraph" w:customStyle="1" w:styleId="35">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36">
    <w:name w:val="font6"/>
    <w:basedOn w:val="1"/>
    <w:qFormat/>
    <w:uiPriority w:val="99"/>
    <w:pPr>
      <w:widowControl/>
      <w:spacing w:before="100" w:beforeAutospacing="1" w:after="100" w:afterAutospacing="1"/>
      <w:jc w:val="left"/>
    </w:pPr>
    <w:rPr>
      <w:rFonts w:ascii="宋体" w:hAnsi="宋体" w:cs="宋体"/>
      <w:kern w:val="0"/>
      <w:sz w:val="18"/>
      <w:szCs w:val="18"/>
    </w:rPr>
  </w:style>
  <w:style w:type="character" w:customStyle="1" w:styleId="37">
    <w:name w:val="标题 2 字符"/>
    <w:basedOn w:val="8"/>
    <w:link w:val="2"/>
    <w:qFormat/>
    <w:uiPriority w:val="0"/>
    <w:rPr>
      <w:rFonts w:asciiTheme="majorHAnsi" w:hAnsiTheme="majorHAnsi" w:eastAsiaTheme="majorEastAsia" w:cstheme="majorBidi"/>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BA96A2-7A04-4C82-AAD6-B4C5DC89F006}">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26</Pages>
  <Words>3633</Words>
  <Characters>20713</Characters>
  <Lines>172</Lines>
  <Paragraphs>48</Paragraphs>
  <TotalTime>3</TotalTime>
  <ScaleCrop>false</ScaleCrop>
  <LinksUpToDate>false</LinksUpToDate>
  <CharactersWithSpaces>24298</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2021-07-27T02:14:00Z</dcterms:created>
  <dc:creator>Administrator</dc:creator>
  <cp:lastModifiedBy>财政所</cp:lastModifiedBy>
  <cp:lastPrinted>2021-05-20T07:04:00Z</cp:lastPrinted>
  <dcterms:modified xsi:type="dcterms:W3CDTF">2022-05-18T01:30:10Z</dcterms:modified>
  <dc:title>益赫财办〔2013〕15号</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ECE4510AF38F46F097B806A7498C740E</vt:lpwstr>
  </property>
</Properties>
</file>