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D3" w:rsidRDefault="00957DD3" w:rsidP="00957DD3">
      <w:pPr>
        <w:widowControl w:val="0"/>
        <w:spacing w:line="560" w:lineRule="exact"/>
        <w:rPr>
          <w:rFonts w:ascii="仿宋_GB2312" w:eastAsia="仿宋_GB2312"/>
          <w:sz w:val="32"/>
          <w:szCs w:val="32"/>
          <w:highlight w:val="white"/>
        </w:rPr>
      </w:pPr>
    </w:p>
    <w:p w:rsidR="00021BAD" w:rsidRPr="00957DD3" w:rsidRDefault="00962646" w:rsidP="00957DD3">
      <w:pPr>
        <w:widowControl w:val="0"/>
        <w:spacing w:line="560" w:lineRule="exact"/>
        <w:jc w:val="center"/>
        <w:rPr>
          <w:rFonts w:ascii="方正小标宋简体" w:eastAsia="方正小标宋简体"/>
          <w:sz w:val="42"/>
          <w:szCs w:val="42"/>
          <w:highlight w:val="white"/>
        </w:rPr>
      </w:pPr>
      <w:r w:rsidRPr="00957DD3">
        <w:rPr>
          <w:rFonts w:ascii="方正小标宋简体" w:eastAsia="方正小标宋简体" w:hint="eastAsia"/>
          <w:sz w:val="42"/>
          <w:szCs w:val="42"/>
          <w:highlight w:val="white"/>
        </w:rPr>
        <w:t>2020年度益阳市赫山区政法委部门决算</w:t>
      </w:r>
    </w:p>
    <w:p w:rsidR="00021BAD" w:rsidRPr="00957DD3" w:rsidRDefault="00021BAD" w:rsidP="00957DD3">
      <w:pPr>
        <w:widowControl w:val="0"/>
        <w:spacing w:line="560" w:lineRule="exact"/>
        <w:ind w:firstLineChars="200" w:firstLine="640"/>
        <w:rPr>
          <w:rFonts w:ascii="仿宋_GB2312" w:eastAsia="仿宋_GB2312"/>
          <w:sz w:val="32"/>
          <w:szCs w:val="32"/>
          <w:highlight w:val="white"/>
        </w:rPr>
      </w:pPr>
    </w:p>
    <w:p w:rsidR="00021BAD" w:rsidRPr="00957DD3" w:rsidRDefault="00962646" w:rsidP="00957DD3">
      <w:pPr>
        <w:widowControl w:val="0"/>
        <w:spacing w:line="560" w:lineRule="exact"/>
        <w:jc w:val="center"/>
        <w:rPr>
          <w:rFonts w:ascii="黑体" w:eastAsia="黑体" w:hAnsi="黑体"/>
          <w:sz w:val="32"/>
          <w:szCs w:val="32"/>
          <w:highlight w:val="white"/>
        </w:rPr>
      </w:pPr>
      <w:r w:rsidRPr="00957DD3">
        <w:rPr>
          <w:rFonts w:ascii="黑体" w:eastAsia="黑体" w:hAnsi="黑体" w:hint="eastAsia"/>
          <w:sz w:val="32"/>
          <w:szCs w:val="32"/>
          <w:highlight w:val="white"/>
        </w:rPr>
        <w:t>目 录</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第一部分 益阳市赫山区政法委概况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一、部门职责</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二、机构设置</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第二部分 2020年度部门决算表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一、收入支出决算总表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二、收入决算表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三、支出决算表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四、财政拨款收入支出决算总表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五、一般公共预算财政拨款支出决算表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六、一般公共预算财政拨款基本支出决算表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七、一般公共预算财政拨款“三公”经费支出决算表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八、政府性基金预算财政拨款收入支出决算表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九、国有资本经营预算财政拨款收入支出决算表</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第三部分2020年度部门决算情况说明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一、收入支出决算总体情况说明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二、收入决算情况说明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三、支出决算情况说明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四、财政拨款收入支出决算总体情况说明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五、一般公共预算财政拨款支出决算情况说明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六、一般公共预算财政拨款基本支出决算情况说明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七、一般公共预算财政拨款三公经费支出决算情况说明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八、政府性基金预算收入支出决算情况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九、国有资本经营预算财政拨款支出预算情况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十、关于机关运行经费支出说明</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十一、一般性支出情况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十二、关于政府采购支出说明</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十三、关于国有资产占用情况说明</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十四、关于2020年度预算绩效情况的说明</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第四部分 名词解释</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第五部分 附件</w:t>
      </w:r>
    </w:p>
    <w:p w:rsidR="00021BAD" w:rsidRPr="00957DD3" w:rsidRDefault="00021BAD" w:rsidP="00957DD3">
      <w:pPr>
        <w:widowControl w:val="0"/>
        <w:spacing w:line="560" w:lineRule="exact"/>
        <w:ind w:firstLineChars="200" w:firstLine="640"/>
        <w:rPr>
          <w:rFonts w:ascii="仿宋_GB2312" w:eastAsia="仿宋_GB2312"/>
          <w:sz w:val="32"/>
          <w:szCs w:val="32"/>
          <w:highlight w:val="white"/>
        </w:rPr>
      </w:pPr>
    </w:p>
    <w:p w:rsidR="00021BAD" w:rsidRPr="00957DD3" w:rsidRDefault="00021BAD" w:rsidP="00957DD3">
      <w:pPr>
        <w:widowControl w:val="0"/>
        <w:spacing w:line="560" w:lineRule="exact"/>
        <w:ind w:firstLineChars="200" w:firstLine="640"/>
        <w:rPr>
          <w:rFonts w:ascii="仿宋_GB2312" w:eastAsia="仿宋_GB2312"/>
          <w:sz w:val="32"/>
          <w:szCs w:val="32"/>
          <w:highlight w:val="white"/>
        </w:rPr>
      </w:pPr>
    </w:p>
    <w:p w:rsidR="00957DD3" w:rsidRDefault="00957DD3">
      <w:pPr>
        <w:jc w:val="left"/>
        <w:rPr>
          <w:rFonts w:ascii="仿宋_GB2312" w:eastAsia="仿宋_GB2312"/>
          <w:sz w:val="32"/>
          <w:szCs w:val="32"/>
          <w:highlight w:val="white"/>
        </w:rPr>
      </w:pPr>
      <w:r>
        <w:rPr>
          <w:rFonts w:ascii="仿宋_GB2312" w:eastAsia="仿宋_GB2312"/>
          <w:sz w:val="32"/>
          <w:szCs w:val="32"/>
          <w:highlight w:val="white"/>
        </w:rPr>
        <w:br w:type="page"/>
      </w:r>
    </w:p>
    <w:p w:rsidR="00957DD3" w:rsidRPr="00957DD3" w:rsidRDefault="00962646" w:rsidP="00957DD3">
      <w:pPr>
        <w:widowControl w:val="0"/>
        <w:spacing w:line="560" w:lineRule="exact"/>
        <w:rPr>
          <w:rFonts w:ascii="黑体" w:eastAsia="黑体" w:hAnsi="黑体"/>
          <w:sz w:val="32"/>
          <w:szCs w:val="32"/>
          <w:highlight w:val="white"/>
        </w:rPr>
      </w:pPr>
      <w:r w:rsidRPr="00957DD3">
        <w:rPr>
          <w:rFonts w:ascii="黑体" w:eastAsia="黑体" w:hAnsi="黑体" w:hint="eastAsia"/>
          <w:sz w:val="32"/>
          <w:szCs w:val="32"/>
          <w:highlight w:val="white"/>
        </w:rPr>
        <w:lastRenderedPageBreak/>
        <w:t>第一部分</w:t>
      </w:r>
      <w:r w:rsidR="00957DD3" w:rsidRPr="00957DD3">
        <w:rPr>
          <w:rFonts w:ascii="黑体" w:eastAsia="黑体" w:hAnsi="黑体" w:hint="eastAsia"/>
          <w:sz w:val="32"/>
          <w:szCs w:val="32"/>
          <w:highlight w:val="white"/>
        </w:rPr>
        <w:t>：</w:t>
      </w:r>
    </w:p>
    <w:p w:rsidR="00021BAD" w:rsidRPr="00957DD3" w:rsidRDefault="00962646" w:rsidP="00957DD3">
      <w:pPr>
        <w:widowControl w:val="0"/>
        <w:spacing w:line="560" w:lineRule="exact"/>
        <w:jc w:val="center"/>
        <w:rPr>
          <w:rFonts w:ascii="方正小标宋简体" w:eastAsia="方正小标宋简体"/>
          <w:sz w:val="42"/>
          <w:szCs w:val="42"/>
          <w:highlight w:val="white"/>
        </w:rPr>
      </w:pPr>
      <w:r w:rsidRPr="00957DD3">
        <w:rPr>
          <w:rFonts w:ascii="方正小标宋简体" w:eastAsia="方正小标宋简体" w:hint="eastAsia"/>
          <w:sz w:val="42"/>
          <w:szCs w:val="42"/>
          <w:highlight w:val="white"/>
        </w:rPr>
        <w:t>益阳市赫山区政法委概况</w:t>
      </w:r>
    </w:p>
    <w:p w:rsidR="00957DD3" w:rsidRDefault="00957DD3" w:rsidP="00957DD3">
      <w:pPr>
        <w:widowControl w:val="0"/>
        <w:spacing w:line="560" w:lineRule="exact"/>
        <w:ind w:firstLineChars="200" w:firstLine="640"/>
        <w:rPr>
          <w:rFonts w:ascii="仿宋_GB2312" w:eastAsia="仿宋_GB2312"/>
          <w:sz w:val="32"/>
          <w:szCs w:val="32"/>
          <w:highlight w:val="white"/>
        </w:rPr>
      </w:pP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一、部门职责</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（一）深入贯彻习近平新时代中国特色社会主义思想，坚决执行党的路线方针政策和决策部署，统一政法各部门思想和行动，坚持党对政法工作的绝对领导，坚决维护党中央权威和集中统一领导。</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深入贯彻党中央决定和省委、市委、区委决策，对全区政法工作研究提出全局性部署，推进平安赫山、法治赫山建设，加强过硬队伍建设，深化智能化建设，坚决维护国家政治安全、确保社会大局稳定、促进社会公平正义、保障人民安居乐业。</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（三）了解掌握和分析研判政法工作情况动态，分析社会稳定形势，创新完善多部门参与的综治维稳工作机制，协调推动预防、化解影响稳定的社会矛盾和风险，协调应对和处置重大突发事件。</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（四）加强对政法工作的督查，统筹协调社会治安综合治理、维护社会稳定、国家安全、反邪教有关法律法规政策的实施工作。</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（五）组织开展政法领域的调查研究，研究拟订政法工作的重要措施，及时向区委提出建议。</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（六）掌握分析政法舆情动态，指导协调政法部门媒体网络宣传工作，指导政法部门做好涉及政法工作的重大宣传工作。</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（七）监督和支持政法各部门依法行使职权，指导和协调政法各部门密切配合，研究和协调重大、疑难案件，推进严格执法、公正司法。</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（八）组织研究政法改革中带有方向性、倾向性和普遍性的重大问题，深化政法改革。</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（九）指导推动政法系统党的建设和政法队伍建设。</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二、机构设置</w:t>
      </w:r>
    </w:p>
    <w:p w:rsidR="00021BAD" w:rsidRPr="00957DD3" w:rsidRDefault="00957DD3" w:rsidP="00957DD3">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962646" w:rsidRPr="00957DD3">
        <w:rPr>
          <w:rFonts w:ascii="仿宋_GB2312" w:eastAsia="仿宋_GB2312" w:hint="eastAsia"/>
          <w:sz w:val="32"/>
          <w:szCs w:val="32"/>
          <w:highlight w:val="white"/>
        </w:rPr>
        <w:t>内设机构设置</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益阳市赫山区政法委单位内设机构包括：办公室（政策研究室）、政治安全室（反邪教协调室）、维稳指导室、综治督导室、区综治中心（基层社会治理室）、执法监督室、区法学会办公室、政治工作办公室。</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（二）决算单位构成</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益阳市赫山区政法委单位2020年部门决算汇总公开单位构成包括：委机关本级决算（根据财政预算管理制度，所属二级机构为一级预算单位，部门决算报表分别单独公开），不包含下属单位。</w:t>
      </w:r>
    </w:p>
    <w:p w:rsidR="00021BAD" w:rsidRPr="00957DD3" w:rsidRDefault="00021BAD" w:rsidP="00957DD3">
      <w:pPr>
        <w:widowControl w:val="0"/>
        <w:spacing w:line="560" w:lineRule="exact"/>
        <w:ind w:firstLineChars="200" w:firstLine="640"/>
        <w:rPr>
          <w:rFonts w:ascii="仿宋_GB2312" w:eastAsia="仿宋_GB2312"/>
          <w:sz w:val="32"/>
          <w:szCs w:val="32"/>
          <w:highlight w:val="white"/>
        </w:rPr>
      </w:pPr>
    </w:p>
    <w:p w:rsidR="00957DD3" w:rsidRPr="00957DD3" w:rsidRDefault="00962646" w:rsidP="00957DD3">
      <w:pPr>
        <w:widowControl w:val="0"/>
        <w:spacing w:line="560" w:lineRule="exact"/>
        <w:rPr>
          <w:rFonts w:ascii="黑体" w:eastAsia="黑体" w:hAnsi="黑体"/>
          <w:sz w:val="32"/>
          <w:szCs w:val="32"/>
          <w:highlight w:val="white"/>
        </w:rPr>
      </w:pPr>
      <w:r w:rsidRPr="00957DD3">
        <w:rPr>
          <w:rFonts w:ascii="黑体" w:eastAsia="黑体" w:hAnsi="黑体" w:hint="eastAsia"/>
          <w:sz w:val="32"/>
          <w:szCs w:val="32"/>
          <w:highlight w:val="white"/>
        </w:rPr>
        <w:t>第二部分</w:t>
      </w:r>
      <w:r w:rsidR="00957DD3" w:rsidRPr="00957DD3">
        <w:rPr>
          <w:rFonts w:ascii="黑体" w:eastAsia="黑体" w:hAnsi="黑体" w:hint="eastAsia"/>
          <w:sz w:val="32"/>
          <w:szCs w:val="32"/>
          <w:highlight w:val="white"/>
        </w:rPr>
        <w:t>：</w:t>
      </w:r>
    </w:p>
    <w:p w:rsidR="00021BAD" w:rsidRPr="00957DD3" w:rsidRDefault="00962646" w:rsidP="00957DD3">
      <w:pPr>
        <w:widowControl w:val="0"/>
        <w:spacing w:line="560" w:lineRule="exact"/>
        <w:jc w:val="center"/>
        <w:rPr>
          <w:rFonts w:ascii="方正小标宋简体" w:eastAsia="方正小标宋简体"/>
          <w:sz w:val="42"/>
          <w:szCs w:val="42"/>
          <w:highlight w:val="white"/>
        </w:rPr>
      </w:pPr>
      <w:r w:rsidRPr="00957DD3">
        <w:rPr>
          <w:rFonts w:ascii="方正小标宋简体" w:eastAsia="方正小标宋简体" w:hint="eastAsia"/>
          <w:sz w:val="42"/>
          <w:szCs w:val="42"/>
          <w:highlight w:val="white"/>
        </w:rPr>
        <w:t>2020年度部门决算表（见附表）</w:t>
      </w:r>
    </w:p>
    <w:p w:rsidR="00021BAD" w:rsidRPr="00957DD3" w:rsidRDefault="00021BAD" w:rsidP="00957DD3">
      <w:pPr>
        <w:widowControl w:val="0"/>
        <w:spacing w:line="560" w:lineRule="exact"/>
        <w:ind w:firstLineChars="200" w:firstLine="640"/>
        <w:rPr>
          <w:rFonts w:ascii="仿宋_GB2312" w:eastAsia="仿宋_GB2312"/>
          <w:sz w:val="32"/>
          <w:szCs w:val="32"/>
          <w:highlight w:val="white"/>
        </w:rPr>
      </w:pPr>
    </w:p>
    <w:p w:rsidR="00957DD3" w:rsidRPr="00957DD3" w:rsidRDefault="00962646" w:rsidP="00957DD3">
      <w:pPr>
        <w:widowControl w:val="0"/>
        <w:spacing w:line="560" w:lineRule="exact"/>
        <w:rPr>
          <w:rFonts w:ascii="黑体" w:eastAsia="黑体" w:hAnsi="黑体"/>
          <w:sz w:val="32"/>
          <w:szCs w:val="32"/>
          <w:highlight w:val="white"/>
        </w:rPr>
      </w:pPr>
      <w:r w:rsidRPr="00957DD3">
        <w:rPr>
          <w:rFonts w:ascii="黑体" w:eastAsia="黑体" w:hAnsi="黑体" w:hint="eastAsia"/>
          <w:sz w:val="32"/>
          <w:szCs w:val="32"/>
          <w:highlight w:val="white"/>
        </w:rPr>
        <w:lastRenderedPageBreak/>
        <w:t>第三部分</w:t>
      </w:r>
      <w:r w:rsidR="00957DD3" w:rsidRPr="00957DD3">
        <w:rPr>
          <w:rFonts w:ascii="黑体" w:eastAsia="黑体" w:hAnsi="黑体" w:hint="eastAsia"/>
          <w:sz w:val="32"/>
          <w:szCs w:val="32"/>
          <w:highlight w:val="white"/>
        </w:rPr>
        <w:t>：</w:t>
      </w:r>
    </w:p>
    <w:p w:rsidR="00021BAD" w:rsidRPr="00957DD3" w:rsidRDefault="00962646" w:rsidP="00957DD3">
      <w:pPr>
        <w:widowControl w:val="0"/>
        <w:spacing w:line="560" w:lineRule="exact"/>
        <w:jc w:val="center"/>
        <w:rPr>
          <w:rFonts w:ascii="方正小标宋简体" w:eastAsia="方正小标宋简体"/>
          <w:sz w:val="42"/>
          <w:szCs w:val="42"/>
          <w:highlight w:val="white"/>
        </w:rPr>
      </w:pPr>
      <w:r w:rsidRPr="00957DD3">
        <w:rPr>
          <w:rFonts w:ascii="方正小标宋简体" w:eastAsia="方正小标宋简体" w:hint="eastAsia"/>
          <w:sz w:val="42"/>
          <w:szCs w:val="42"/>
          <w:highlight w:val="white"/>
        </w:rPr>
        <w:t>2020年度部门决算情况说明</w:t>
      </w:r>
    </w:p>
    <w:p w:rsidR="00957DD3" w:rsidRDefault="00957DD3" w:rsidP="00957DD3">
      <w:pPr>
        <w:widowControl w:val="0"/>
        <w:spacing w:line="560" w:lineRule="exact"/>
        <w:ind w:firstLineChars="200" w:firstLine="640"/>
        <w:rPr>
          <w:rFonts w:ascii="仿宋_GB2312" w:eastAsia="仿宋_GB2312"/>
          <w:sz w:val="32"/>
          <w:szCs w:val="32"/>
          <w:highlight w:val="white"/>
        </w:rPr>
      </w:pP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一、收入支出决算总体情况说明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收入2182.57万元，年初结转和结余265.74万元，总计2448.31万元，与2019年度收入（925.1万元）相比，增加1257.47万元，增长135.92%，主要原因是:雪亮工程三期建设资金；市特殊涉毒人员收治中心、桃江关爱中心、解决强制隔离戒毒；一村一辅警等上级转移支付资金共计1527.45万元纳入收入，从而导致同比大幅增长。</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支出2177.23万元，年末结转和结余271.08万元，总计2448.31万元，较2019年支出（1045.53万元）相比，增加了1131.7万元，增长108.24%，主要原因是：雪亮工程三期建设资金；市特殊涉毒人员收治中心、桃江关爱中心、解决强制隔离戒毒；一村一辅警等上级转移支付资金共计1527.45万元计入支出，从而导致同比大幅增长。</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二、收入决算情况说明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本年收入合计2182.57万元，其中：一般公共预算财政拨款收入2182.57万元，占100%。</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三、支出决算情况说明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本年支出合计2177.23万元，其中：基本支出1004.04万元，占46.12%；项目支出1173.19万元，占53.88%。</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 xml:space="preserve">四、财政拨款收入支出决算总体情况说明 </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2020年度财政拨款收入总计2182.57万元，年初财政拨款结转和结余265.74万元，总计2448.31万元，与2019年财政拨款收入（864.04万元）相比，增加1318.53万元，增长152.60%,</w:t>
      </w:r>
      <w:r w:rsidRPr="00957DD3">
        <w:rPr>
          <w:rFonts w:ascii="仿宋_GB2312" w:eastAsia="仿宋_GB2312" w:hint="eastAsia"/>
          <w:sz w:val="32"/>
          <w:szCs w:val="32"/>
          <w:highlight w:val="white"/>
        </w:rPr>
        <w:t>主要原因是</w:t>
      </w:r>
      <w:r w:rsidRPr="00957DD3">
        <w:rPr>
          <w:rFonts w:ascii="仿宋_GB2312" w:eastAsia="仿宋_GB2312" w:hint="eastAsia"/>
          <w:sz w:val="32"/>
          <w:szCs w:val="32"/>
        </w:rPr>
        <w:t>:</w:t>
      </w:r>
      <w:r w:rsidRPr="00957DD3">
        <w:rPr>
          <w:rFonts w:ascii="仿宋_GB2312" w:eastAsia="仿宋_GB2312" w:hint="eastAsia"/>
          <w:sz w:val="32"/>
          <w:szCs w:val="32"/>
          <w:highlight w:val="white"/>
        </w:rPr>
        <w:t xml:space="preserve"> 雪亮工程三期建设资金；市特殊涉毒人员收治中心、桃江关爱中心、解决强制隔离戒毒；一村一辅警等上级转移支付资金共计1527.45万元纳入收入，从而导致同比大幅增长</w:t>
      </w:r>
      <w:r w:rsidRPr="00957DD3">
        <w:rPr>
          <w:rFonts w:ascii="仿宋_GB2312" w:eastAsia="仿宋_GB2312" w:hint="eastAsia"/>
          <w:sz w:val="32"/>
          <w:szCs w:val="32"/>
        </w:rPr>
        <w:t>。</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rPr>
        <w:t>2020年度财政拨款支出总计2177.23万元，年末财政拨款结转和结余271.08万元，总计2448.31万元，与2019年财政拨款支出（924.57万元）相比，增加1252.66万元，增长135.48%。</w:t>
      </w:r>
      <w:r w:rsidRPr="00957DD3">
        <w:rPr>
          <w:rFonts w:ascii="仿宋_GB2312" w:eastAsia="仿宋_GB2312" w:hint="eastAsia"/>
          <w:sz w:val="32"/>
          <w:szCs w:val="32"/>
          <w:highlight w:val="white"/>
        </w:rPr>
        <w:t>主要原因是：雪亮工程三期建设资金；市特殊涉毒人员收治中心、桃江关爱中心、解决强制隔离戒毒；一村一辅警等上级转移支付资金共计1527.45万元计入支出，从而导致同比大幅增长。</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五、一般公共预算财政拨款支出决算情况说明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（一）一般公共预算财政拨款支出决算总体情况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2020年度一般公共预算财政拨款支出2177.23万元，占本年支出合计的100%。与2019年度相比，财政拨款支出增加1252.66万元，增长135.48%,主要原因是：雪亮工程三期建设资金；市特</w:t>
      </w:r>
      <w:r w:rsidRPr="00957DD3">
        <w:rPr>
          <w:rFonts w:ascii="仿宋_GB2312" w:eastAsia="仿宋_GB2312" w:hint="eastAsia"/>
          <w:sz w:val="32"/>
          <w:szCs w:val="32"/>
          <w:highlight w:val="white"/>
        </w:rPr>
        <w:lastRenderedPageBreak/>
        <w:t>殊涉毒人员收治中心、桃江关爱中心、解决强制隔离戒毒；一村一辅警等上级转移支付资金共计1527.45万元计入支出，从而导致同比大幅增长。</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（二）一般公共预算财政拨款支出决算结构情况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一般公共预算财政拨款支出2177.23万元，主要用于以下方面：一般公共服务（类）支出2122.78万元，占97.5%；社会保障和就业（类）支出19.38万元，占0.89%；卫生健康（类）支出21.26万元，占0.98%；住房保障（类）支出13.81万元，占0.63%。</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（三）一般公共预算财政拨款支出决算具体情况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2020年度一般公共预算财政拨款支出年初预算为338.26万元，支出决算为2177.23万元，完成年初预算的643.65%。其中：</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1.201一般公共服务支出（类）03 政府办公厅（室）及相关机构事务（款）99其他政府办公厅（室）及相关机构事务支出（项）年初预算为23.69万元，支出决算为0万元，决算数小于年初预算数的主要原因是：调整预算减少23.69</w:t>
      </w:r>
      <w:r w:rsidR="0030383D">
        <w:rPr>
          <w:rFonts w:ascii="仿宋_GB2312" w:eastAsia="仿宋_GB2312" w:hint="eastAsia"/>
          <w:sz w:val="32"/>
          <w:szCs w:val="32"/>
        </w:rPr>
        <w:t>万元。</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2.201一般公共服务支出（类）31党委办公厅（室）及相关机构事务（款）01 行政运行（项）年初预算为260.13万元，支出决算为670.95万元，决算数大于年初预算数的主要原因是：调整预算增加410.82</w:t>
      </w:r>
      <w:r w:rsidR="0030383D">
        <w:rPr>
          <w:rFonts w:ascii="仿宋_GB2312" w:eastAsia="仿宋_GB2312" w:hint="eastAsia"/>
          <w:sz w:val="32"/>
          <w:szCs w:val="32"/>
        </w:rPr>
        <w:t>万元。</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lastRenderedPageBreak/>
        <w:t>3.201一般公共服务支出（类）31党委办公厅（室）及相关机构事务（款）99 其他党委办公厅（室）及相关机构事务支出（项）</w:t>
      </w:r>
    </w:p>
    <w:p w:rsidR="00021BAD" w:rsidRPr="00957DD3" w:rsidRDefault="00962646" w:rsidP="00696E06">
      <w:pPr>
        <w:widowControl w:val="0"/>
        <w:spacing w:line="560" w:lineRule="exact"/>
        <w:rPr>
          <w:rFonts w:ascii="仿宋_GB2312" w:eastAsia="仿宋_GB2312"/>
          <w:sz w:val="32"/>
          <w:szCs w:val="32"/>
        </w:rPr>
      </w:pPr>
      <w:r w:rsidRPr="00957DD3">
        <w:rPr>
          <w:rFonts w:ascii="仿宋_GB2312" w:eastAsia="仿宋_GB2312" w:hint="eastAsia"/>
          <w:sz w:val="32"/>
          <w:szCs w:val="32"/>
        </w:rPr>
        <w:t>年初预算为0万元，支出决算为1156.72万元，决算数大于年初预算数的主要原因是：调整预算增加1156.72</w:t>
      </w:r>
      <w:r w:rsidR="0030383D">
        <w:rPr>
          <w:rFonts w:ascii="仿宋_GB2312" w:eastAsia="仿宋_GB2312" w:hint="eastAsia"/>
          <w:sz w:val="32"/>
          <w:szCs w:val="32"/>
        </w:rPr>
        <w:t>万元。</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4.204公共安全支出（类）02公安（款）02一般行政管理事务（项）年初预算为0万元，支出决算为73.50万元，决算数大于年初预算数的主要原因是：调整预算增加73.50</w:t>
      </w:r>
      <w:r w:rsidR="0030383D">
        <w:rPr>
          <w:rFonts w:ascii="仿宋_GB2312" w:eastAsia="仿宋_GB2312" w:hint="eastAsia"/>
          <w:sz w:val="32"/>
          <w:szCs w:val="32"/>
        </w:rPr>
        <w:t>万元。</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5.204公共安全支出（类）02公安（款）99其他公安支出（项）</w:t>
      </w:r>
    </w:p>
    <w:p w:rsidR="00021BAD" w:rsidRPr="00957DD3" w:rsidRDefault="00962646" w:rsidP="00696E06">
      <w:pPr>
        <w:widowControl w:val="0"/>
        <w:spacing w:line="560" w:lineRule="exact"/>
        <w:rPr>
          <w:rFonts w:ascii="仿宋_GB2312" w:eastAsia="仿宋_GB2312"/>
          <w:sz w:val="32"/>
          <w:szCs w:val="32"/>
        </w:rPr>
      </w:pPr>
      <w:r w:rsidRPr="00957DD3">
        <w:rPr>
          <w:rFonts w:ascii="仿宋_GB2312" w:eastAsia="仿宋_GB2312" w:hint="eastAsia"/>
          <w:sz w:val="32"/>
          <w:szCs w:val="32"/>
        </w:rPr>
        <w:t>年初预算为0万元，支出决算为141.12万元，决算数大于年初预算数的主要原因是：调整预算增加141.12</w:t>
      </w:r>
      <w:r w:rsidR="0030383D">
        <w:rPr>
          <w:rFonts w:ascii="仿宋_GB2312" w:eastAsia="仿宋_GB2312" w:hint="eastAsia"/>
          <w:sz w:val="32"/>
          <w:szCs w:val="32"/>
        </w:rPr>
        <w:t>万元。</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6.204公共安全支出（类）06司法（款）02一般行政管理事务（项）年初预算为0万元，支出决算为21.00万元，决算数大于年初预算数的主要原因是：调整预算增加21.00</w:t>
      </w:r>
      <w:r w:rsidR="0030383D">
        <w:rPr>
          <w:rFonts w:ascii="仿宋_GB2312" w:eastAsia="仿宋_GB2312" w:hint="eastAsia"/>
          <w:sz w:val="32"/>
          <w:szCs w:val="32"/>
        </w:rPr>
        <w:t>万元。</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7.204公共安全支出（类）06司法（款）99其他司法支出（项）</w:t>
      </w:r>
    </w:p>
    <w:p w:rsidR="00021BAD" w:rsidRPr="00957DD3" w:rsidRDefault="00962646" w:rsidP="00696E06">
      <w:pPr>
        <w:widowControl w:val="0"/>
        <w:spacing w:line="560" w:lineRule="exact"/>
        <w:rPr>
          <w:rFonts w:ascii="仿宋_GB2312" w:eastAsia="仿宋_GB2312"/>
          <w:sz w:val="32"/>
          <w:szCs w:val="32"/>
        </w:rPr>
      </w:pPr>
      <w:r w:rsidRPr="00957DD3">
        <w:rPr>
          <w:rFonts w:ascii="仿宋_GB2312" w:eastAsia="仿宋_GB2312" w:hint="eastAsia"/>
          <w:sz w:val="32"/>
          <w:szCs w:val="32"/>
        </w:rPr>
        <w:t>年初预算为0万元，支出决算为6.50万元，决算数大于年初预算数的主要原因是：调整预算增加6.50</w:t>
      </w:r>
      <w:r w:rsidR="0030383D">
        <w:rPr>
          <w:rFonts w:ascii="仿宋_GB2312" w:eastAsia="仿宋_GB2312" w:hint="eastAsia"/>
          <w:sz w:val="32"/>
          <w:szCs w:val="32"/>
        </w:rPr>
        <w:t>万元。</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8.204公共安全支出（类）99其他公共安全支出（款）01其他公共安全支出（项）年初预算为0万元，支出决算为53.00万元，决算数大于年初预算数的主要原因是：调整预算增加53.00</w:t>
      </w:r>
      <w:r w:rsidR="0030383D">
        <w:rPr>
          <w:rFonts w:ascii="仿宋_GB2312" w:eastAsia="仿宋_GB2312" w:hint="eastAsia"/>
          <w:sz w:val="32"/>
          <w:szCs w:val="32"/>
        </w:rPr>
        <w:t>万元。</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 xml:space="preserve"> 9.208社会保障和就业支出（类）05行政事业单位养老支出</w:t>
      </w:r>
      <w:r w:rsidRPr="00957DD3">
        <w:rPr>
          <w:rFonts w:ascii="仿宋_GB2312" w:eastAsia="仿宋_GB2312" w:hint="eastAsia"/>
          <w:sz w:val="32"/>
          <w:szCs w:val="32"/>
        </w:rPr>
        <w:lastRenderedPageBreak/>
        <w:t>（款）05机关事业单位基本养老保险缴费支出（项）年初预算为19.38万元，支出决算为19.38</w:t>
      </w:r>
      <w:r w:rsidR="0030383D">
        <w:rPr>
          <w:rFonts w:ascii="仿宋_GB2312" w:eastAsia="仿宋_GB2312" w:hint="eastAsia"/>
          <w:sz w:val="32"/>
          <w:szCs w:val="32"/>
        </w:rPr>
        <w:t>万元，决算数与年初预算数相等。</w:t>
      </w:r>
    </w:p>
    <w:p w:rsidR="00021BAD" w:rsidRPr="00957DD3"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10.210卫生健康支出（类）11行政事业单位医疗（款）01行政单位医疗（项）年初预算为21.26万元，支出决算为21.26</w:t>
      </w:r>
      <w:r w:rsidR="0030383D">
        <w:rPr>
          <w:rFonts w:ascii="仿宋_GB2312" w:eastAsia="仿宋_GB2312" w:hint="eastAsia"/>
          <w:sz w:val="32"/>
          <w:szCs w:val="32"/>
        </w:rPr>
        <w:t>万元，决算数与年初预算数相等。</w:t>
      </w:r>
    </w:p>
    <w:p w:rsidR="00021BAD" w:rsidRPr="00696E06" w:rsidRDefault="00962646" w:rsidP="00696E06">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11.221住房保障支出（类）02住房改革支出（款）01住房公积金（项）年初预算为13.81万元，支出决算为13.81万元，决算数与年初预算数相等。</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主要原因是：雪亮工程三期建设资金；市特殊涉毒人员收治中心、桃江关爱中心、解决强制隔离戒毒；一村一辅警等上级转移支付资金共计1838.97万元计入支出。</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rPr>
        <w:t>六、一般公共预算财政拨款基本支出决算情况说</w:t>
      </w:r>
      <w:r w:rsidRPr="00957DD3">
        <w:rPr>
          <w:rFonts w:ascii="黑体" w:eastAsia="黑体" w:hAnsi="黑体" w:hint="eastAsia"/>
          <w:sz w:val="32"/>
          <w:szCs w:val="32"/>
          <w:highlight w:val="white"/>
        </w:rPr>
        <w:t>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一般公共预算财政拨款基本支出1004.04万元，其中:人员经费519.5万元，占基本支出的51.74%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443.54万元，占基本支出的44.18%，主要包括办公费、印刷费、咨询费、手续费、水</w:t>
      </w:r>
      <w:r w:rsidRPr="00957DD3">
        <w:rPr>
          <w:rFonts w:ascii="仿宋_GB2312" w:eastAsia="仿宋_GB2312" w:hint="eastAsia"/>
          <w:sz w:val="32"/>
          <w:szCs w:val="32"/>
          <w:highlight w:val="white"/>
        </w:rPr>
        <w:lastRenderedPageBreak/>
        <w:t>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七、一般公共预算财政拨款“三公”经费支出决算情况说明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（一）“三公”经费财政拨款支出决算总体情况说明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2020年度“三公”经费一般公共预算财政拨款支出预算为1.00万元，支出决算为1.13万元,完成预算的113.00%，其中：</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 xml:space="preserve">无因公出国（境）费支出预算与决算；   </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 xml:space="preserve">无公务用车购置费及运行维护费支出预算与决算；   </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公务接待费支出预算为1.00万元，支出决算为1.13万元,完成预算的113.00%。主要原因：2020年信访维稳、执法监督、平安建设等工作检查、接待较多。</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（二）“三公”经费财政拨款支出决算具体情况说明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2020年度“三公”经费财政拨款支出决算中，因公出国（境）费支出决算0万元，公务用车购置费及运行维护费支出决算0万元，公务接待费支出决算1.13万元，占100%。其中：公务接待费支出</w:t>
      </w:r>
      <w:r w:rsidRPr="00957DD3">
        <w:rPr>
          <w:rFonts w:ascii="仿宋_GB2312" w:eastAsia="仿宋_GB2312" w:hint="eastAsia"/>
          <w:sz w:val="32"/>
          <w:szCs w:val="32"/>
          <w:highlight w:val="white"/>
        </w:rPr>
        <w:lastRenderedPageBreak/>
        <w:t>决算为1.13万元，其中：其他国内公务接待支出1.13万元。主要用于与有关单位交流工作情况及接受相关部门检查指导工作发生的接待支出。益阳市赫山区政法委2020年共接待国内公务接待批次32个、接待人次256人次（不包括陪同人员）。</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八、政府性基金预算收入支出决算情况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2020年本单位没有使用政府性基金预算财政拨款安排的收支。</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九、关于机关运行经费支出说明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益阳市赫山区政法委2020年机关运行经费支出443.54万元，与年初预算（67.04万元）相比，增加376.50万元，增长561.61%，主要是项目增加，相应经费增加。</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十、一般性支出情况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2020年本部门开支会议费7.92万元，用于召开各类业务会议，人数1600余人，内容为：政法工作、扫黑除恶、维稳安保、平安建设等工作会议；本年度无培训费开支。</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十一、关于政府采购支出说明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 xml:space="preserve">本年度无政府采购。   </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十二、关于国有资产占有情况说明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本单位年末无车辆。年末无单价50万元以上通用设备，年末无单价100万元以上专用设备。</w:t>
      </w:r>
    </w:p>
    <w:p w:rsidR="00021BAD" w:rsidRPr="00957DD3" w:rsidRDefault="00962646" w:rsidP="00957DD3">
      <w:pPr>
        <w:widowControl w:val="0"/>
        <w:spacing w:line="560" w:lineRule="exact"/>
        <w:ind w:firstLineChars="200" w:firstLine="640"/>
        <w:rPr>
          <w:rFonts w:ascii="黑体" w:eastAsia="黑体" w:hAnsi="黑体"/>
          <w:sz w:val="32"/>
          <w:szCs w:val="32"/>
          <w:highlight w:val="white"/>
        </w:rPr>
      </w:pPr>
      <w:r w:rsidRPr="00957DD3">
        <w:rPr>
          <w:rFonts w:ascii="黑体" w:eastAsia="黑体" w:hAnsi="黑体" w:hint="eastAsia"/>
          <w:sz w:val="32"/>
          <w:szCs w:val="32"/>
          <w:highlight w:val="white"/>
        </w:rPr>
        <w:t>十三、关于2020年度预算绩效情况的说明</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（一）绩效管理工作开展情况。</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按照绩效自评工作要求，成立以绩效评价工作小组，对相关的国家法律法规进行了认真学习，掌握政策，根据部门整体收支情况制定了部门整体支出绩效评价实施方案。核查了2020年同级财政预算批复执行及部门整体支出情况，着重核查了“三公”经费及资产管理、内部控制制度等情况。对评价过程中收集资料进行归纳，汇总分析，依据整体支出绩效评价指标进行了评分，形成了综合性书面报告。</w:t>
      </w:r>
    </w:p>
    <w:p w:rsidR="00021BAD" w:rsidRPr="00957DD3" w:rsidRDefault="00957DD3" w:rsidP="00957DD3">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962646" w:rsidRPr="00957DD3">
        <w:rPr>
          <w:rFonts w:ascii="仿宋_GB2312" w:eastAsia="仿宋_GB2312" w:hint="eastAsia"/>
          <w:sz w:val="32"/>
          <w:szCs w:val="32"/>
          <w:highlight w:val="white"/>
        </w:rPr>
        <w:t>部门决算中项目绩效自评结果。</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1</w:t>
      </w:r>
      <w:r w:rsidR="00957DD3">
        <w:rPr>
          <w:rFonts w:ascii="仿宋_GB2312" w:eastAsia="仿宋_GB2312" w:hint="eastAsia"/>
          <w:sz w:val="32"/>
          <w:szCs w:val="32"/>
          <w:highlight w:val="white"/>
        </w:rPr>
        <w:t>.</w:t>
      </w:r>
      <w:r w:rsidRPr="00957DD3">
        <w:rPr>
          <w:rFonts w:ascii="仿宋_GB2312" w:eastAsia="仿宋_GB2312" w:hint="eastAsia"/>
          <w:sz w:val="32"/>
          <w:szCs w:val="32"/>
          <w:highlight w:val="white"/>
        </w:rPr>
        <w:t>预算执行到位。严格执行《预算法》和各项财经纪律，机关管理制度健全，财务管理规范，预算编制合理。</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2</w:t>
      </w:r>
      <w:r w:rsidR="00957DD3">
        <w:rPr>
          <w:rFonts w:ascii="仿宋_GB2312" w:eastAsia="仿宋_GB2312" w:hint="eastAsia"/>
          <w:sz w:val="32"/>
          <w:szCs w:val="32"/>
          <w:highlight w:val="white"/>
        </w:rPr>
        <w:t>.</w:t>
      </w:r>
      <w:r w:rsidRPr="00957DD3">
        <w:rPr>
          <w:rFonts w:ascii="仿宋_GB2312" w:eastAsia="仿宋_GB2312" w:hint="eastAsia"/>
          <w:sz w:val="32"/>
          <w:szCs w:val="32"/>
          <w:highlight w:val="white"/>
        </w:rPr>
        <w:t>资金监管到位。经费开支按用途使用合理，专项资金管理规范、支出用途明确、专款专用，整体资金使用效果良好。</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（三）以部门为主体开展的重点绩效评价结果。</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健全和完善管理制度，加强基本支出管理。规范审批程序，严格执行国家规定的开支范围及开支标准，量入为出，坚持会审联签制度。强化报账流程，实行国库集中支付制度，严格完善相关资料手续、审核审批程序，保证了各项资金使用的合理合规，充分发挥了各项资金的效益性。</w:t>
      </w:r>
    </w:p>
    <w:p w:rsidR="00957DD3" w:rsidRDefault="00957DD3" w:rsidP="00957DD3">
      <w:pPr>
        <w:widowControl w:val="0"/>
        <w:spacing w:line="560" w:lineRule="exact"/>
        <w:rPr>
          <w:rFonts w:ascii="仿宋_GB2312" w:eastAsia="仿宋_GB2312"/>
          <w:sz w:val="32"/>
          <w:szCs w:val="32"/>
          <w:highlight w:val="white"/>
        </w:rPr>
      </w:pPr>
    </w:p>
    <w:p w:rsidR="00957DD3" w:rsidRPr="00957DD3" w:rsidRDefault="00962646" w:rsidP="00957DD3">
      <w:pPr>
        <w:widowControl w:val="0"/>
        <w:spacing w:line="560" w:lineRule="exact"/>
        <w:rPr>
          <w:rFonts w:ascii="黑体" w:eastAsia="黑体" w:hAnsi="黑体"/>
          <w:sz w:val="32"/>
          <w:szCs w:val="32"/>
          <w:highlight w:val="white"/>
        </w:rPr>
      </w:pPr>
      <w:r w:rsidRPr="00957DD3">
        <w:rPr>
          <w:rFonts w:ascii="黑体" w:eastAsia="黑体" w:hAnsi="黑体" w:hint="eastAsia"/>
          <w:sz w:val="32"/>
          <w:szCs w:val="32"/>
          <w:highlight w:val="white"/>
        </w:rPr>
        <w:lastRenderedPageBreak/>
        <w:t>第四部分</w:t>
      </w:r>
      <w:r w:rsidR="00957DD3" w:rsidRPr="00957DD3">
        <w:rPr>
          <w:rFonts w:ascii="黑体" w:eastAsia="黑体" w:hAnsi="黑体" w:hint="eastAsia"/>
          <w:sz w:val="32"/>
          <w:szCs w:val="32"/>
          <w:highlight w:val="white"/>
        </w:rPr>
        <w:t>:</w:t>
      </w:r>
    </w:p>
    <w:p w:rsidR="00021BAD" w:rsidRPr="00957DD3" w:rsidRDefault="00962646" w:rsidP="00957DD3">
      <w:pPr>
        <w:widowControl w:val="0"/>
        <w:spacing w:line="560" w:lineRule="exact"/>
        <w:jc w:val="center"/>
        <w:rPr>
          <w:rFonts w:ascii="方正小标宋简体" w:eastAsia="方正小标宋简体"/>
          <w:sz w:val="42"/>
          <w:szCs w:val="42"/>
          <w:highlight w:val="white"/>
        </w:rPr>
      </w:pPr>
      <w:r w:rsidRPr="00957DD3">
        <w:rPr>
          <w:rFonts w:ascii="方正小标宋简体" w:eastAsia="方正小标宋简体" w:hint="eastAsia"/>
          <w:sz w:val="42"/>
          <w:szCs w:val="42"/>
          <w:highlight w:val="white"/>
        </w:rPr>
        <w:t>名词解释</w:t>
      </w:r>
    </w:p>
    <w:p w:rsidR="00957DD3" w:rsidRDefault="00957DD3" w:rsidP="00957DD3">
      <w:pPr>
        <w:widowControl w:val="0"/>
        <w:spacing w:line="560" w:lineRule="exact"/>
        <w:ind w:firstLineChars="200" w:firstLine="640"/>
        <w:rPr>
          <w:rFonts w:ascii="仿宋_GB2312" w:eastAsia="仿宋_GB2312"/>
          <w:sz w:val="32"/>
          <w:szCs w:val="32"/>
          <w:highlight w:val="white"/>
        </w:rPr>
      </w:pP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财政拨款收入：指本级财政当年拨付的资金。</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上年结转和结余：指以前年度尚未完成、结转到本年按有关规定继续使用的资金。</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公共安全支出（类）：是指用于内卫、消防等武装警察部队的支出，包括保障机构正常运转、完成日常和特定的工作任务或事业发展目标的支出。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基本支出：指保障机构正常运转、完成支日常工作任务而发生的人员支出和公用支出。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项目支出：指在基本支出之外为完成特定行政任务和事业发展目标所发生的支出。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工资福利支出：反映单位开支的在职职工和编制外长期聘用人</w:t>
      </w:r>
      <w:r w:rsidRPr="00957DD3">
        <w:rPr>
          <w:rFonts w:ascii="仿宋_GB2312" w:eastAsia="仿宋_GB2312" w:hint="eastAsia"/>
          <w:sz w:val="32"/>
          <w:szCs w:val="32"/>
          <w:highlight w:val="white"/>
        </w:rPr>
        <w:lastRenderedPageBreak/>
        <w:t>员的各类劳动报酬，以及为上述人员缴纳的各项社会保险费等。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奖金：反映机关工作人员年终一次性奖金。</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伙食补助费：反映单位发给职工的伙食补助费，如误餐补助等。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绩效工资：反映事业单位工作人员的绩效工资。</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机关事业单位基本养老保险缴费：反映机关事业单位缴纳的基本养老保险费。由单位代扣的工作人员基本养老保险缴费，不在此科目反映。</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职工基本医疗保险缴费：反映单位为职工缴纳的基本医疗保险费。</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其他社会保障缴费：反映单位为职工缴纳的基本医疗、失业、</w:t>
      </w:r>
      <w:r w:rsidRPr="00957DD3">
        <w:rPr>
          <w:rFonts w:ascii="仿宋_GB2312" w:eastAsia="仿宋_GB2312" w:hint="eastAsia"/>
          <w:sz w:val="32"/>
          <w:szCs w:val="32"/>
          <w:highlight w:val="white"/>
        </w:rPr>
        <w:lastRenderedPageBreak/>
        <w:t>工伤、生育等社会保险费，残疾人就业保障金，军队（含武警）为军人缴纳的伤亡、退役医疗等社会保险费。</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商品和服务支出：反映单位购买商品和服务的支出（不包括用于购置固定资产的支出、战略性和应急储备支出）。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办公费：反映单位购买按财务会计制度规定不符合固定资产确认标准的日常办公用品、书报杂志等支出。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印刷费：反映单位的印刷费支出。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电费：反映单位的电费支出。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邮电费：反映单位开支的信函、包裹、货物等物品的邮寄费及电话费、电报费、传真费、网络通讯费等。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差旅费：反映单位工作人员出差发生的城市间交通费、住宿费、伙食补贴费和市内交通费。</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会议费：反映会议中按规定开支的住宿费、伙食费、会议室租金、交通费、文件印刷费、医药费等。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公务接待费：反映单位按规定开支的各类公务接待（含外宾接待）费用。</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劳务费：反映支付给单位和个人的劳务费用，如临时聘用人员、钟点工工资，稿费、翻译费，评审费等。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委托业务费：反映因委托外单位办理业务而支付的委托业务费。</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工会经费：反映单位按规定提取的工会经费。</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lastRenderedPageBreak/>
        <w:t>其他商品和服务支出：反映上述科目未包括的日常公用支出。如行政赔偿费和诉讼费、国内组织的会员费、来访费、广告宣传、其他劳务费及离休人员特需费、公用经费等。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对个人和家庭的补助：反映政府用于对个人和家庭的补助支出。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离休费：反映行政事业单位和军队移交政府安置的离休人员的离休费、护理费和其他补贴。</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医疗费：反映行政事业单位在职职工、离退休人员的医疗费，</w:t>
      </w:r>
      <w:r w:rsidRPr="00957DD3">
        <w:rPr>
          <w:rFonts w:ascii="仿宋_GB2312" w:eastAsia="仿宋_GB2312" w:hint="eastAsia"/>
          <w:sz w:val="32"/>
          <w:szCs w:val="32"/>
          <w:highlight w:val="white"/>
        </w:rPr>
        <w:lastRenderedPageBreak/>
        <w:t>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奖励金：反映政府各部门的奖励支出，如对个体私营经济的奖励、计划生育目标责任奖励、独生子女父母奖励等。</w:t>
      </w:r>
    </w:p>
    <w:p w:rsidR="00021BAD" w:rsidRPr="00957DD3" w:rsidRDefault="00962646" w:rsidP="00957DD3">
      <w:pPr>
        <w:widowControl w:val="0"/>
        <w:spacing w:line="560" w:lineRule="exact"/>
        <w:ind w:firstLineChars="200" w:firstLine="640"/>
        <w:rPr>
          <w:rFonts w:ascii="仿宋_GB2312" w:eastAsia="仿宋_GB2312"/>
          <w:sz w:val="32"/>
          <w:szCs w:val="32"/>
          <w:highlight w:val="white"/>
        </w:rPr>
      </w:pPr>
      <w:r w:rsidRPr="00957DD3">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021BAD" w:rsidRPr="00957DD3" w:rsidRDefault="00021BAD" w:rsidP="00957DD3">
      <w:pPr>
        <w:widowControl w:val="0"/>
        <w:spacing w:line="560" w:lineRule="exact"/>
        <w:ind w:firstLineChars="200" w:firstLine="640"/>
        <w:rPr>
          <w:rFonts w:ascii="仿宋_GB2312" w:eastAsia="仿宋_GB2312"/>
          <w:sz w:val="32"/>
          <w:szCs w:val="32"/>
          <w:highlight w:val="white"/>
        </w:rPr>
      </w:pPr>
    </w:p>
    <w:p w:rsidR="00021BAD" w:rsidRPr="00957DD3" w:rsidRDefault="00962646" w:rsidP="00957DD3">
      <w:pPr>
        <w:widowControl w:val="0"/>
        <w:spacing w:line="560" w:lineRule="exact"/>
        <w:rPr>
          <w:rFonts w:ascii="黑体" w:eastAsia="黑体" w:hAnsi="黑体"/>
          <w:sz w:val="32"/>
          <w:szCs w:val="32"/>
          <w:highlight w:val="white"/>
        </w:rPr>
      </w:pPr>
      <w:r w:rsidRPr="00957DD3">
        <w:rPr>
          <w:rFonts w:ascii="黑体" w:eastAsia="黑体" w:hAnsi="黑体" w:hint="eastAsia"/>
          <w:sz w:val="32"/>
          <w:szCs w:val="32"/>
          <w:highlight w:val="white"/>
        </w:rPr>
        <w:t>第五部分</w:t>
      </w:r>
      <w:r w:rsidR="00957DD3" w:rsidRPr="00957DD3">
        <w:rPr>
          <w:rFonts w:ascii="黑体" w:eastAsia="黑体" w:hAnsi="黑体" w:hint="eastAsia"/>
          <w:sz w:val="32"/>
          <w:szCs w:val="32"/>
          <w:highlight w:val="white"/>
        </w:rPr>
        <w:t>:</w:t>
      </w:r>
      <w:r w:rsidRPr="00957DD3">
        <w:rPr>
          <w:rFonts w:ascii="黑体" w:eastAsia="黑体" w:hAnsi="黑体" w:hint="eastAsia"/>
          <w:sz w:val="32"/>
          <w:szCs w:val="32"/>
          <w:highlight w:val="white"/>
        </w:rPr>
        <w:t>附件</w:t>
      </w:r>
    </w:p>
    <w:p w:rsidR="00021BAD" w:rsidRPr="00957DD3" w:rsidRDefault="00962646" w:rsidP="00957DD3">
      <w:pPr>
        <w:widowControl w:val="0"/>
        <w:spacing w:line="560" w:lineRule="exact"/>
        <w:jc w:val="center"/>
        <w:rPr>
          <w:rFonts w:ascii="方正小标宋简体" w:eastAsia="方正小标宋简体"/>
          <w:sz w:val="42"/>
          <w:szCs w:val="42"/>
        </w:rPr>
      </w:pPr>
      <w:r w:rsidRPr="00957DD3">
        <w:rPr>
          <w:rFonts w:ascii="方正小标宋简体" w:eastAsia="方正小标宋简体" w:hint="eastAsia"/>
          <w:sz w:val="42"/>
          <w:szCs w:val="42"/>
        </w:rPr>
        <w:t>赫山区委政法委</w:t>
      </w:r>
    </w:p>
    <w:p w:rsidR="00021BAD" w:rsidRPr="00957DD3" w:rsidRDefault="00962646" w:rsidP="00957DD3">
      <w:pPr>
        <w:widowControl w:val="0"/>
        <w:spacing w:line="560" w:lineRule="exact"/>
        <w:jc w:val="center"/>
        <w:rPr>
          <w:rFonts w:ascii="方正小标宋简体" w:eastAsia="方正小标宋简体"/>
          <w:sz w:val="42"/>
          <w:szCs w:val="42"/>
        </w:rPr>
      </w:pPr>
      <w:r w:rsidRPr="00957DD3">
        <w:rPr>
          <w:rFonts w:ascii="方正小标宋简体" w:eastAsia="方正小标宋简体" w:hint="eastAsia"/>
          <w:sz w:val="42"/>
          <w:szCs w:val="42"/>
        </w:rPr>
        <w:t>2020年部门整体支出绩效评价报告</w:t>
      </w:r>
    </w:p>
    <w:p w:rsidR="00021BAD" w:rsidRPr="00957DD3" w:rsidRDefault="00021BAD" w:rsidP="00957DD3">
      <w:pPr>
        <w:widowControl w:val="0"/>
        <w:spacing w:line="560" w:lineRule="exact"/>
        <w:ind w:firstLineChars="200" w:firstLine="640"/>
        <w:rPr>
          <w:rFonts w:ascii="仿宋_GB2312" w:eastAsia="仿宋_GB2312"/>
          <w:sz w:val="32"/>
          <w:szCs w:val="32"/>
        </w:rPr>
      </w:pP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一、基本情况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（一）单位基本情况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中共益阳市赫山区委政法委员会贯彻落实党中央关于政法工作的方针政策和省委、市委、区委的部署要求，在履行职责过程中</w:t>
      </w:r>
      <w:r w:rsidRPr="00957DD3">
        <w:rPr>
          <w:rFonts w:ascii="仿宋_GB2312" w:eastAsia="仿宋_GB2312" w:hint="eastAsia"/>
          <w:sz w:val="32"/>
          <w:szCs w:val="32"/>
        </w:rPr>
        <w:lastRenderedPageBreak/>
        <w:t>坚持和加强党对政法工作的集中统一领导。截至2020年12月，单位实有编制数19个，包括16个行政编、3个全额事业编，实有在职在编人员19人。</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预决算公开：根据区财政局的统一部署及相关要求，本委已在赫山信息网站上进行了预（决）算公开。</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存量资金管理：本委已实行国库集中支付管理。</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资产管理：制定了《赫山区委政法委资产管理制度》，建立了固定资产台帐，指定专人管理，及时登记，科学使用，实现了“一物一卡一条码”。固定资产的调出、处置、报废、报损严格执行国家有关规定的审批程序办理。</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内部控制制度建设：2020年，本委制定了《赫山区委政法委机关管理制度》《财务管理制度》《赫山区委政法委物资采购制度》《赫山区委政法委资产管理制度》等一系列内部控制制度，相关制度合法合规、完整，并得到有效执行。</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绩效目标完成情况：2020年，坚持以党的十九大精神为指引，在区委、区政府的正确领导下，紧紧围绕服务赫山高质量发展主线；推进平安赫山、法治赫山建设，加强过硬队伍建设，深化智能化建设，坚决维护国家政治安全、确保社会大局稳定、促进社会公平正义、保障人民安居乐业。</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（二）部门整体支出概况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lastRenderedPageBreak/>
        <w:t>2020年部门年初预算收入388.43万元，其中：一般公共预算财政拨款收入338.43万元，其他收入50.00万元；年初预算支出388.43万元；当年预算收支平衡。</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2020年部门年末决算收入2182.57万元，为一般公共预算财政拨款收入，其中上级转移性支付收入1527.45万元（雪亮工程三期建设资金896.00万元，一村一辅警237.12万元，维稳基金80.00万元，司法救助资金87.50万元，市特殊涉毒人员收治中心、桃江关爱中心、解决强制隔离戒毒所转移支付资金173.05万元，“两清”工作经费53.60万元）。年末决算支出2177.23元，其中：基本支出1004.03万元，项目支出1173.2万元；支出按经济分类如下：工资福利支出284.04万元，商品和服务支出1554.23万元，对个人及家庭的补助297.96万元，对企业补助41.00万元；年末结转结余271.08万元。</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（三）部门整体支出实施情况分析</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本委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w:t>
      </w:r>
      <w:r w:rsidRPr="00957DD3">
        <w:rPr>
          <w:rFonts w:ascii="仿宋_GB2312" w:eastAsia="仿宋_GB2312" w:hint="eastAsia"/>
          <w:sz w:val="32"/>
          <w:szCs w:val="32"/>
        </w:rPr>
        <w:lastRenderedPageBreak/>
        <w:t>规，充分发挥了各项资金的效益性。</w:t>
      </w:r>
    </w:p>
    <w:p w:rsidR="00021BAD" w:rsidRPr="00957DD3" w:rsidRDefault="00962646" w:rsidP="00957DD3">
      <w:pPr>
        <w:widowControl w:val="0"/>
        <w:spacing w:line="560" w:lineRule="exact"/>
        <w:ind w:firstLineChars="200" w:firstLine="640"/>
        <w:rPr>
          <w:rFonts w:ascii="黑体" w:eastAsia="黑体" w:hAnsi="黑体"/>
          <w:sz w:val="32"/>
          <w:szCs w:val="32"/>
        </w:rPr>
      </w:pPr>
      <w:r w:rsidRPr="00957DD3">
        <w:rPr>
          <w:rFonts w:ascii="黑体" w:eastAsia="黑体" w:hAnsi="黑体" w:hint="eastAsia"/>
          <w:sz w:val="32"/>
          <w:szCs w:val="32"/>
        </w:rPr>
        <w:t>二、绩效评价工作情况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（一）绩效评价目的</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进一步规范财政资金管理，牢固树立预算绩效理念，强化支出责任，提高财政资金使用效益。</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（二）绩效评价工作过程</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w:t>
      </w:r>
      <w:r w:rsidR="002F791D">
        <w:rPr>
          <w:rFonts w:ascii="仿宋_GB2312" w:eastAsia="仿宋_GB2312" w:hint="eastAsia"/>
          <w:sz w:val="32"/>
          <w:szCs w:val="32"/>
        </w:rPr>
        <w:t>.</w:t>
      </w:r>
      <w:r w:rsidRPr="00957DD3">
        <w:rPr>
          <w:rFonts w:ascii="仿宋_GB2312" w:eastAsia="仿宋_GB2312" w:hint="eastAsia"/>
          <w:sz w:val="32"/>
          <w:szCs w:val="32"/>
        </w:rPr>
        <w:t>成立评价小组。按照绩效自评工作要求，成立以杨凯波为组长的绩效评价工作小组，对相关的国家法律法规进行了认真学习，掌握政策，根据部门整体收支情况制定了部门整体支出绩效评价实施方案。</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w:t>
      </w:r>
      <w:r w:rsidR="002F791D">
        <w:rPr>
          <w:rFonts w:ascii="仿宋_GB2312" w:eastAsia="仿宋_GB2312"/>
          <w:sz w:val="32"/>
          <w:szCs w:val="32"/>
        </w:rPr>
        <w:t>.</w:t>
      </w:r>
      <w:r w:rsidRPr="00957DD3">
        <w:rPr>
          <w:rFonts w:ascii="仿宋_GB2312" w:eastAsia="仿宋_GB2312" w:hint="eastAsia"/>
          <w:sz w:val="32"/>
          <w:szCs w:val="32"/>
        </w:rPr>
        <w:t>、组织实施。采用核查法核查2020年同级财政预算批复执行及部门整体支出情况，着重核查了“三公”经费及资产管理、内部控制制度等情况。</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3</w:t>
      </w:r>
      <w:r w:rsidR="002F791D">
        <w:rPr>
          <w:rFonts w:ascii="仿宋_GB2312" w:eastAsia="仿宋_GB2312" w:hint="eastAsia"/>
          <w:sz w:val="32"/>
          <w:szCs w:val="32"/>
        </w:rPr>
        <w:t>.</w:t>
      </w:r>
      <w:r w:rsidRPr="00957DD3">
        <w:rPr>
          <w:rFonts w:ascii="仿宋_GB2312" w:eastAsia="仿宋_GB2312" w:hint="eastAsia"/>
          <w:sz w:val="32"/>
          <w:szCs w:val="32"/>
        </w:rPr>
        <w:t>分析评价。对评价过程中收集资料进行归纳，汇总分析，依据整体支出绩效评价指标进行了评分，形成了综合性书面报告。</w:t>
      </w:r>
    </w:p>
    <w:p w:rsidR="00021BAD" w:rsidRPr="002F791D" w:rsidRDefault="00962646" w:rsidP="00957DD3">
      <w:pPr>
        <w:widowControl w:val="0"/>
        <w:spacing w:line="560" w:lineRule="exact"/>
        <w:ind w:firstLineChars="200" w:firstLine="640"/>
        <w:rPr>
          <w:rFonts w:ascii="黑体" w:eastAsia="黑体" w:hAnsi="黑体"/>
          <w:sz w:val="32"/>
          <w:szCs w:val="32"/>
        </w:rPr>
      </w:pPr>
      <w:r w:rsidRPr="002F791D">
        <w:rPr>
          <w:rFonts w:ascii="黑体" w:eastAsia="黑体" w:hAnsi="黑体" w:hint="eastAsia"/>
          <w:sz w:val="32"/>
          <w:szCs w:val="32"/>
        </w:rPr>
        <w:t>三、主要绩效及评价结论</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（一）经济性分析</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w:t>
      </w:r>
      <w:r w:rsidR="002F791D">
        <w:rPr>
          <w:rFonts w:ascii="仿宋_GB2312" w:eastAsia="仿宋_GB2312" w:hint="eastAsia"/>
          <w:sz w:val="32"/>
          <w:szCs w:val="32"/>
        </w:rPr>
        <w:t>.</w:t>
      </w:r>
      <w:r w:rsidRPr="00957DD3">
        <w:rPr>
          <w:rFonts w:ascii="仿宋_GB2312" w:eastAsia="仿宋_GB2312" w:hint="eastAsia"/>
          <w:sz w:val="32"/>
          <w:szCs w:val="32"/>
        </w:rPr>
        <w:t>本年预算配置控制较好。财政供养人员控制在预算编制以内，“三公”经费支出总额小，低于年初预算。</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w:t>
      </w:r>
      <w:r w:rsidR="002F791D">
        <w:rPr>
          <w:rFonts w:ascii="仿宋_GB2312" w:eastAsia="仿宋_GB2312" w:hint="eastAsia"/>
          <w:sz w:val="32"/>
          <w:szCs w:val="32"/>
        </w:rPr>
        <w:t>.</w:t>
      </w:r>
      <w:r w:rsidRPr="00957DD3">
        <w:rPr>
          <w:rFonts w:ascii="仿宋_GB2312" w:eastAsia="仿宋_GB2312" w:hint="eastAsia"/>
          <w:sz w:val="32"/>
          <w:szCs w:val="32"/>
        </w:rPr>
        <w:t>预算执行方面。支出总额控制在预算总额以内，所有支出严</w:t>
      </w:r>
      <w:r w:rsidRPr="00957DD3">
        <w:rPr>
          <w:rFonts w:ascii="仿宋_GB2312" w:eastAsia="仿宋_GB2312" w:hint="eastAsia"/>
          <w:sz w:val="32"/>
          <w:szCs w:val="32"/>
        </w:rPr>
        <w:lastRenderedPageBreak/>
        <w:t>格依照相关财务管理规定执行，尤为重视量财办事、量力而行，严格控制标准、注重节约，少花钱办好事，各项支出都在合理范围内。</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3</w:t>
      </w:r>
      <w:r w:rsidR="002F791D">
        <w:rPr>
          <w:rFonts w:ascii="仿宋_GB2312" w:eastAsia="仿宋_GB2312" w:hint="eastAsia"/>
          <w:sz w:val="32"/>
          <w:szCs w:val="32"/>
        </w:rPr>
        <w:t>.</w:t>
      </w:r>
      <w:r w:rsidRPr="00957DD3">
        <w:rPr>
          <w:rFonts w:ascii="仿宋_GB2312" w:eastAsia="仿宋_GB2312" w:hint="eastAsia"/>
          <w:sz w:val="32"/>
          <w:szCs w:val="32"/>
        </w:rPr>
        <w:t>预算管理方面。制定了切实可行的内部管理制度和经费支出控制方案，有较强的内控风险管理意识、各项经费支出得到了有效控制。</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（二）效率性分析</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2020年，在市委政法委的精心指导和区委、区政府的坚强领导下，认真贯彻落实上级政法工作会议精神，围绕打造市域社会治理现代化先行区、平安建设示范区和法治化营商环境新高地这一目标，全面推进平安建设，人民群众的获得感、幸福感和安全感不断提升。</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（三）效益性分析</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w:t>
      </w:r>
      <w:r w:rsidR="00405893">
        <w:rPr>
          <w:rFonts w:ascii="仿宋_GB2312" w:eastAsia="仿宋_GB2312" w:hint="eastAsia"/>
          <w:sz w:val="32"/>
          <w:szCs w:val="32"/>
        </w:rPr>
        <w:t>.</w:t>
      </w:r>
      <w:r w:rsidRPr="00957DD3">
        <w:rPr>
          <w:rFonts w:ascii="仿宋_GB2312" w:eastAsia="仿宋_GB2312" w:hint="eastAsia"/>
          <w:sz w:val="32"/>
          <w:szCs w:val="32"/>
        </w:rPr>
        <w:t>着力维护社会大局稳定。一是切实加强风险防控。结合推进新时代城乡警务工作，对社会治安、公共安全等五大领域风险进行了大起底、大排队，明确镇村两级风险等级、突出风险点和责任人员，不断加强风险防控。做好新冠肺炎疫情防控、防汛、“两会”等重要时间节点和全省产业项目建设现场观摩会等重大活动安保，以及特殊场所疫情防控工作，守住了“五个不发生”底线。二是积极调处矛盾纠纷。推进枫桥式公安派出所、人民法庭、检察联络室、司法所等创建工作，建立健全九大专业调解组织，充分发挥区矛盾</w:t>
      </w:r>
      <w:r w:rsidRPr="00957DD3">
        <w:rPr>
          <w:rFonts w:ascii="仿宋_GB2312" w:eastAsia="仿宋_GB2312" w:hint="eastAsia"/>
          <w:sz w:val="32"/>
          <w:szCs w:val="32"/>
        </w:rPr>
        <w:lastRenderedPageBreak/>
        <w:t>纠纷调处中心、区涉法涉诉联合接访中心、基层综治中心、各行业和“五老”工作室、“老文调解室”等社会调解组织作用，调处各类矛盾纠纷6602件，促进了社会和谐。三是认真做好信访工作。省委巡视组交办信访件全部由区委书记亲自交办调度，区级领导包案负责，确保交办件规范办理，提升办理质量和群众满意度。开展集中化解涉法涉诉信访积案攻坚行动，对5件信访积案明确工作专班，进行了有效化解。深入开展房地产办证难信访问题专项整治，化解了山水华庭等楼盘业主群体上访问题。</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w:t>
      </w:r>
      <w:r w:rsidR="00405893">
        <w:rPr>
          <w:rFonts w:ascii="仿宋_GB2312" w:eastAsia="仿宋_GB2312" w:hint="eastAsia"/>
          <w:sz w:val="32"/>
          <w:szCs w:val="32"/>
        </w:rPr>
        <w:t>.</w:t>
      </w:r>
      <w:r w:rsidRPr="00957DD3">
        <w:rPr>
          <w:rFonts w:ascii="仿宋_GB2312" w:eastAsia="仿宋_GB2312" w:hint="eastAsia"/>
          <w:sz w:val="32"/>
          <w:szCs w:val="32"/>
        </w:rPr>
        <w:t>着力营造法治化营商环境。一是高站位推动。召开了高规格的优化营商环境工作会议，成立了开展规范司法、行政执法专项行动领导小组，出台了《关于开展规范司法、行政执法专项行动工作方案》《赫山区行政执法监督办法》《赫山区行政执法监督联席会议制度》等文件，促进规范公正文明执法。组织召开园区营商环境大提升座谈会，将《优化营商环境条例》纳入“七五”普法和各级理论学习中心组进行学习，开展知识讲座5次、大型宣传活动2次，在全区营造了良好的舆论氛围。二是严举措整治。组织赫山公安分局开展“护航复工复产”等专项整治行动，处置全区重点项目建设中的阻工事件16起，行政拘留19人，教育训诫150余人；处置因拆迁引发的暴力抗法事件8起，调处矛盾纠纷162起；侦破各类涉企案件6起，抓获违法犯罪嫌疑人9人。区人民检察院批准逮捕破</w:t>
      </w:r>
      <w:r w:rsidRPr="00957DD3">
        <w:rPr>
          <w:rFonts w:ascii="仿宋_GB2312" w:eastAsia="仿宋_GB2312" w:hint="eastAsia"/>
          <w:sz w:val="32"/>
          <w:szCs w:val="32"/>
        </w:rPr>
        <w:lastRenderedPageBreak/>
        <w:t>坏社会主义市场经济秩序案18件20人，提起公诉21件42人。通过强化打击，全区营商环境得到进一步优化。三是全方位服务。赫山公安分局开展“警企联系”活动，采取“领导办点、单位联点”方式，与全区180个在建重点项目、重点企业进行结对，及时处置涉企重大敏感问题。区人民检察院审查涉企职务犯罪案件时进行经济影响评估，坚持不轻易逮捕企业负责人、不轻易扣押冻结企业资金和调取账册，减少办案对涉案企业生产经营活动的负面影响。该院对涉企情节轻微的犯罪嫌疑人依法不捕5件7人，防止因办案影响企业正常运转。区人民法院设立涉企案件立案窗口和涉企商事案件审判团队，对涉企案件做到快立、快审、快结。深入开展“暖企”行动，院领导到湖南汉森制药有限公司等8家企业倾听意见、送法上门，帮助企业防范劳动用工等方面的法律风险。区司法局组织律师深入40余家企业结对开展“法治体检”专项活动，宣讲法律政策，指导防范法律风险；组织律师和法律工作者担任115家企业法律顾问，为企业提供法律咨询240余场次。</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3</w:t>
      </w:r>
      <w:r w:rsidR="00405893">
        <w:rPr>
          <w:rFonts w:ascii="仿宋_GB2312" w:eastAsia="仿宋_GB2312" w:hint="eastAsia"/>
          <w:sz w:val="32"/>
          <w:szCs w:val="32"/>
        </w:rPr>
        <w:t>.</w:t>
      </w:r>
      <w:r w:rsidRPr="00957DD3">
        <w:rPr>
          <w:rFonts w:ascii="仿宋_GB2312" w:eastAsia="仿宋_GB2312" w:hint="eastAsia"/>
          <w:sz w:val="32"/>
          <w:szCs w:val="32"/>
        </w:rPr>
        <w:t>着力深化扫黑除恶专项斗争。一是加强调度宣传。下发《赫山区2020年度扫黑除恶专项斗争宣传工作实施方案》，组织40余名政法干警和20台警车组成大型宣传车队，在龙岭工业集中区和城区开展扫黑除恶专项斗争“六清” 行动宣传活动。原创歌曲《让我们一起战斗》代表益阳唯一参加全省2020年“致敬扫黑英雄”</w:t>
      </w:r>
      <w:r w:rsidRPr="00957DD3">
        <w:rPr>
          <w:rFonts w:ascii="仿宋_GB2312" w:eastAsia="仿宋_GB2312" w:hint="eastAsia"/>
          <w:sz w:val="32"/>
          <w:szCs w:val="32"/>
        </w:rPr>
        <w:lastRenderedPageBreak/>
        <w:t>文艺晚会获好评。二是推进“六清”行动。开展“线索清仓”行动，运用“五强化”拓展线索摸排广度、深度，提高线索核查准度和办理质效。开展“逃犯清零”行动，运用大数据和现代科技手段，提高追逃实效，做到追逃无漏网。“10.15”专案起诉16人，判决16人，其中李某秋和陈某生被一审法院以组织、领导黑社会性质组织罪等罪名分别判处有期徒刑25年和23年。开展“伞网清除”行动，对“10.15”专案进行了攻坚，认定该案涉黑团伙“保护伞”3人。开展“黑财清底”行动，加强部门联动，全链条核查涉案财产，做到追缴无流失。开展“行业清源”行动，深入推进行业乱象和突出问题整治，对群众反映辖区涉黄问题突出的赫山街道朝阳路社区进行挂牌整治。三是强化重点整治。聚焦社会治安等十大行业领域存在的突出问题，实行领导包重点行业，加强调度部署，推进疑难线索（案件）办结；建立健全市场准入、规范管理、重点监控等机制30余项，提升了重点行业领域监管整体水平，铲除黑恶势力滋生蔓延的土壤。</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4</w:t>
      </w:r>
      <w:r w:rsidR="00405893">
        <w:rPr>
          <w:rFonts w:ascii="仿宋_GB2312" w:eastAsia="仿宋_GB2312" w:hint="eastAsia"/>
          <w:sz w:val="32"/>
          <w:szCs w:val="32"/>
        </w:rPr>
        <w:t>.</w:t>
      </w:r>
      <w:r w:rsidRPr="00957DD3">
        <w:rPr>
          <w:rFonts w:ascii="仿宋_GB2312" w:eastAsia="仿宋_GB2312" w:hint="eastAsia"/>
          <w:sz w:val="32"/>
          <w:szCs w:val="32"/>
        </w:rPr>
        <w:t>着力推进平安赫山建设。一是推进平安创建。扎实开展“十大平安创建”活动，加强对全区平安创建督促和指导，确保平安创建全覆盖。对17个区级平安单位和100户平安示范家庭进行表彰奖励，激发了创建热情。二是积极参加“蓝天保卫战”“净土保卫战”“禁捕退捕”等整治行动，为生态环境保护提供有力司法保障。</w:t>
      </w:r>
      <w:r w:rsidRPr="00957DD3">
        <w:rPr>
          <w:rFonts w:ascii="仿宋_GB2312" w:eastAsia="仿宋_GB2312" w:hint="eastAsia"/>
          <w:sz w:val="32"/>
          <w:szCs w:val="32"/>
        </w:rPr>
        <w:lastRenderedPageBreak/>
        <w:t>组织赫山公安分局等部门对学校周边环境、朝阳市场“黄赌毒”问题进行了集中整治，优化了社会治安秩序。三是狠抓治安防控。充分发挥城市快警和村辅警作用，实行全天候巡逻守护。各地从退伍军人等人员中组建34支专业巡逻队，发动志愿者组建300余支义务巡逻队，他们活跃在城乡社会治安情况复杂路段，日夜巡逻防控。安装“行车卫士”2万余台，据此破获涉两车盗窃案35起，抓获违法犯罪嫌疑人40余人，追回被盗摩托车43台，实现了摩托车、电动车被盗案件数下降、破案率上升和群众满意度上升的目标。</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（四）评价结论</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1</w:t>
      </w:r>
      <w:r w:rsidR="00405893">
        <w:rPr>
          <w:rFonts w:ascii="仿宋_GB2312" w:eastAsia="仿宋_GB2312" w:hint="eastAsia"/>
          <w:sz w:val="32"/>
          <w:szCs w:val="32"/>
        </w:rPr>
        <w:t>.</w:t>
      </w:r>
      <w:r w:rsidRPr="00957DD3">
        <w:rPr>
          <w:rFonts w:ascii="仿宋_GB2312" w:eastAsia="仿宋_GB2312" w:hint="eastAsia"/>
          <w:sz w:val="32"/>
          <w:szCs w:val="32"/>
        </w:rPr>
        <w:t>预算执行到位。严格执行《预算法》和各项财经纪律，机关管理制度健全，财务管理规范，预算编制合理。</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2</w:t>
      </w:r>
      <w:r w:rsidR="00405893">
        <w:rPr>
          <w:rFonts w:ascii="仿宋_GB2312" w:eastAsia="仿宋_GB2312" w:hint="eastAsia"/>
          <w:sz w:val="32"/>
          <w:szCs w:val="32"/>
        </w:rPr>
        <w:t>.</w:t>
      </w:r>
      <w:r w:rsidRPr="00957DD3">
        <w:rPr>
          <w:rFonts w:ascii="仿宋_GB2312" w:eastAsia="仿宋_GB2312" w:hint="eastAsia"/>
          <w:sz w:val="32"/>
          <w:szCs w:val="32"/>
        </w:rPr>
        <w:t>资金监管到位。经费开支按用途使用合理，做到专帐专管,专款专用。</w:t>
      </w:r>
    </w:p>
    <w:p w:rsidR="00021BAD" w:rsidRPr="00405893" w:rsidRDefault="00962646" w:rsidP="00957DD3">
      <w:pPr>
        <w:widowControl w:val="0"/>
        <w:spacing w:line="560" w:lineRule="exact"/>
        <w:ind w:firstLineChars="200" w:firstLine="640"/>
        <w:rPr>
          <w:rFonts w:ascii="黑体" w:eastAsia="黑体" w:hAnsi="黑体"/>
          <w:sz w:val="32"/>
          <w:szCs w:val="32"/>
        </w:rPr>
      </w:pPr>
      <w:r w:rsidRPr="00405893">
        <w:rPr>
          <w:rFonts w:ascii="黑体" w:eastAsia="黑体" w:hAnsi="黑体" w:hint="eastAsia"/>
          <w:sz w:val="32"/>
          <w:szCs w:val="32"/>
        </w:rPr>
        <w:t>四、存在的问题</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（一）信访维稳工作压力大，政法队伍案多人少矛盾依然突出。</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（二）部门预算的精细准有待进一步完善。</w:t>
      </w:r>
    </w:p>
    <w:p w:rsidR="00021BAD" w:rsidRPr="00405893" w:rsidRDefault="00962646" w:rsidP="00957DD3">
      <w:pPr>
        <w:widowControl w:val="0"/>
        <w:spacing w:line="560" w:lineRule="exact"/>
        <w:ind w:firstLineChars="200" w:firstLine="640"/>
        <w:rPr>
          <w:rFonts w:ascii="黑体" w:eastAsia="黑体" w:hAnsi="黑体"/>
          <w:sz w:val="32"/>
          <w:szCs w:val="32"/>
        </w:rPr>
      </w:pPr>
      <w:r w:rsidRPr="00405893">
        <w:rPr>
          <w:rFonts w:ascii="黑体" w:eastAsia="黑体" w:hAnsi="黑体" w:hint="eastAsia"/>
          <w:sz w:val="32"/>
          <w:szCs w:val="32"/>
        </w:rPr>
        <w:t>五、有关建议</w:t>
      </w:r>
    </w:p>
    <w:p w:rsidR="00021BAD" w:rsidRPr="00957DD3" w:rsidRDefault="00962646" w:rsidP="00957DD3">
      <w:pPr>
        <w:widowControl w:val="0"/>
        <w:spacing w:line="560" w:lineRule="exact"/>
        <w:ind w:firstLineChars="200" w:firstLine="640"/>
        <w:rPr>
          <w:rFonts w:ascii="仿宋_GB2312" w:eastAsia="仿宋_GB2312"/>
          <w:sz w:val="32"/>
          <w:szCs w:val="32"/>
        </w:rPr>
      </w:pPr>
      <w:r w:rsidRPr="00957DD3">
        <w:rPr>
          <w:rFonts w:ascii="仿宋_GB2312" w:eastAsia="仿宋_GB2312" w:hint="eastAsia"/>
          <w:sz w:val="32"/>
          <w:szCs w:val="32"/>
        </w:rPr>
        <w:t>科学合理编制预算，严格执行预算。要按照《预算法》及其实施条例的相关规定，参考上一年的预算执行情况和年度的收支预测、部门重点工作等科学编制预算，避免年中大幅追加以及超预算。减</w:t>
      </w:r>
      <w:r w:rsidRPr="00957DD3">
        <w:rPr>
          <w:rFonts w:ascii="仿宋_GB2312" w:eastAsia="仿宋_GB2312" w:hint="eastAsia"/>
          <w:sz w:val="32"/>
          <w:szCs w:val="32"/>
        </w:rPr>
        <w:lastRenderedPageBreak/>
        <w:t>少转移性支付，简化审批流程，提高资金周转效率。同时严格执行预算，提高资金使用效率。</w:t>
      </w:r>
    </w:p>
    <w:p w:rsidR="00021BAD" w:rsidRDefault="00021BAD">
      <w:pPr>
        <w:widowControl w:val="0"/>
        <w:spacing w:line="560" w:lineRule="exact"/>
        <w:ind w:firstLineChars="150" w:firstLine="480"/>
        <w:rPr>
          <w:rFonts w:ascii="仿宋" w:eastAsia="仿宋" w:cs="仿宋"/>
          <w:color w:val="000000"/>
          <w:kern w:val="0"/>
          <w:sz w:val="32"/>
          <w:szCs w:val="32"/>
        </w:rPr>
      </w:pPr>
    </w:p>
    <w:p w:rsidR="00957DD3" w:rsidRDefault="00957DD3">
      <w:pPr>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rsidR="00021BAD" w:rsidRDefault="00962646" w:rsidP="001F0B02">
      <w:pPr>
        <w:widowControl w:val="0"/>
        <w:spacing w:beforeLines="50" w:afterLines="50"/>
        <w:ind w:firstLineChars="200" w:firstLine="720"/>
        <w:rPr>
          <w:rFonts w:ascii="方正小标宋简体" w:eastAsia="方正小标宋简体" w:cs="方正小标宋_GBK"/>
          <w:sz w:val="36"/>
          <w:szCs w:val="36"/>
        </w:rPr>
      </w:pPr>
      <w:r>
        <w:rPr>
          <w:rFonts w:ascii="方正小标宋简体" w:eastAsia="方正小标宋简体" w:cs="方正小标宋_GBK"/>
          <w:sz w:val="36"/>
          <w:szCs w:val="36"/>
        </w:rPr>
        <w:lastRenderedPageBreak/>
        <w:t>2020</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021BAD">
        <w:trPr>
          <w:trHeight w:val="489"/>
          <w:tblHeader/>
          <w:jc w:val="center"/>
        </w:trPr>
        <w:tc>
          <w:tcPr>
            <w:tcW w:w="307" w:type="pct"/>
            <w:tcMar>
              <w:top w:w="10" w:type="dxa"/>
              <w:left w:w="10" w:type="dxa"/>
              <w:right w:w="10" w:type="dxa"/>
            </w:tcMar>
            <w:vAlign w:val="center"/>
          </w:tcPr>
          <w:p w:rsidR="00021BAD" w:rsidRDefault="00962646">
            <w:pPr>
              <w:widowControl w:val="0"/>
              <w:spacing w:line="240" w:lineRule="exact"/>
              <w:jc w:val="center"/>
              <w:rPr>
                <w:rFonts w:ascii="宋体" w:cs="宋体"/>
                <w:b/>
              </w:rPr>
            </w:pPr>
            <w:r>
              <w:rPr>
                <w:rFonts w:ascii="宋体" w:cs="宋体" w:hint="eastAsia"/>
                <w:b/>
                <w:szCs w:val="24"/>
              </w:rPr>
              <w:t>一级</w:t>
            </w:r>
            <w:r>
              <w:rPr>
                <w:rFonts w:ascii="宋体" w:cs="宋体"/>
                <w:b/>
                <w:szCs w:val="24"/>
              </w:rPr>
              <w:br/>
            </w:r>
            <w:r>
              <w:rPr>
                <w:rFonts w:ascii="宋体" w:cs="宋体" w:hint="eastAsia"/>
                <w:b/>
                <w:szCs w:val="24"/>
              </w:rPr>
              <w:t>指标</w:t>
            </w:r>
          </w:p>
        </w:tc>
        <w:tc>
          <w:tcPr>
            <w:tcW w:w="375" w:type="pct"/>
            <w:tcMar>
              <w:top w:w="10" w:type="dxa"/>
              <w:left w:w="10" w:type="dxa"/>
              <w:right w:w="10" w:type="dxa"/>
            </w:tcMar>
            <w:vAlign w:val="center"/>
          </w:tcPr>
          <w:p w:rsidR="00021BAD" w:rsidRDefault="00962646">
            <w:pPr>
              <w:widowControl w:val="0"/>
              <w:spacing w:line="240" w:lineRule="exact"/>
              <w:ind w:rightChars="-83" w:right="-174"/>
              <w:jc w:val="center"/>
              <w:rPr>
                <w:rFonts w:ascii="宋体" w:cs="宋体"/>
                <w:b/>
              </w:rPr>
            </w:pPr>
            <w:r>
              <w:rPr>
                <w:rFonts w:ascii="宋体" w:cs="宋体" w:hint="eastAsia"/>
                <w:b/>
                <w:szCs w:val="24"/>
              </w:rPr>
              <w:t>二级</w:t>
            </w:r>
          </w:p>
          <w:p w:rsidR="00021BAD" w:rsidRDefault="00962646">
            <w:pPr>
              <w:widowControl w:val="0"/>
              <w:spacing w:line="240" w:lineRule="exact"/>
              <w:ind w:rightChars="-83" w:right="-174"/>
              <w:jc w:val="center"/>
              <w:rPr>
                <w:rFonts w:ascii="宋体" w:cs="宋体"/>
                <w:b/>
              </w:rPr>
            </w:pPr>
            <w:r>
              <w:rPr>
                <w:rFonts w:ascii="宋体" w:cs="宋体" w:hint="eastAsia"/>
                <w:b/>
                <w:szCs w:val="24"/>
              </w:rPr>
              <w:t>指标</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b/>
              </w:rPr>
            </w:pPr>
            <w:r>
              <w:rPr>
                <w:rFonts w:ascii="宋体" w:cs="宋体" w:hint="eastAsia"/>
                <w:b/>
                <w:szCs w:val="24"/>
              </w:rPr>
              <w:t>三级</w:t>
            </w:r>
          </w:p>
          <w:p w:rsidR="00021BAD" w:rsidRDefault="00962646">
            <w:pPr>
              <w:widowControl w:val="0"/>
              <w:spacing w:line="240" w:lineRule="exact"/>
              <w:jc w:val="center"/>
              <w:rPr>
                <w:rFonts w:ascii="宋体" w:cs="宋体"/>
                <w:b/>
              </w:rPr>
            </w:pPr>
            <w:r>
              <w:rPr>
                <w:rFonts w:ascii="宋体" w:cs="宋体" w:hint="eastAsia"/>
                <w:b/>
                <w:szCs w:val="24"/>
              </w:rPr>
              <w:t>指标</w:t>
            </w:r>
          </w:p>
        </w:tc>
        <w:tc>
          <w:tcPr>
            <w:tcW w:w="375" w:type="pct"/>
            <w:tcMar>
              <w:top w:w="10" w:type="dxa"/>
              <w:left w:w="10" w:type="dxa"/>
              <w:right w:w="10" w:type="dxa"/>
            </w:tcMar>
            <w:vAlign w:val="center"/>
          </w:tcPr>
          <w:p w:rsidR="00021BAD" w:rsidRDefault="00962646">
            <w:pPr>
              <w:widowControl w:val="0"/>
              <w:spacing w:line="240" w:lineRule="exact"/>
              <w:ind w:leftChars="50" w:left="105" w:rightChars="50" w:right="105"/>
              <w:jc w:val="center"/>
              <w:rPr>
                <w:rFonts w:ascii="宋体" w:cs="宋体"/>
                <w:b/>
              </w:rPr>
            </w:pPr>
            <w:r>
              <w:rPr>
                <w:rFonts w:ascii="宋体" w:cs="宋体" w:hint="eastAsia"/>
                <w:b/>
                <w:szCs w:val="24"/>
              </w:rPr>
              <w:t>自评分</w:t>
            </w:r>
          </w:p>
        </w:tc>
        <w:tc>
          <w:tcPr>
            <w:tcW w:w="1576" w:type="pct"/>
            <w:tcMar>
              <w:top w:w="10" w:type="dxa"/>
              <w:left w:w="10" w:type="dxa"/>
              <w:right w:w="10" w:type="dxa"/>
            </w:tcMar>
            <w:vAlign w:val="center"/>
          </w:tcPr>
          <w:p w:rsidR="00021BAD" w:rsidRDefault="00962646">
            <w:pPr>
              <w:widowControl w:val="0"/>
              <w:spacing w:line="240" w:lineRule="exact"/>
              <w:ind w:leftChars="50" w:left="105" w:rightChars="50" w:right="105"/>
              <w:jc w:val="center"/>
              <w:rPr>
                <w:rFonts w:ascii="宋体" w:cs="宋体"/>
                <w:b/>
              </w:rPr>
            </w:pPr>
            <w:r>
              <w:rPr>
                <w:rFonts w:ascii="宋体" w:cs="宋体" w:hint="eastAsia"/>
                <w:b/>
                <w:szCs w:val="24"/>
              </w:rPr>
              <w:t>指标解释</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jc w:val="center"/>
              <w:rPr>
                <w:rFonts w:ascii="宋体" w:cs="宋体"/>
                <w:b/>
              </w:rPr>
            </w:pPr>
            <w:r>
              <w:rPr>
                <w:rFonts w:ascii="宋体" w:cs="宋体" w:hint="eastAsia"/>
                <w:b/>
                <w:szCs w:val="24"/>
              </w:rPr>
              <w:t>指标说明</w:t>
            </w:r>
          </w:p>
        </w:tc>
      </w:tr>
      <w:tr w:rsidR="00021BAD" w:rsidTr="00212BD3">
        <w:trPr>
          <w:trHeight w:val="1357"/>
          <w:jc w:val="center"/>
        </w:trPr>
        <w:tc>
          <w:tcPr>
            <w:tcW w:w="307" w:type="pct"/>
            <w:vMerge w:val="restart"/>
            <w:noWrap/>
            <w:tcMar>
              <w:top w:w="10" w:type="dxa"/>
              <w:left w:w="10" w:type="dxa"/>
              <w:right w:w="10" w:type="dxa"/>
            </w:tcMar>
            <w:textDirection w:val="tbRlV"/>
            <w:vAlign w:val="center"/>
          </w:tcPr>
          <w:p w:rsidR="00021BAD" w:rsidRDefault="00962646">
            <w:pPr>
              <w:widowControl w:val="0"/>
              <w:spacing w:line="240" w:lineRule="exact"/>
              <w:jc w:val="center"/>
              <w:rPr>
                <w:rFonts w:ascii="宋体" w:cs="宋体"/>
              </w:rPr>
            </w:pPr>
            <w:r>
              <w:rPr>
                <w:rFonts w:ascii="宋体" w:cs="宋体" w:hint="eastAsia"/>
                <w:szCs w:val="24"/>
              </w:rPr>
              <w:t>投</w:t>
            </w:r>
            <w:r>
              <w:rPr>
                <w:rFonts w:ascii="宋体" w:cs="宋体"/>
                <w:szCs w:val="24"/>
              </w:rPr>
              <w:t xml:space="preserve">   </w:t>
            </w:r>
            <w:r>
              <w:rPr>
                <w:rFonts w:ascii="宋体" w:cs="宋体" w:hint="eastAsia"/>
                <w:szCs w:val="24"/>
              </w:rPr>
              <w:t>入（</w:t>
            </w:r>
            <w:r>
              <w:rPr>
                <w:rFonts w:ascii="宋体" w:cs="宋体"/>
                <w:szCs w:val="24"/>
              </w:rPr>
              <w:t>20</w:t>
            </w:r>
            <w:r>
              <w:rPr>
                <w:rFonts w:ascii="宋体" w:cs="宋体" w:hint="eastAsia"/>
                <w:szCs w:val="24"/>
              </w:rPr>
              <w:t>分）</w:t>
            </w:r>
          </w:p>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目标</w:t>
            </w:r>
            <w:r>
              <w:rPr>
                <w:rFonts w:ascii="宋体" w:cs="宋体"/>
                <w:szCs w:val="24"/>
              </w:rPr>
              <w:br/>
            </w:r>
            <w:r>
              <w:rPr>
                <w:rFonts w:ascii="宋体" w:cs="宋体" w:hint="eastAsia"/>
                <w:szCs w:val="24"/>
              </w:rPr>
              <w:t>设定（</w:t>
            </w:r>
            <w:r>
              <w:rPr>
                <w:rFonts w:ascii="宋体" w:cs="宋体"/>
                <w:szCs w:val="24"/>
              </w:rPr>
              <w:t>5</w:t>
            </w:r>
            <w:r>
              <w:rPr>
                <w:rFonts w:ascii="宋体" w:cs="宋体" w:hint="eastAsia"/>
                <w:szCs w:val="24"/>
              </w:rPr>
              <w:t>分）</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绩效目标</w:t>
            </w:r>
          </w:p>
          <w:p w:rsidR="00021BAD" w:rsidRDefault="00962646">
            <w:pPr>
              <w:widowControl w:val="0"/>
              <w:spacing w:line="240" w:lineRule="exact"/>
              <w:jc w:val="center"/>
              <w:rPr>
                <w:rFonts w:ascii="宋体" w:cs="宋体"/>
              </w:rPr>
            </w:pPr>
            <w:r>
              <w:rPr>
                <w:rFonts w:ascii="宋体" w:cs="宋体" w:hint="eastAsia"/>
                <w:szCs w:val="24"/>
              </w:rPr>
              <w:t>合理性（</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Pr>
                <w:rFonts w:ascii="宋体" w:cs="宋体" w:hint="eastAsia"/>
                <w:szCs w:val="24"/>
              </w:rPr>
              <w:t>①是否符合国家法律法规、国民经济和社会发展总体规划；</w:t>
            </w:r>
            <w:r>
              <w:rPr>
                <w:rFonts w:ascii="宋体" w:cs="宋体"/>
                <w:szCs w:val="24"/>
              </w:rPr>
              <w:br/>
            </w:r>
            <w:r>
              <w:rPr>
                <w:rFonts w:ascii="宋体" w:cs="宋体" w:hint="eastAsia"/>
                <w:szCs w:val="24"/>
              </w:rPr>
              <w:t>②是否符合部门“三定”方案确定的职责；</w:t>
            </w:r>
            <w:r>
              <w:rPr>
                <w:rFonts w:ascii="宋体" w:cs="宋体"/>
                <w:szCs w:val="24"/>
              </w:rPr>
              <w:br/>
            </w:r>
            <w:r>
              <w:rPr>
                <w:rFonts w:ascii="宋体" w:cs="宋体" w:hint="eastAsia"/>
                <w:szCs w:val="24"/>
              </w:rPr>
              <w:t>③是否符合部门制定的中长期实施规划。</w:t>
            </w:r>
          </w:p>
        </w:tc>
      </w:tr>
      <w:tr w:rsidR="00021BAD" w:rsidTr="00212BD3">
        <w:trPr>
          <w:trHeight w:val="1933"/>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绩效指标</w:t>
            </w:r>
          </w:p>
          <w:p w:rsidR="00021BAD" w:rsidRDefault="00962646">
            <w:pPr>
              <w:widowControl w:val="0"/>
              <w:spacing w:line="240" w:lineRule="exact"/>
              <w:jc w:val="center"/>
              <w:rPr>
                <w:rFonts w:ascii="宋体" w:cs="宋体"/>
              </w:rPr>
            </w:pPr>
            <w:r>
              <w:rPr>
                <w:rFonts w:ascii="宋体" w:cs="宋体" w:hint="eastAsia"/>
                <w:szCs w:val="24"/>
              </w:rPr>
              <w:t>明确性（</w:t>
            </w:r>
            <w:r>
              <w:rPr>
                <w:rFonts w:ascii="宋体" w:cs="宋体"/>
                <w:szCs w:val="24"/>
              </w:rPr>
              <w:t>3</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3</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部门依据整体绩效目标所设定的绩效指标是否清晰、细化、可衡量，用以反映和考核部门整体绩效目标的明细化情况。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Pr>
                <w:rFonts w:ascii="宋体" w:cs="宋体" w:hint="eastAsia"/>
                <w:szCs w:val="24"/>
              </w:rPr>
              <w:t>①是否将部门整体的绩效目标细化分解为具体的工作任务；</w:t>
            </w:r>
            <w:r>
              <w:rPr>
                <w:rFonts w:ascii="宋体" w:cs="宋体"/>
                <w:szCs w:val="24"/>
              </w:rPr>
              <w:br/>
            </w:r>
            <w:r>
              <w:rPr>
                <w:rFonts w:ascii="宋体" w:cs="宋体" w:hint="eastAsia"/>
                <w:szCs w:val="24"/>
              </w:rPr>
              <w:t>②是否通过清晰、可衡量的指标值予以体现。</w:t>
            </w:r>
            <w:r>
              <w:rPr>
                <w:rFonts w:ascii="宋体" w:cs="宋体"/>
                <w:szCs w:val="24"/>
              </w:rPr>
              <w:t xml:space="preserve">    </w:t>
            </w:r>
            <w:r>
              <w:rPr>
                <w:rFonts w:ascii="宋体" w:cs="宋体" w:hint="eastAsia"/>
                <w:szCs w:val="24"/>
              </w:rPr>
              <w:t>③是否与部门年度的任务数或计划数相对应；</w:t>
            </w:r>
            <w:r>
              <w:rPr>
                <w:rFonts w:ascii="宋体" w:cs="宋体"/>
                <w:szCs w:val="24"/>
              </w:rPr>
              <w:br/>
            </w:r>
            <w:r>
              <w:rPr>
                <w:rFonts w:ascii="宋体" w:cs="宋体" w:hint="eastAsia"/>
                <w:szCs w:val="24"/>
              </w:rPr>
              <w:t>④是否与本年度部门预算资金相匹配。</w:t>
            </w:r>
          </w:p>
        </w:tc>
      </w:tr>
      <w:tr w:rsidR="00021BAD">
        <w:trPr>
          <w:trHeight w:val="1931"/>
          <w:jc w:val="center"/>
        </w:trPr>
        <w:tc>
          <w:tcPr>
            <w:tcW w:w="307" w:type="pct"/>
            <w:vMerge/>
            <w:noWrap/>
            <w:tcMar>
              <w:top w:w="10" w:type="dxa"/>
              <w:left w:w="10" w:type="dxa"/>
              <w:right w:w="10" w:type="dxa"/>
            </w:tcMar>
            <w:textDirection w:val="tbRlV"/>
            <w:vAlign w:val="center"/>
          </w:tcPr>
          <w:p w:rsidR="00021BAD" w:rsidRDefault="00021BAD"/>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预算</w:t>
            </w:r>
            <w:r>
              <w:rPr>
                <w:rFonts w:ascii="宋体" w:cs="宋体"/>
                <w:szCs w:val="24"/>
              </w:rPr>
              <w:br/>
            </w:r>
            <w:r>
              <w:rPr>
                <w:rFonts w:ascii="宋体" w:cs="宋体" w:hint="eastAsia"/>
                <w:szCs w:val="24"/>
              </w:rPr>
              <w:t>配置（</w:t>
            </w:r>
            <w:r>
              <w:rPr>
                <w:rFonts w:ascii="宋体" w:cs="宋体"/>
                <w:szCs w:val="24"/>
              </w:rPr>
              <w:t>15</w:t>
            </w:r>
            <w:r>
              <w:rPr>
                <w:rFonts w:ascii="宋体" w:cs="宋体" w:hint="eastAsia"/>
                <w:szCs w:val="24"/>
              </w:rPr>
              <w:t>分）</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在职人员</w:t>
            </w:r>
          </w:p>
          <w:p w:rsidR="00021BAD" w:rsidRDefault="00962646">
            <w:pPr>
              <w:widowControl w:val="0"/>
              <w:spacing w:line="240" w:lineRule="exact"/>
              <w:jc w:val="center"/>
              <w:rPr>
                <w:rFonts w:ascii="宋体" w:cs="宋体"/>
              </w:rPr>
            </w:pPr>
            <w:r>
              <w:rPr>
                <w:rFonts w:ascii="宋体" w:cs="宋体" w:hint="eastAsia"/>
                <w:szCs w:val="24"/>
              </w:rPr>
              <w:t>控制率（</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5</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部门本年度实际在职人员数与编制数的比率，用以反映和考核部门对人员成本的控制程度。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在职人员控制率</w:t>
            </w:r>
            <w:r>
              <w:rPr>
                <w:rFonts w:ascii="宋体" w:cs="宋体"/>
                <w:szCs w:val="24"/>
              </w:rPr>
              <w:t>=</w:t>
            </w:r>
            <w:r>
              <w:rPr>
                <w:rFonts w:ascii="宋体" w:cs="宋体" w:hint="eastAsia"/>
                <w:szCs w:val="24"/>
              </w:rPr>
              <w:t>（在职人员数</w:t>
            </w:r>
            <w:r>
              <w:rPr>
                <w:rFonts w:ascii="宋体" w:cs="宋体"/>
                <w:szCs w:val="24"/>
              </w:rPr>
              <w:t>/</w:t>
            </w:r>
            <w:r>
              <w:rPr>
                <w:rFonts w:ascii="宋体" w:cs="宋体" w:hint="eastAsia"/>
                <w:szCs w:val="24"/>
              </w:rPr>
              <w:t>编制数）×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在职人员数：部门实际在职人数，以财政部确定的部门决算编制口径为准。</w:t>
            </w:r>
            <w:r>
              <w:rPr>
                <w:rFonts w:ascii="宋体" w:cs="宋体"/>
                <w:szCs w:val="24"/>
              </w:rPr>
              <w:br/>
            </w:r>
            <w:r>
              <w:rPr>
                <w:rFonts w:ascii="宋体" w:cs="宋体" w:hint="eastAsia"/>
                <w:szCs w:val="24"/>
              </w:rPr>
              <w:t>编制数：机构编制部门核定批复的部门的人员编制数。</w:t>
            </w:r>
          </w:p>
        </w:tc>
      </w:tr>
      <w:tr w:rsidR="00021BAD">
        <w:trPr>
          <w:trHeight w:val="2030"/>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“三公经费”</w:t>
            </w:r>
          </w:p>
          <w:p w:rsidR="00021BAD" w:rsidRDefault="00962646">
            <w:pPr>
              <w:widowControl w:val="0"/>
              <w:spacing w:line="240" w:lineRule="exact"/>
              <w:jc w:val="center"/>
              <w:rPr>
                <w:rFonts w:ascii="宋体" w:cs="宋体"/>
              </w:rPr>
            </w:pPr>
            <w:r>
              <w:rPr>
                <w:rFonts w:ascii="宋体" w:cs="宋体" w:hint="eastAsia"/>
                <w:szCs w:val="24"/>
              </w:rPr>
              <w:t>变动率（</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5</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部门本年度“三公经费”预算数与上年度“三公经费”预算数的变动比率，用以反映和考核部门对控制重点行政成本的努力程度。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“三公经费”变动率</w:t>
            </w:r>
            <w:r>
              <w:rPr>
                <w:rFonts w:ascii="宋体" w:cs="宋体"/>
                <w:szCs w:val="24"/>
              </w:rPr>
              <w:t>=[</w:t>
            </w:r>
            <w:r>
              <w:rPr>
                <w:rFonts w:ascii="宋体" w:cs="宋体" w:hint="eastAsia"/>
                <w:szCs w:val="24"/>
              </w:rPr>
              <w:t>（本年度“三公经费”总额</w:t>
            </w:r>
            <w:r>
              <w:rPr>
                <w:rFonts w:ascii="宋体" w:cs="宋体"/>
                <w:szCs w:val="24"/>
              </w:rPr>
              <w:t>-</w:t>
            </w:r>
            <w:r>
              <w:rPr>
                <w:rFonts w:ascii="宋体" w:cs="宋体" w:hint="eastAsia"/>
                <w:szCs w:val="24"/>
              </w:rPr>
              <w:t>上年度“三公经费”总额）</w:t>
            </w:r>
            <w:r>
              <w:rPr>
                <w:rFonts w:ascii="宋体" w:cs="宋体"/>
                <w:szCs w:val="24"/>
              </w:rPr>
              <w:t>/</w:t>
            </w:r>
            <w:r>
              <w:rPr>
                <w:rFonts w:ascii="宋体" w:cs="宋体" w:hint="eastAsia"/>
                <w:szCs w:val="24"/>
              </w:rPr>
              <w:t>上年度“三公经费”总额</w:t>
            </w:r>
            <w:r>
              <w:rPr>
                <w:rFonts w:ascii="宋体" w:cs="宋体"/>
                <w:szCs w:val="24"/>
              </w:rPr>
              <w:t>]</w:t>
            </w:r>
            <w:r>
              <w:rPr>
                <w:rFonts w:ascii="宋体" w:cs="宋体" w:hint="eastAsia"/>
                <w:szCs w:val="24"/>
              </w:rPr>
              <w:t>×</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“三公经费”：年度预算安排的因公出国（境）费、公务车辆购置及运行费和公务招待费。</w:t>
            </w:r>
          </w:p>
        </w:tc>
      </w:tr>
      <w:tr w:rsidR="00021BAD">
        <w:trPr>
          <w:trHeight w:val="2510"/>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重点支出</w:t>
            </w:r>
          </w:p>
          <w:p w:rsidR="00021BAD" w:rsidRDefault="00962646">
            <w:pPr>
              <w:widowControl w:val="0"/>
              <w:spacing w:line="240" w:lineRule="exact"/>
              <w:jc w:val="center"/>
              <w:rPr>
                <w:rFonts w:ascii="宋体" w:cs="宋体"/>
              </w:rPr>
            </w:pPr>
            <w:r>
              <w:rPr>
                <w:rFonts w:ascii="宋体" w:cs="宋体" w:hint="eastAsia"/>
                <w:szCs w:val="24"/>
              </w:rPr>
              <w:t>安排率（</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5</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部门本年度预算安排的重点预算支出与部门预算总支出的比率，用以反映和考核部门对履行主要职责或完成重点任务的保障程度。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重点支出安排率</w:t>
            </w:r>
            <w:r>
              <w:rPr>
                <w:rFonts w:ascii="宋体" w:cs="宋体"/>
                <w:szCs w:val="24"/>
              </w:rPr>
              <w:t>=</w:t>
            </w:r>
            <w:r>
              <w:rPr>
                <w:rFonts w:ascii="宋体" w:cs="宋体" w:hint="eastAsia"/>
                <w:szCs w:val="24"/>
              </w:rPr>
              <w:t>（重点预算支出</w:t>
            </w:r>
            <w:r>
              <w:rPr>
                <w:rFonts w:ascii="宋体" w:cs="宋体"/>
                <w:szCs w:val="24"/>
              </w:rPr>
              <w:t>/</w:t>
            </w:r>
            <w:r>
              <w:rPr>
                <w:rFonts w:ascii="宋体" w:cs="宋体" w:hint="eastAsia"/>
                <w:szCs w:val="24"/>
              </w:rPr>
              <w:t>预算总支出）×</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重点预算支出：部门年度预算安排的，与本部门履职和发展密切相关、具有明显社会和经济影响、党委政府关心或社会比较关注的预算支出支出总额。</w:t>
            </w:r>
            <w:r>
              <w:rPr>
                <w:rFonts w:ascii="宋体" w:cs="宋体"/>
                <w:szCs w:val="24"/>
              </w:rPr>
              <w:br/>
            </w:r>
            <w:r>
              <w:rPr>
                <w:rFonts w:ascii="宋体" w:cs="宋体" w:hint="eastAsia"/>
                <w:szCs w:val="24"/>
              </w:rPr>
              <w:t>预算总支出：部门年度预算安排的预算支出支出总额。</w:t>
            </w:r>
          </w:p>
        </w:tc>
      </w:tr>
      <w:tr w:rsidR="00021BAD">
        <w:trPr>
          <w:trHeight w:val="1462"/>
          <w:jc w:val="center"/>
        </w:trPr>
        <w:tc>
          <w:tcPr>
            <w:tcW w:w="307" w:type="pct"/>
            <w:vMerge w:val="restart"/>
            <w:noWrap/>
            <w:tcMar>
              <w:top w:w="10" w:type="dxa"/>
              <w:left w:w="10" w:type="dxa"/>
              <w:right w:w="10" w:type="dxa"/>
            </w:tcMar>
            <w:textDirection w:val="tbRlV"/>
            <w:vAlign w:val="center"/>
          </w:tcPr>
          <w:p w:rsidR="00021BAD" w:rsidRDefault="00962646">
            <w:pPr>
              <w:widowControl w:val="0"/>
              <w:spacing w:line="240" w:lineRule="exact"/>
              <w:jc w:val="center"/>
              <w:rPr>
                <w:rFonts w:ascii="宋体" w:cs="宋体"/>
              </w:rPr>
            </w:pPr>
            <w:r>
              <w:rPr>
                <w:rFonts w:ascii="宋体" w:cs="宋体" w:hint="eastAsia"/>
                <w:szCs w:val="24"/>
              </w:rPr>
              <w:lastRenderedPageBreak/>
              <w:t>过</w:t>
            </w:r>
            <w:r>
              <w:rPr>
                <w:rFonts w:ascii="宋体" w:cs="宋体"/>
                <w:szCs w:val="24"/>
              </w:rPr>
              <w:t xml:space="preserve">   </w:t>
            </w:r>
            <w:r>
              <w:rPr>
                <w:rFonts w:ascii="宋体" w:cs="宋体" w:hint="eastAsia"/>
                <w:szCs w:val="24"/>
              </w:rPr>
              <w:t>程（</w:t>
            </w:r>
            <w:r>
              <w:rPr>
                <w:rFonts w:ascii="宋体" w:cs="宋体"/>
                <w:szCs w:val="24"/>
              </w:rPr>
              <w:t>30</w:t>
            </w:r>
            <w:r>
              <w:rPr>
                <w:rFonts w:ascii="宋体" w:cs="宋体" w:hint="eastAsia"/>
                <w:szCs w:val="24"/>
              </w:rPr>
              <w:t>分）</w:t>
            </w:r>
          </w:p>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预算</w:t>
            </w:r>
            <w:r>
              <w:rPr>
                <w:rFonts w:ascii="宋体" w:cs="宋体"/>
                <w:szCs w:val="24"/>
              </w:rPr>
              <w:br/>
            </w:r>
            <w:r>
              <w:rPr>
                <w:rFonts w:ascii="宋体" w:cs="宋体" w:hint="eastAsia"/>
                <w:szCs w:val="24"/>
              </w:rPr>
              <w:t>执行（</w:t>
            </w:r>
            <w:r>
              <w:rPr>
                <w:rFonts w:ascii="宋体" w:cs="宋体"/>
                <w:szCs w:val="24"/>
              </w:rPr>
              <w:t>20</w:t>
            </w:r>
            <w:r>
              <w:rPr>
                <w:rFonts w:ascii="宋体" w:cs="宋体" w:hint="eastAsia"/>
                <w:szCs w:val="24"/>
              </w:rPr>
              <w:t>分）</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预算</w:t>
            </w:r>
          </w:p>
          <w:p w:rsidR="00021BAD" w:rsidRDefault="00962646">
            <w:pPr>
              <w:widowControl w:val="0"/>
              <w:spacing w:line="240" w:lineRule="exact"/>
              <w:jc w:val="center"/>
              <w:rPr>
                <w:rFonts w:ascii="宋体" w:cs="宋体"/>
              </w:rPr>
            </w:pPr>
            <w:r>
              <w:rPr>
                <w:rFonts w:ascii="宋体" w:cs="宋体" w:hint="eastAsia"/>
                <w:szCs w:val="24"/>
              </w:rPr>
              <w:t>执行率（</w:t>
            </w:r>
            <w:r>
              <w:rPr>
                <w:rFonts w:ascii="宋体" w:cs="宋体"/>
                <w:szCs w:val="24"/>
              </w:rPr>
              <w:t>4</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4</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部门本年度预算完成数与预算数的比率，用以反映和考核部门预算完成程度。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预算执行率</w:t>
            </w:r>
            <w:r>
              <w:rPr>
                <w:rFonts w:ascii="宋体" w:cs="宋体"/>
                <w:szCs w:val="24"/>
              </w:rPr>
              <w:t>=</w:t>
            </w:r>
            <w:r>
              <w:rPr>
                <w:rFonts w:ascii="宋体" w:cs="宋体" w:hint="eastAsia"/>
                <w:szCs w:val="24"/>
              </w:rPr>
              <w:t>（预算执行数</w:t>
            </w:r>
            <w:r>
              <w:rPr>
                <w:rFonts w:ascii="宋体" w:cs="宋体"/>
                <w:szCs w:val="24"/>
              </w:rPr>
              <w:t>/</w:t>
            </w:r>
            <w:r>
              <w:rPr>
                <w:rFonts w:ascii="宋体" w:cs="宋体" w:hint="eastAsia"/>
                <w:szCs w:val="24"/>
              </w:rPr>
              <w:t>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预算执行数：部门本年度实际完成的预算数。</w:t>
            </w:r>
            <w:r>
              <w:rPr>
                <w:rFonts w:ascii="宋体" w:cs="宋体"/>
                <w:szCs w:val="24"/>
              </w:rPr>
              <w:br/>
            </w:r>
            <w:r>
              <w:rPr>
                <w:rFonts w:ascii="宋体" w:cs="宋体" w:hint="eastAsia"/>
                <w:szCs w:val="24"/>
              </w:rPr>
              <w:t>预算数：财政部门批复的本年度部门预算数。</w:t>
            </w:r>
          </w:p>
        </w:tc>
      </w:tr>
      <w:tr w:rsidR="00021BAD">
        <w:trPr>
          <w:trHeight w:val="1824"/>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预算</w:t>
            </w:r>
          </w:p>
          <w:p w:rsidR="00021BAD" w:rsidRDefault="00962646">
            <w:pPr>
              <w:widowControl w:val="0"/>
              <w:spacing w:line="240" w:lineRule="exact"/>
              <w:jc w:val="center"/>
              <w:rPr>
                <w:rFonts w:ascii="宋体" w:cs="宋体"/>
              </w:rPr>
            </w:pPr>
            <w:r>
              <w:rPr>
                <w:rFonts w:ascii="宋体" w:cs="宋体" w:hint="eastAsia"/>
                <w:szCs w:val="24"/>
              </w:rPr>
              <w:t>调整率（</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部门本年度预算调整数与预算数的比率，用以反映和考核部门预算的调整程度。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预算调整率</w:t>
            </w:r>
            <w:r>
              <w:rPr>
                <w:rFonts w:ascii="宋体" w:cs="宋体"/>
                <w:szCs w:val="24"/>
              </w:rPr>
              <w:t>=</w:t>
            </w:r>
            <w:r>
              <w:rPr>
                <w:rFonts w:ascii="宋体" w:cs="宋体" w:hint="eastAsia"/>
                <w:szCs w:val="24"/>
              </w:rPr>
              <w:t>（预算调整数</w:t>
            </w:r>
            <w:r>
              <w:rPr>
                <w:rFonts w:ascii="宋体" w:cs="宋体"/>
                <w:szCs w:val="24"/>
              </w:rPr>
              <w:t>/</w:t>
            </w:r>
            <w:r>
              <w:rPr>
                <w:rFonts w:ascii="宋体" w:cs="宋体" w:hint="eastAsia"/>
                <w:szCs w:val="24"/>
              </w:rPr>
              <w:t>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021BAD">
        <w:trPr>
          <w:trHeight w:val="2531"/>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支付</w:t>
            </w:r>
          </w:p>
          <w:p w:rsidR="00021BAD" w:rsidRDefault="00962646">
            <w:pPr>
              <w:widowControl w:val="0"/>
              <w:spacing w:line="240" w:lineRule="exact"/>
              <w:jc w:val="center"/>
              <w:rPr>
                <w:rFonts w:ascii="宋体" w:cs="宋体"/>
              </w:rPr>
            </w:pPr>
            <w:r>
              <w:rPr>
                <w:rFonts w:ascii="宋体" w:cs="宋体" w:hint="eastAsia"/>
                <w:szCs w:val="24"/>
              </w:rPr>
              <w:t>进度率（</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部门实际支付进度与既定支付进度的比率，用以反映和考核部门预算执行的及时性和均衡性程度。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支付进度率</w:t>
            </w:r>
            <w:r>
              <w:rPr>
                <w:rFonts w:ascii="宋体" w:cs="宋体"/>
                <w:szCs w:val="24"/>
              </w:rPr>
              <w:t>=</w:t>
            </w:r>
            <w:r>
              <w:rPr>
                <w:rFonts w:ascii="宋体" w:cs="宋体" w:hint="eastAsia"/>
                <w:szCs w:val="24"/>
              </w:rPr>
              <w:t>（实际支付进度</w:t>
            </w:r>
            <w:r>
              <w:rPr>
                <w:rFonts w:ascii="宋体" w:cs="宋体"/>
                <w:szCs w:val="24"/>
              </w:rPr>
              <w:t>/</w:t>
            </w:r>
            <w:r>
              <w:rPr>
                <w:rFonts w:ascii="宋体" w:cs="宋体" w:hint="eastAsia"/>
                <w:szCs w:val="24"/>
              </w:rPr>
              <w:t>既定支付进度）×</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实际支付进度：部门在某一时点的支出预算执行总数与年度支出预算数的比率。</w:t>
            </w:r>
            <w:r>
              <w:rPr>
                <w:rFonts w:ascii="宋体" w:cs="宋体"/>
                <w:szCs w:val="24"/>
              </w:rPr>
              <w:br/>
            </w:r>
            <w:r>
              <w:rPr>
                <w:rFonts w:asci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021BAD" w:rsidTr="009631B1">
        <w:trPr>
          <w:trHeight w:val="821"/>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结转</w:t>
            </w:r>
          </w:p>
          <w:p w:rsidR="00021BAD" w:rsidRDefault="00962646">
            <w:pPr>
              <w:widowControl w:val="0"/>
              <w:spacing w:line="240" w:lineRule="exact"/>
              <w:jc w:val="center"/>
              <w:rPr>
                <w:rFonts w:ascii="宋体" w:cs="宋体"/>
              </w:rPr>
            </w:pPr>
            <w:r>
              <w:rPr>
                <w:rFonts w:ascii="宋体" w:cs="宋体" w:hint="eastAsia"/>
                <w:szCs w:val="24"/>
              </w:rPr>
              <w:t>结余率（</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部门本年度结转结余总额与支出预算数的比率，用以反映和考核部门对本年度结转结余资金的实际控制程度。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结转结余率</w:t>
            </w:r>
            <w:r>
              <w:rPr>
                <w:rFonts w:ascii="宋体" w:cs="宋体"/>
                <w:szCs w:val="24"/>
              </w:rPr>
              <w:t>=</w:t>
            </w:r>
            <w:r>
              <w:rPr>
                <w:rFonts w:ascii="宋体" w:cs="宋体" w:hint="eastAsia"/>
                <w:szCs w:val="24"/>
              </w:rPr>
              <w:t>结转结余总额</w:t>
            </w:r>
            <w:r>
              <w:rPr>
                <w:rFonts w:ascii="宋体" w:cs="宋体"/>
                <w:szCs w:val="24"/>
              </w:rPr>
              <w:t>/</w:t>
            </w:r>
            <w:r>
              <w:rPr>
                <w:rFonts w:ascii="宋体" w:cs="宋体" w:hint="eastAsia"/>
                <w:szCs w:val="24"/>
              </w:rPr>
              <w:t>支出预算数×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结转结余总额：部门本年度的结转资金与结余资金之和（以决算数为准）。</w:t>
            </w:r>
          </w:p>
        </w:tc>
      </w:tr>
      <w:tr w:rsidR="00021BAD" w:rsidTr="009631B1">
        <w:trPr>
          <w:trHeight w:val="867"/>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结转结余</w:t>
            </w:r>
          </w:p>
          <w:p w:rsidR="00021BAD" w:rsidRDefault="00962646">
            <w:pPr>
              <w:widowControl w:val="0"/>
              <w:spacing w:line="240" w:lineRule="exact"/>
              <w:jc w:val="center"/>
              <w:rPr>
                <w:rFonts w:ascii="宋体" w:cs="宋体"/>
              </w:rPr>
            </w:pPr>
            <w:r>
              <w:rPr>
                <w:rFonts w:ascii="宋体" w:cs="宋体" w:hint="eastAsia"/>
                <w:szCs w:val="24"/>
              </w:rPr>
              <w:t>变动率（</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1"/>
              <w:rPr>
                <w:rFonts w:ascii="宋体" w:cs="宋体"/>
              </w:rPr>
            </w:pPr>
            <w:r w:rsidRPr="009631B1">
              <w:rPr>
                <w:rFonts w:ascii="宋体" w:cs="宋体" w:hint="eastAsia"/>
                <w:spacing w:val="-6"/>
                <w:szCs w:val="24"/>
              </w:rPr>
              <w:t>部门本年度结转结余资金总额与上年度结转结余资金总额的变动比率，用以反映和考核部门对控制结转结余资金的努力程度</w:t>
            </w:r>
            <w:r>
              <w:rPr>
                <w:rFonts w:ascii="宋体" w:cs="宋体" w:hint="eastAsia"/>
                <w:szCs w:val="24"/>
              </w:rPr>
              <w:t>。</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结转结余变动率</w:t>
            </w:r>
            <w:r>
              <w:rPr>
                <w:rFonts w:ascii="宋体" w:cs="宋体"/>
                <w:szCs w:val="24"/>
              </w:rPr>
              <w:t>=[</w:t>
            </w:r>
            <w:r>
              <w:rPr>
                <w:rFonts w:ascii="宋体" w:cs="宋体" w:hint="eastAsia"/>
                <w:szCs w:val="24"/>
              </w:rPr>
              <w:t>（本年度累计结转结余资金总额</w:t>
            </w:r>
            <w:r>
              <w:rPr>
                <w:rFonts w:ascii="宋体" w:cs="宋体"/>
                <w:szCs w:val="24"/>
              </w:rPr>
              <w:t>-</w:t>
            </w:r>
            <w:r>
              <w:rPr>
                <w:rFonts w:ascii="宋体" w:cs="宋体" w:hint="eastAsia"/>
                <w:szCs w:val="24"/>
              </w:rPr>
              <w:t>上年度累计结转结余资金总额）</w:t>
            </w:r>
            <w:r>
              <w:rPr>
                <w:rFonts w:ascii="宋体" w:cs="宋体"/>
                <w:szCs w:val="24"/>
              </w:rPr>
              <w:t>/</w:t>
            </w:r>
            <w:r>
              <w:rPr>
                <w:rFonts w:ascii="宋体" w:cs="宋体" w:hint="eastAsia"/>
                <w:szCs w:val="24"/>
              </w:rPr>
              <w:t>上年度累计结转结余资金总额</w:t>
            </w:r>
            <w:r>
              <w:rPr>
                <w:rFonts w:ascii="宋体" w:cs="宋体"/>
                <w:szCs w:val="24"/>
              </w:rPr>
              <w:t>]</w:t>
            </w:r>
            <w:r>
              <w:rPr>
                <w:rFonts w:ascii="宋体" w:cs="宋体" w:hint="eastAsia"/>
                <w:szCs w:val="24"/>
              </w:rPr>
              <w:t>×</w:t>
            </w:r>
            <w:r>
              <w:rPr>
                <w:rFonts w:ascii="宋体" w:cs="宋体"/>
                <w:szCs w:val="24"/>
              </w:rPr>
              <w:t>100%</w:t>
            </w:r>
            <w:r>
              <w:rPr>
                <w:rFonts w:ascii="宋体" w:cs="宋体" w:hint="eastAsia"/>
                <w:szCs w:val="24"/>
              </w:rPr>
              <w:t>。</w:t>
            </w:r>
          </w:p>
        </w:tc>
      </w:tr>
      <w:tr w:rsidR="00021BAD" w:rsidTr="009631B1">
        <w:trPr>
          <w:trHeight w:val="849"/>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公用经费</w:t>
            </w:r>
          </w:p>
          <w:p w:rsidR="00021BAD" w:rsidRDefault="00962646">
            <w:pPr>
              <w:widowControl w:val="0"/>
              <w:spacing w:line="240" w:lineRule="exact"/>
              <w:jc w:val="center"/>
              <w:rPr>
                <w:rFonts w:ascii="宋体" w:cs="宋体"/>
              </w:rPr>
            </w:pPr>
            <w:r>
              <w:rPr>
                <w:rFonts w:ascii="宋体" w:cs="宋体" w:hint="eastAsia"/>
                <w:szCs w:val="24"/>
              </w:rPr>
              <w:t>控制率（</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Pr="009631B1" w:rsidRDefault="00962646">
            <w:pPr>
              <w:widowControl w:val="0"/>
              <w:tabs>
                <w:tab w:val="left" w:pos="2604"/>
              </w:tabs>
              <w:spacing w:line="240" w:lineRule="exact"/>
              <w:ind w:leftChars="50" w:left="105" w:rightChars="50" w:right="105" w:firstLineChars="46" w:firstLine="89"/>
              <w:rPr>
                <w:rFonts w:ascii="宋体" w:cs="宋体"/>
                <w:spacing w:val="-8"/>
              </w:rPr>
            </w:pPr>
            <w:r w:rsidRPr="009631B1">
              <w:rPr>
                <w:rFonts w:ascii="宋体" w:cs="宋体" w:hint="eastAsia"/>
                <w:spacing w:val="-8"/>
                <w:szCs w:val="24"/>
              </w:rPr>
              <w:t>部门本年度实际支出的公用经费总额与预算安排的公用经费总额的比率，用以反映和考核部门对机构运转成本的实际控制程度。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公用经费控制率</w:t>
            </w:r>
            <w:r>
              <w:rPr>
                <w:rFonts w:ascii="宋体" w:cs="宋体"/>
                <w:szCs w:val="24"/>
              </w:rPr>
              <w:t>=</w:t>
            </w:r>
            <w:r>
              <w:rPr>
                <w:rFonts w:ascii="宋体" w:cs="宋体" w:hint="eastAsia"/>
                <w:szCs w:val="24"/>
              </w:rPr>
              <w:t>（实际支出公用经费总额</w:t>
            </w:r>
            <w:r>
              <w:rPr>
                <w:rFonts w:ascii="宋体" w:cs="宋体"/>
                <w:szCs w:val="24"/>
              </w:rPr>
              <w:t>/</w:t>
            </w:r>
            <w:r>
              <w:rPr>
                <w:rFonts w:ascii="宋体" w:cs="宋体" w:hint="eastAsia"/>
                <w:szCs w:val="24"/>
              </w:rPr>
              <w:t>预算安排公用经费总额）×</w:t>
            </w:r>
            <w:r>
              <w:rPr>
                <w:rFonts w:ascii="宋体" w:cs="宋体"/>
                <w:szCs w:val="24"/>
              </w:rPr>
              <w:t>100%</w:t>
            </w:r>
            <w:r>
              <w:rPr>
                <w:rFonts w:ascii="宋体" w:cs="宋体" w:hint="eastAsia"/>
                <w:szCs w:val="24"/>
              </w:rPr>
              <w:t>。</w:t>
            </w:r>
          </w:p>
        </w:tc>
      </w:tr>
      <w:tr w:rsidR="00021BAD">
        <w:trPr>
          <w:trHeight w:val="1018"/>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“三公经费”控制率（</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部门本年度“三公经费”实际支出数与预算安排数的比率，用以反映和考核部门对“三公经费”的实际控制程度。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“三公经费”控制率</w:t>
            </w:r>
            <w:r>
              <w:rPr>
                <w:rFonts w:ascii="宋体" w:cs="宋体"/>
                <w:szCs w:val="24"/>
              </w:rPr>
              <w:t>=</w:t>
            </w:r>
            <w:r>
              <w:rPr>
                <w:rFonts w:ascii="宋体" w:cs="宋体" w:hint="eastAsia"/>
                <w:szCs w:val="24"/>
              </w:rPr>
              <w:t>（“三公经费”实际支出数</w:t>
            </w:r>
            <w:r>
              <w:rPr>
                <w:rFonts w:ascii="宋体" w:cs="宋体"/>
                <w:szCs w:val="24"/>
              </w:rPr>
              <w:t>/</w:t>
            </w:r>
            <w:r>
              <w:rPr>
                <w:rFonts w:ascii="宋体" w:cs="宋体" w:hint="eastAsia"/>
                <w:szCs w:val="24"/>
              </w:rPr>
              <w:t>“三公经费”预算安排数）×</w:t>
            </w:r>
            <w:r>
              <w:rPr>
                <w:rFonts w:ascii="宋体" w:cs="宋体"/>
                <w:szCs w:val="24"/>
              </w:rPr>
              <w:t>100%</w:t>
            </w:r>
            <w:r>
              <w:rPr>
                <w:rFonts w:ascii="宋体" w:cs="宋体" w:hint="eastAsia"/>
                <w:szCs w:val="24"/>
              </w:rPr>
              <w:t>。</w:t>
            </w:r>
          </w:p>
        </w:tc>
      </w:tr>
      <w:tr w:rsidR="00021BAD" w:rsidTr="009631B1">
        <w:trPr>
          <w:trHeight w:val="1022"/>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政府采购</w:t>
            </w:r>
          </w:p>
          <w:p w:rsidR="00021BAD" w:rsidRDefault="00962646">
            <w:pPr>
              <w:widowControl w:val="0"/>
              <w:spacing w:line="240" w:lineRule="exact"/>
              <w:jc w:val="center"/>
              <w:rPr>
                <w:rFonts w:ascii="宋体" w:cs="宋体"/>
              </w:rPr>
            </w:pPr>
            <w:r>
              <w:rPr>
                <w:rFonts w:ascii="宋体" w:cs="宋体" w:hint="eastAsia"/>
                <w:szCs w:val="24"/>
              </w:rPr>
              <w:t>执行率（</w:t>
            </w:r>
            <w:r>
              <w:rPr>
                <w:rFonts w:ascii="宋体" w:cs="宋体"/>
                <w:szCs w:val="24"/>
              </w:rPr>
              <w:t>4</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4</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部门本年度实际政府采购金额与年初政府采购预算的比率，用以反映和考核部门政府采购预算执行情况。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政府采购执行率</w:t>
            </w:r>
            <w:r>
              <w:rPr>
                <w:rFonts w:ascii="宋体" w:cs="宋体"/>
                <w:szCs w:val="24"/>
              </w:rPr>
              <w:t>=</w:t>
            </w:r>
            <w:r>
              <w:rPr>
                <w:rFonts w:ascii="宋体" w:cs="宋体" w:hint="eastAsia"/>
                <w:szCs w:val="24"/>
              </w:rPr>
              <w:t>（实际政府采购金额</w:t>
            </w:r>
            <w:r>
              <w:rPr>
                <w:rFonts w:ascii="宋体" w:cs="宋体"/>
                <w:szCs w:val="24"/>
              </w:rPr>
              <w:t>/</w:t>
            </w:r>
            <w:r>
              <w:rPr>
                <w:rFonts w:ascii="宋体" w:cs="宋体" w:hint="eastAsia"/>
                <w:szCs w:val="24"/>
              </w:rPr>
              <w:t>政府采购预算数）×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政府采购预算：采购机关根据事业发展计划和行政任务编制的、并经过规定程序批准的年度政府采购计划。</w:t>
            </w:r>
            <w:r>
              <w:rPr>
                <w:rFonts w:ascii="宋体" w:cs="宋体"/>
                <w:szCs w:val="24"/>
              </w:rPr>
              <w:t xml:space="preserve"> </w:t>
            </w:r>
          </w:p>
        </w:tc>
      </w:tr>
      <w:tr w:rsidR="00021BAD" w:rsidTr="009631B1">
        <w:trPr>
          <w:trHeight w:val="1447"/>
          <w:jc w:val="center"/>
        </w:trPr>
        <w:tc>
          <w:tcPr>
            <w:tcW w:w="307" w:type="pct"/>
            <w:vMerge w:val="restart"/>
            <w:vAlign w:val="center"/>
          </w:tcPr>
          <w:p w:rsidR="00021BAD" w:rsidRDefault="00962646">
            <w:pPr>
              <w:widowControl w:val="0"/>
              <w:spacing w:line="240" w:lineRule="exact"/>
              <w:jc w:val="center"/>
              <w:rPr>
                <w:rFonts w:ascii="宋体" w:cs="宋体"/>
              </w:rPr>
            </w:pPr>
            <w:r>
              <w:rPr>
                <w:rFonts w:ascii="宋体" w:cs="宋体" w:hint="eastAsia"/>
                <w:szCs w:val="24"/>
              </w:rPr>
              <w:lastRenderedPageBreak/>
              <w:t>过</w:t>
            </w:r>
          </w:p>
          <w:p w:rsidR="00021BAD" w:rsidRDefault="00962646">
            <w:pPr>
              <w:widowControl w:val="0"/>
              <w:spacing w:line="240" w:lineRule="exact"/>
              <w:jc w:val="center"/>
              <w:rPr>
                <w:rFonts w:ascii="宋体" w:cs="宋体"/>
              </w:rPr>
            </w:pPr>
            <w:r>
              <w:rPr>
                <w:rFonts w:ascii="宋体" w:cs="宋体" w:hint="eastAsia"/>
                <w:szCs w:val="24"/>
              </w:rPr>
              <w:t>程（</w:t>
            </w:r>
            <w:r>
              <w:rPr>
                <w:rFonts w:ascii="宋体" w:cs="宋体"/>
                <w:szCs w:val="24"/>
              </w:rPr>
              <w:t>30</w:t>
            </w:r>
            <w:r>
              <w:rPr>
                <w:rFonts w:ascii="宋体" w:cs="宋体" w:hint="eastAsia"/>
                <w:szCs w:val="24"/>
              </w:rPr>
              <w:t>分）</w:t>
            </w:r>
          </w:p>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预算</w:t>
            </w:r>
            <w:r>
              <w:rPr>
                <w:rFonts w:ascii="宋体" w:cs="宋体"/>
                <w:szCs w:val="24"/>
              </w:rPr>
              <w:br/>
            </w:r>
            <w:r>
              <w:rPr>
                <w:rFonts w:ascii="宋体" w:cs="宋体" w:hint="eastAsia"/>
                <w:szCs w:val="24"/>
              </w:rPr>
              <w:t>管理（</w:t>
            </w:r>
            <w:r>
              <w:rPr>
                <w:rFonts w:ascii="宋体" w:cs="宋体"/>
                <w:szCs w:val="24"/>
              </w:rPr>
              <w:t>5</w:t>
            </w:r>
            <w:r>
              <w:rPr>
                <w:rFonts w:ascii="宋体" w:cs="宋体" w:hint="eastAsia"/>
                <w:szCs w:val="24"/>
              </w:rPr>
              <w:t>分）</w:t>
            </w:r>
          </w:p>
          <w:p w:rsidR="00021BAD" w:rsidRDefault="00962646">
            <w:pPr>
              <w:widowControl w:val="0"/>
              <w:spacing w:line="240" w:lineRule="exact"/>
              <w:jc w:val="center"/>
              <w:rPr>
                <w:rFonts w:ascii="宋体" w:cs="宋体"/>
              </w:rPr>
            </w:pPr>
            <w:r>
              <w:rPr>
                <w:rFonts w:ascii="宋体" w:cs="宋体" w:hint="eastAsia"/>
                <w:szCs w:val="24"/>
              </w:rPr>
              <w:t>）</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管理制度</w:t>
            </w:r>
          </w:p>
          <w:p w:rsidR="00021BAD" w:rsidRDefault="00962646">
            <w:pPr>
              <w:widowControl w:val="0"/>
              <w:spacing w:line="240" w:lineRule="exact"/>
              <w:jc w:val="center"/>
              <w:rPr>
                <w:rFonts w:ascii="宋体" w:cs="宋体"/>
              </w:rPr>
            </w:pPr>
            <w:r>
              <w:rPr>
                <w:rFonts w:ascii="宋体" w:cs="宋体" w:hint="eastAsia"/>
                <w:szCs w:val="24"/>
              </w:rPr>
              <w:t>健全性（</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Pr>
                <w:rFonts w:ascii="宋体" w:cs="宋体" w:hint="eastAsia"/>
                <w:szCs w:val="24"/>
              </w:rPr>
              <w:t>①是否已制定或具有预算资金管理办法、内部财务管理制度、会计核算制度等管理制度；</w:t>
            </w:r>
            <w:r>
              <w:rPr>
                <w:rFonts w:ascii="宋体" w:cs="宋体"/>
                <w:szCs w:val="24"/>
              </w:rPr>
              <w:br/>
            </w:r>
            <w:r w:rsidRPr="009631B1">
              <w:rPr>
                <w:rFonts w:ascii="宋体" w:cs="宋体" w:hint="eastAsia"/>
                <w:spacing w:val="-8"/>
                <w:szCs w:val="24"/>
              </w:rPr>
              <w:t>②相关管理制度是否合法、合规、完整</w:t>
            </w:r>
            <w:r>
              <w:rPr>
                <w:rFonts w:ascii="宋体" w:cs="宋体" w:hint="eastAsia"/>
                <w:szCs w:val="24"/>
              </w:rPr>
              <w:t>；</w:t>
            </w:r>
            <w:r>
              <w:rPr>
                <w:rFonts w:ascii="宋体" w:cs="宋体"/>
                <w:szCs w:val="24"/>
              </w:rPr>
              <w:br/>
            </w:r>
            <w:r>
              <w:rPr>
                <w:rFonts w:ascii="宋体" w:cs="宋体" w:hint="eastAsia"/>
                <w:szCs w:val="24"/>
              </w:rPr>
              <w:t>③相关管理制度是否得到有效执行。</w:t>
            </w:r>
          </w:p>
        </w:tc>
      </w:tr>
      <w:tr w:rsidR="00021BAD">
        <w:trPr>
          <w:trHeight w:val="2537"/>
          <w:jc w:val="center"/>
        </w:trPr>
        <w:tc>
          <w:tcPr>
            <w:tcW w:w="307" w:type="pct"/>
            <w:vMerge/>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资金使用</w:t>
            </w:r>
          </w:p>
          <w:p w:rsidR="00021BAD" w:rsidRDefault="00962646">
            <w:pPr>
              <w:widowControl w:val="0"/>
              <w:spacing w:line="240" w:lineRule="exact"/>
              <w:jc w:val="center"/>
              <w:rPr>
                <w:rFonts w:ascii="宋体" w:cs="宋体"/>
              </w:rPr>
            </w:pPr>
            <w:r>
              <w:rPr>
                <w:rFonts w:ascii="宋体" w:cs="宋体" w:hint="eastAsia"/>
                <w:szCs w:val="24"/>
              </w:rPr>
              <w:t>合规性（</w:t>
            </w:r>
            <w:r>
              <w:rPr>
                <w:rFonts w:ascii="宋体" w:cs="宋体"/>
                <w:szCs w:val="24"/>
              </w:rPr>
              <w:t>1</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1</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部门使用预算资金是否符合相关的预算财务管理制度的规定，用以反映和考核部门预算资金的规范运行情况。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Pr>
                <w:rFonts w:ascii="宋体" w:cs="宋体" w:hint="eastAsia"/>
                <w:szCs w:val="24"/>
              </w:rPr>
              <w:t>①是否符合国家财经法规和财务管理制度规定以及有关预算支出管理办法的规定；</w:t>
            </w:r>
            <w:r>
              <w:rPr>
                <w:rFonts w:ascii="宋体" w:cs="宋体"/>
                <w:szCs w:val="24"/>
              </w:rPr>
              <w:br/>
            </w:r>
            <w:r>
              <w:rPr>
                <w:rFonts w:ascii="宋体" w:cs="宋体" w:hint="eastAsia"/>
                <w:szCs w:val="24"/>
              </w:rPr>
              <w:t>②资金的拨付是否有完整的审批程序和手续；</w:t>
            </w:r>
            <w:r>
              <w:rPr>
                <w:rFonts w:ascii="宋体" w:cs="宋体"/>
                <w:szCs w:val="24"/>
              </w:rPr>
              <w:br/>
            </w:r>
            <w:r>
              <w:rPr>
                <w:rFonts w:ascii="宋体" w:cs="宋体" w:hint="eastAsia"/>
                <w:szCs w:val="24"/>
              </w:rPr>
              <w:t>③预算支出的重大开支是否经过评估论证；</w:t>
            </w:r>
            <w:r>
              <w:rPr>
                <w:rFonts w:ascii="宋体" w:cs="宋体"/>
                <w:szCs w:val="24"/>
              </w:rPr>
              <w:br/>
            </w:r>
            <w:r>
              <w:rPr>
                <w:rFonts w:ascii="宋体" w:cs="宋体" w:hint="eastAsia"/>
                <w:szCs w:val="24"/>
              </w:rPr>
              <w:t>④是否符合部门预算批复的用途；</w:t>
            </w:r>
            <w:r>
              <w:rPr>
                <w:rFonts w:ascii="宋体" w:cs="宋体"/>
                <w:szCs w:val="24"/>
              </w:rPr>
              <w:br/>
            </w:r>
            <w:r>
              <w:rPr>
                <w:rFonts w:ascii="宋体" w:cs="宋体" w:hint="eastAsia"/>
                <w:szCs w:val="24"/>
              </w:rPr>
              <w:t>⑤是否存在截留、挤占、挪用、虚列支出等情况。</w:t>
            </w:r>
          </w:p>
        </w:tc>
      </w:tr>
      <w:tr w:rsidR="00021BAD">
        <w:trPr>
          <w:trHeight w:val="1272"/>
          <w:jc w:val="center"/>
        </w:trPr>
        <w:tc>
          <w:tcPr>
            <w:tcW w:w="307" w:type="pct"/>
            <w:vMerge/>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预决算信</w:t>
            </w:r>
          </w:p>
          <w:p w:rsidR="00021BAD" w:rsidRDefault="00962646">
            <w:pPr>
              <w:widowControl w:val="0"/>
              <w:spacing w:line="240" w:lineRule="exact"/>
              <w:jc w:val="center"/>
              <w:rPr>
                <w:rFonts w:ascii="宋体" w:cs="宋体"/>
              </w:rPr>
            </w:pPr>
            <w:r>
              <w:rPr>
                <w:rFonts w:ascii="宋体" w:cs="宋体" w:hint="eastAsia"/>
                <w:szCs w:val="24"/>
              </w:rPr>
              <w:t>息公开性（</w:t>
            </w:r>
            <w:r>
              <w:rPr>
                <w:rFonts w:ascii="宋体" w:cs="宋体"/>
                <w:szCs w:val="24"/>
              </w:rPr>
              <w:t>1</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1</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部门是否按照政府信息公开有关规定公开相关预决算信息，用以反映和考核部门预决算管理的公开透明情况。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Pr>
                <w:rFonts w:ascii="宋体" w:cs="宋体" w:hint="eastAsia"/>
                <w:szCs w:val="24"/>
              </w:rPr>
              <w:t>①是否按规定内容公开预决算信息；</w:t>
            </w:r>
            <w:r>
              <w:rPr>
                <w:rFonts w:ascii="宋体" w:cs="宋体"/>
                <w:szCs w:val="24"/>
              </w:rPr>
              <w:br/>
            </w:r>
            <w:r>
              <w:rPr>
                <w:rFonts w:ascii="宋体" w:cs="宋体" w:hint="eastAsia"/>
                <w:szCs w:val="24"/>
              </w:rPr>
              <w:t>②是否按规定时限公开预决算信息。</w:t>
            </w:r>
            <w:r>
              <w:rPr>
                <w:rFonts w:ascii="宋体" w:cs="宋体"/>
                <w:szCs w:val="24"/>
              </w:rPr>
              <w:br/>
            </w:r>
            <w:r>
              <w:rPr>
                <w:rFonts w:ascii="宋体" w:cs="宋体" w:hint="eastAsia"/>
                <w:szCs w:val="24"/>
              </w:rPr>
              <w:t>预决算信息是指与部门预算、执行、决算、监督、绩效等管理相关的信息。</w:t>
            </w:r>
          </w:p>
        </w:tc>
      </w:tr>
      <w:tr w:rsidR="00021BAD" w:rsidTr="009631B1">
        <w:trPr>
          <w:trHeight w:val="998"/>
          <w:jc w:val="center"/>
        </w:trPr>
        <w:tc>
          <w:tcPr>
            <w:tcW w:w="307" w:type="pct"/>
            <w:vMerge/>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基础信息</w:t>
            </w:r>
          </w:p>
          <w:p w:rsidR="00021BAD" w:rsidRDefault="00962646">
            <w:pPr>
              <w:widowControl w:val="0"/>
              <w:spacing w:line="240" w:lineRule="exact"/>
              <w:jc w:val="center"/>
              <w:rPr>
                <w:rFonts w:ascii="宋体" w:cs="宋体"/>
              </w:rPr>
            </w:pPr>
            <w:r>
              <w:rPr>
                <w:rFonts w:ascii="宋体" w:cs="宋体" w:hint="eastAsia"/>
                <w:szCs w:val="24"/>
              </w:rPr>
              <w:t>完善性（</w:t>
            </w:r>
            <w:r>
              <w:rPr>
                <w:rFonts w:ascii="宋体" w:cs="宋体"/>
                <w:szCs w:val="24"/>
              </w:rPr>
              <w:t>1</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1</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部门基础信息是否完善，用以反映和考核基础信息对预算管理工作的支撑情况。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sidRPr="009631B1">
              <w:rPr>
                <w:rFonts w:ascii="宋体" w:cs="宋体" w:hint="eastAsia"/>
                <w:spacing w:val="-14"/>
                <w:szCs w:val="24"/>
              </w:rPr>
              <w:t>①基础数据信息和会计信息资料是否真实；</w:t>
            </w:r>
            <w:r w:rsidRPr="009631B1">
              <w:rPr>
                <w:rFonts w:ascii="宋体" w:cs="宋体"/>
                <w:spacing w:val="-14"/>
                <w:szCs w:val="24"/>
              </w:rPr>
              <w:br/>
            </w:r>
            <w:r w:rsidRPr="009631B1">
              <w:rPr>
                <w:rFonts w:ascii="宋体" w:cs="宋体" w:hint="eastAsia"/>
                <w:spacing w:val="-14"/>
                <w:szCs w:val="24"/>
              </w:rPr>
              <w:t>②基础数据信息和会计信息资料是否完整；</w:t>
            </w:r>
            <w:r w:rsidRPr="009631B1">
              <w:rPr>
                <w:rFonts w:ascii="宋体" w:cs="宋体"/>
                <w:spacing w:val="-14"/>
                <w:szCs w:val="24"/>
              </w:rPr>
              <w:br/>
            </w:r>
            <w:r w:rsidRPr="009631B1">
              <w:rPr>
                <w:rFonts w:ascii="宋体" w:cs="宋体" w:hint="eastAsia"/>
                <w:spacing w:val="-14"/>
                <w:szCs w:val="24"/>
              </w:rPr>
              <w:t>③基础数据信息和会计信息资料是否准确</w:t>
            </w:r>
            <w:r>
              <w:rPr>
                <w:rFonts w:ascii="宋体" w:cs="宋体" w:hint="eastAsia"/>
                <w:szCs w:val="24"/>
              </w:rPr>
              <w:t>。</w:t>
            </w:r>
          </w:p>
        </w:tc>
      </w:tr>
      <w:tr w:rsidR="00021BAD" w:rsidTr="009631B1">
        <w:trPr>
          <w:trHeight w:val="1080"/>
          <w:jc w:val="center"/>
        </w:trPr>
        <w:tc>
          <w:tcPr>
            <w:tcW w:w="307" w:type="pct"/>
            <w:vMerge/>
            <w:vAlign w:val="center"/>
          </w:tcPr>
          <w:p w:rsidR="00021BAD" w:rsidRDefault="00021BAD"/>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资产</w:t>
            </w:r>
            <w:r>
              <w:rPr>
                <w:rFonts w:ascii="宋体" w:cs="宋体"/>
                <w:szCs w:val="24"/>
              </w:rPr>
              <w:br/>
            </w:r>
            <w:r>
              <w:rPr>
                <w:rFonts w:ascii="宋体" w:cs="宋体" w:hint="eastAsia"/>
                <w:szCs w:val="24"/>
              </w:rPr>
              <w:t>管理（</w:t>
            </w:r>
            <w:r>
              <w:rPr>
                <w:rFonts w:ascii="宋体" w:cs="宋体"/>
                <w:szCs w:val="24"/>
              </w:rPr>
              <w:t>5</w:t>
            </w:r>
            <w:r>
              <w:rPr>
                <w:rFonts w:ascii="宋体" w:cs="宋体" w:hint="eastAsia"/>
                <w:szCs w:val="24"/>
              </w:rPr>
              <w:t>分）</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管理制度</w:t>
            </w:r>
          </w:p>
          <w:p w:rsidR="00021BAD" w:rsidRDefault="00962646">
            <w:pPr>
              <w:widowControl w:val="0"/>
              <w:spacing w:line="240" w:lineRule="exact"/>
              <w:jc w:val="center"/>
              <w:rPr>
                <w:rFonts w:ascii="宋体" w:cs="宋体"/>
              </w:rPr>
            </w:pPr>
            <w:r>
              <w:rPr>
                <w:rFonts w:ascii="宋体" w:cs="宋体" w:hint="eastAsia"/>
                <w:szCs w:val="24"/>
              </w:rPr>
              <w:t>健全性（</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Pr="009631B1" w:rsidRDefault="00962646">
            <w:pPr>
              <w:widowControl w:val="0"/>
              <w:tabs>
                <w:tab w:val="left" w:pos="2604"/>
              </w:tabs>
              <w:spacing w:line="240" w:lineRule="exact"/>
              <w:ind w:leftChars="50" w:left="105" w:rightChars="50" w:right="105" w:firstLineChars="46" w:firstLine="89"/>
              <w:rPr>
                <w:rFonts w:ascii="宋体" w:cs="宋体"/>
                <w:spacing w:val="-8"/>
              </w:rPr>
            </w:pPr>
            <w:r w:rsidRPr="009631B1">
              <w:rPr>
                <w:rFonts w:ascii="宋体" w:cs="宋体" w:hint="eastAsia"/>
                <w:spacing w:val="-8"/>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right w:w="10" w:type="dxa"/>
            </w:tcMar>
            <w:vAlign w:val="center"/>
          </w:tcPr>
          <w:p w:rsidR="00021BAD" w:rsidRPr="009631B1" w:rsidRDefault="00962646">
            <w:pPr>
              <w:widowControl w:val="0"/>
              <w:spacing w:line="240" w:lineRule="exact"/>
              <w:ind w:leftChars="50" w:left="105" w:rightChars="50" w:right="105"/>
              <w:rPr>
                <w:rFonts w:ascii="宋体" w:cs="宋体"/>
                <w:spacing w:val="-8"/>
              </w:rPr>
            </w:pPr>
            <w:r w:rsidRPr="009631B1">
              <w:rPr>
                <w:rFonts w:ascii="宋体" w:cs="宋体" w:hint="eastAsia"/>
                <w:spacing w:val="-8"/>
                <w:szCs w:val="24"/>
              </w:rPr>
              <w:t>评价要点：</w:t>
            </w:r>
            <w:r w:rsidRPr="009631B1">
              <w:rPr>
                <w:rFonts w:ascii="宋体" w:cs="宋体"/>
                <w:spacing w:val="-8"/>
                <w:szCs w:val="24"/>
              </w:rPr>
              <w:br/>
            </w:r>
            <w:r w:rsidRPr="009631B1">
              <w:rPr>
                <w:rFonts w:ascii="宋体" w:cs="宋体" w:hint="eastAsia"/>
                <w:spacing w:val="-8"/>
                <w:szCs w:val="24"/>
              </w:rPr>
              <w:t>①是否已制定或具有资产管理制度；</w:t>
            </w:r>
            <w:r w:rsidRPr="009631B1">
              <w:rPr>
                <w:rFonts w:ascii="宋体" w:cs="宋体"/>
                <w:spacing w:val="-8"/>
                <w:szCs w:val="24"/>
              </w:rPr>
              <w:t xml:space="preserve">           </w:t>
            </w:r>
            <w:r w:rsidRPr="009631B1">
              <w:rPr>
                <w:rFonts w:ascii="宋体" w:cs="宋体" w:hint="eastAsia"/>
                <w:spacing w:val="-8"/>
                <w:szCs w:val="24"/>
              </w:rPr>
              <w:t>②相关资金管理制度是否合法、合规、完整；</w:t>
            </w:r>
            <w:r w:rsidRPr="009631B1">
              <w:rPr>
                <w:rFonts w:ascii="宋体" w:cs="宋体"/>
                <w:spacing w:val="-8"/>
                <w:szCs w:val="24"/>
              </w:rPr>
              <w:br/>
            </w:r>
            <w:r w:rsidRPr="009631B1">
              <w:rPr>
                <w:rFonts w:ascii="宋体" w:cs="宋体" w:hint="eastAsia"/>
                <w:spacing w:val="-8"/>
                <w:szCs w:val="24"/>
              </w:rPr>
              <w:t>③相关资产管理制度是否得到有效执行。</w:t>
            </w:r>
          </w:p>
        </w:tc>
      </w:tr>
      <w:tr w:rsidR="00021BAD">
        <w:trPr>
          <w:trHeight w:val="1887"/>
          <w:jc w:val="center"/>
        </w:trPr>
        <w:tc>
          <w:tcPr>
            <w:tcW w:w="307" w:type="pct"/>
            <w:vMerge/>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资产管理</w:t>
            </w:r>
          </w:p>
          <w:p w:rsidR="00021BAD" w:rsidRDefault="00962646">
            <w:pPr>
              <w:widowControl w:val="0"/>
              <w:spacing w:line="240" w:lineRule="exact"/>
              <w:jc w:val="center"/>
              <w:rPr>
                <w:rFonts w:ascii="宋体" w:cs="宋体"/>
              </w:rPr>
            </w:pPr>
            <w:r>
              <w:rPr>
                <w:rFonts w:ascii="宋体" w:cs="宋体" w:hint="eastAsia"/>
                <w:szCs w:val="24"/>
              </w:rPr>
              <w:t>安全性（</w:t>
            </w:r>
            <w:r>
              <w:rPr>
                <w:rFonts w:ascii="宋体" w:cs="宋体"/>
                <w:szCs w:val="24"/>
              </w:rPr>
              <w:t>2</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761"/>
                <w:tab w:val="left" w:pos="2604"/>
              </w:tabs>
              <w:spacing w:line="240" w:lineRule="exact"/>
              <w:ind w:leftChars="50" w:left="105" w:rightChars="50" w:right="105" w:firstLineChars="46" w:firstLine="97"/>
              <w:jc w:val="center"/>
              <w:rPr>
                <w:rFonts w:ascii="宋体" w:cs="宋体"/>
              </w:rPr>
            </w:pPr>
            <w:r>
              <w:rPr>
                <w:rFonts w:ascii="宋体" w:cs="宋体"/>
                <w:szCs w:val="24"/>
              </w:rPr>
              <w:t>2</w:t>
            </w:r>
          </w:p>
        </w:tc>
        <w:tc>
          <w:tcPr>
            <w:tcW w:w="1576" w:type="pct"/>
            <w:tcMar>
              <w:top w:w="10" w:type="dxa"/>
              <w:left w:w="10" w:type="dxa"/>
              <w:right w:w="10" w:type="dxa"/>
            </w:tcMar>
            <w:vAlign w:val="center"/>
          </w:tcPr>
          <w:p w:rsidR="00021BAD" w:rsidRDefault="00962646">
            <w:pPr>
              <w:widowControl w:val="0"/>
              <w:tabs>
                <w:tab w:val="left" w:pos="761"/>
                <w:tab w:val="left" w:pos="2604"/>
              </w:tabs>
              <w:spacing w:line="240" w:lineRule="exact"/>
              <w:ind w:leftChars="50" w:left="105" w:rightChars="50" w:right="105" w:firstLineChars="46" w:firstLine="97"/>
              <w:rPr>
                <w:rFonts w:ascii="宋体" w:cs="宋体"/>
              </w:rPr>
            </w:pPr>
            <w:r>
              <w:rPr>
                <w:rFonts w:ascii="宋体" w:cs="宋体" w:hint="eastAsia"/>
                <w:szCs w:val="24"/>
              </w:rPr>
              <w:t>部门的资产是否保存完整、使用合规、配置合理、处置规范、收入及时足额上缴，用以反映和考核部门资产安全运行情况。</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评价要点：</w:t>
            </w:r>
            <w:r>
              <w:rPr>
                <w:rFonts w:ascii="宋体" w:cs="宋体"/>
                <w:szCs w:val="24"/>
              </w:rPr>
              <w:br/>
            </w:r>
            <w:r>
              <w:rPr>
                <w:rFonts w:ascii="宋体" w:cs="宋体" w:hint="eastAsia"/>
                <w:szCs w:val="24"/>
              </w:rPr>
              <w:t>①资产保存是否完整；</w:t>
            </w:r>
            <w:r>
              <w:rPr>
                <w:rFonts w:ascii="宋体" w:cs="宋体"/>
                <w:szCs w:val="24"/>
              </w:rPr>
              <w:br/>
            </w:r>
            <w:r>
              <w:rPr>
                <w:rFonts w:ascii="宋体" w:cs="宋体" w:hint="eastAsia"/>
                <w:szCs w:val="24"/>
              </w:rPr>
              <w:t>②资产配置是否合理；</w:t>
            </w:r>
            <w:r>
              <w:rPr>
                <w:rFonts w:ascii="宋体" w:cs="宋体"/>
                <w:szCs w:val="24"/>
              </w:rPr>
              <w:br/>
            </w:r>
            <w:r>
              <w:rPr>
                <w:rFonts w:ascii="宋体" w:cs="宋体" w:hint="eastAsia"/>
                <w:szCs w:val="24"/>
              </w:rPr>
              <w:t>③资产处置是否规范；</w:t>
            </w:r>
            <w:r>
              <w:rPr>
                <w:rFonts w:ascii="宋体" w:cs="宋体"/>
                <w:szCs w:val="24"/>
              </w:rPr>
              <w:br/>
            </w:r>
            <w:r>
              <w:rPr>
                <w:rFonts w:ascii="宋体" w:cs="宋体" w:hint="eastAsia"/>
                <w:szCs w:val="24"/>
              </w:rPr>
              <w:t>④资产账务管理是否合规，是否帐实相符；</w:t>
            </w:r>
            <w:r>
              <w:rPr>
                <w:rFonts w:ascii="宋体" w:cs="宋体"/>
                <w:szCs w:val="24"/>
              </w:rPr>
              <w:br/>
            </w:r>
            <w:r>
              <w:rPr>
                <w:rFonts w:ascii="宋体" w:cs="宋体" w:hint="eastAsia"/>
                <w:szCs w:val="24"/>
              </w:rPr>
              <w:t>⑤资产是否有偿使用及处置收入及时足额上缴。</w:t>
            </w:r>
          </w:p>
        </w:tc>
      </w:tr>
      <w:tr w:rsidR="00021BAD">
        <w:trPr>
          <w:trHeight w:val="895"/>
          <w:jc w:val="center"/>
        </w:trPr>
        <w:tc>
          <w:tcPr>
            <w:tcW w:w="307" w:type="pct"/>
            <w:vMerge/>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固定资产</w:t>
            </w:r>
          </w:p>
          <w:p w:rsidR="00021BAD" w:rsidRDefault="00962646">
            <w:pPr>
              <w:widowControl w:val="0"/>
              <w:spacing w:line="240" w:lineRule="exact"/>
              <w:jc w:val="center"/>
              <w:rPr>
                <w:rFonts w:ascii="宋体" w:cs="宋体"/>
              </w:rPr>
            </w:pPr>
            <w:r>
              <w:rPr>
                <w:rFonts w:ascii="宋体" w:cs="宋体" w:hint="eastAsia"/>
                <w:szCs w:val="24"/>
              </w:rPr>
              <w:t>利用率（</w:t>
            </w:r>
            <w:r>
              <w:rPr>
                <w:rFonts w:ascii="宋体" w:cs="宋体"/>
                <w:szCs w:val="24"/>
              </w:rPr>
              <w:t>1</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1</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部门实际在用固定资产总额与所有固定资产总额的比率，用以反映和考核部门固定资产使用效率程度。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固定资产利用率</w:t>
            </w:r>
            <w:r>
              <w:rPr>
                <w:rFonts w:ascii="宋体" w:cs="宋体"/>
                <w:szCs w:val="24"/>
              </w:rPr>
              <w:t>=</w:t>
            </w:r>
            <w:r>
              <w:rPr>
                <w:rFonts w:ascii="宋体" w:cs="宋体" w:hint="eastAsia"/>
                <w:szCs w:val="24"/>
              </w:rPr>
              <w:t>（实际在用固定资产总额</w:t>
            </w:r>
            <w:r>
              <w:rPr>
                <w:rFonts w:ascii="宋体" w:cs="宋体"/>
                <w:szCs w:val="24"/>
              </w:rPr>
              <w:t>/</w:t>
            </w:r>
            <w:r>
              <w:rPr>
                <w:rFonts w:ascii="宋体" w:cs="宋体" w:hint="eastAsia"/>
                <w:szCs w:val="24"/>
              </w:rPr>
              <w:t>所有固定资产总额）×</w:t>
            </w:r>
            <w:r>
              <w:rPr>
                <w:rFonts w:ascii="宋体" w:cs="宋体"/>
                <w:szCs w:val="24"/>
              </w:rPr>
              <w:t>100%</w:t>
            </w:r>
            <w:r>
              <w:rPr>
                <w:rFonts w:ascii="宋体" w:cs="宋体" w:hint="eastAsia"/>
                <w:szCs w:val="24"/>
              </w:rPr>
              <w:t>。</w:t>
            </w:r>
          </w:p>
        </w:tc>
      </w:tr>
      <w:tr w:rsidR="00021BAD">
        <w:trPr>
          <w:trHeight w:val="2171"/>
          <w:jc w:val="center"/>
        </w:trPr>
        <w:tc>
          <w:tcPr>
            <w:tcW w:w="307" w:type="pct"/>
            <w:vMerge w:val="restart"/>
            <w:noWrap/>
            <w:tcMar>
              <w:top w:w="10" w:type="dxa"/>
              <w:left w:w="10" w:type="dxa"/>
              <w:right w:w="10" w:type="dxa"/>
            </w:tcMar>
            <w:textDirection w:val="tbRlV"/>
            <w:vAlign w:val="center"/>
          </w:tcPr>
          <w:p w:rsidR="00021BAD" w:rsidRDefault="00962646">
            <w:pPr>
              <w:widowControl w:val="0"/>
              <w:spacing w:line="240" w:lineRule="exact"/>
              <w:jc w:val="center"/>
              <w:rPr>
                <w:rFonts w:ascii="宋体" w:cs="宋体"/>
              </w:rPr>
            </w:pPr>
            <w:r>
              <w:rPr>
                <w:rFonts w:ascii="宋体" w:cs="宋体" w:hint="eastAsia"/>
                <w:szCs w:val="24"/>
              </w:rPr>
              <w:lastRenderedPageBreak/>
              <w:t>产</w:t>
            </w:r>
            <w:r>
              <w:rPr>
                <w:rFonts w:ascii="宋体" w:cs="宋体"/>
                <w:szCs w:val="24"/>
              </w:rPr>
              <w:t xml:space="preserve">   </w:t>
            </w:r>
            <w:r>
              <w:rPr>
                <w:rFonts w:ascii="宋体" w:cs="宋体" w:hint="eastAsia"/>
                <w:szCs w:val="24"/>
              </w:rPr>
              <w:t>出（</w:t>
            </w:r>
            <w:r>
              <w:rPr>
                <w:rFonts w:ascii="宋体" w:cs="宋体"/>
                <w:szCs w:val="24"/>
              </w:rPr>
              <w:t>30</w:t>
            </w:r>
            <w:r>
              <w:rPr>
                <w:rFonts w:ascii="宋体" w:cs="宋体" w:hint="eastAsia"/>
                <w:szCs w:val="24"/>
              </w:rPr>
              <w:t>分）</w:t>
            </w:r>
          </w:p>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职责</w:t>
            </w:r>
            <w:r>
              <w:rPr>
                <w:rFonts w:ascii="宋体" w:cs="宋体"/>
                <w:szCs w:val="24"/>
              </w:rPr>
              <w:br/>
            </w:r>
            <w:r>
              <w:rPr>
                <w:rFonts w:ascii="宋体" w:cs="宋体" w:hint="eastAsia"/>
                <w:szCs w:val="24"/>
              </w:rPr>
              <w:t>履行（</w:t>
            </w:r>
            <w:r>
              <w:rPr>
                <w:rFonts w:ascii="宋体" w:cs="宋体"/>
                <w:szCs w:val="24"/>
              </w:rPr>
              <w:t>30</w:t>
            </w:r>
            <w:r>
              <w:rPr>
                <w:rFonts w:ascii="宋体" w:cs="宋体" w:hint="eastAsia"/>
                <w:szCs w:val="24"/>
              </w:rPr>
              <w:t>分）</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实际</w:t>
            </w:r>
          </w:p>
          <w:p w:rsidR="00021BAD" w:rsidRDefault="00962646">
            <w:pPr>
              <w:widowControl w:val="0"/>
              <w:spacing w:line="240" w:lineRule="exact"/>
              <w:jc w:val="center"/>
              <w:rPr>
                <w:rFonts w:ascii="宋体" w:cs="宋体"/>
              </w:rPr>
            </w:pPr>
            <w:r>
              <w:rPr>
                <w:rFonts w:ascii="宋体" w:cs="宋体" w:hint="eastAsia"/>
                <w:szCs w:val="24"/>
              </w:rPr>
              <w:t>完成率（</w:t>
            </w:r>
            <w:r>
              <w:rPr>
                <w:rFonts w:ascii="宋体" w:cs="宋体"/>
                <w:szCs w:val="24"/>
              </w:rPr>
              <w:t>8</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8</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部门履行职责而实际完成工作数与计划工作数的比率，用以反映和考核部门履职工作任务目标的实现程度。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实际完成率</w:t>
            </w:r>
            <w:r>
              <w:rPr>
                <w:rFonts w:ascii="宋体" w:cs="宋体"/>
                <w:szCs w:val="24"/>
              </w:rPr>
              <w:t>=</w:t>
            </w:r>
            <w:r>
              <w:rPr>
                <w:rFonts w:ascii="宋体" w:cs="宋体" w:hint="eastAsia"/>
                <w:szCs w:val="24"/>
              </w:rPr>
              <w:t>（实际完成工作数</w:t>
            </w:r>
            <w:r>
              <w:rPr>
                <w:rFonts w:ascii="宋体" w:cs="宋体"/>
                <w:szCs w:val="24"/>
              </w:rPr>
              <w:t>/</w:t>
            </w:r>
            <w:r>
              <w:rPr>
                <w:rFonts w:ascii="宋体" w:cs="宋体" w:hint="eastAsia"/>
                <w:szCs w:val="24"/>
              </w:rPr>
              <w:t>计划工作数）×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实际完成工作数：一定时期（年度或规划期）内部门实际完成工作任务的数量。</w:t>
            </w:r>
            <w:r>
              <w:rPr>
                <w:rFonts w:ascii="宋体" w:cs="宋体"/>
                <w:szCs w:val="24"/>
              </w:rPr>
              <w:br/>
            </w:r>
            <w:r>
              <w:rPr>
                <w:rFonts w:ascii="宋体" w:cs="宋体" w:hint="eastAsia"/>
                <w:szCs w:val="24"/>
              </w:rPr>
              <w:t>计划工作数：部门整体绩效目标确定的一定时期（年度或规划期）内预计完成工作任务的数量。</w:t>
            </w:r>
          </w:p>
        </w:tc>
      </w:tr>
      <w:tr w:rsidR="00021BAD">
        <w:trPr>
          <w:trHeight w:val="1393"/>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完成</w:t>
            </w:r>
          </w:p>
          <w:p w:rsidR="00021BAD" w:rsidRDefault="00962646">
            <w:pPr>
              <w:widowControl w:val="0"/>
              <w:spacing w:line="240" w:lineRule="exact"/>
              <w:jc w:val="center"/>
              <w:rPr>
                <w:rFonts w:ascii="宋体" w:cs="宋体"/>
              </w:rPr>
            </w:pPr>
            <w:r>
              <w:rPr>
                <w:rFonts w:ascii="宋体" w:cs="宋体" w:hint="eastAsia"/>
                <w:szCs w:val="24"/>
              </w:rPr>
              <w:t>及时率（</w:t>
            </w:r>
            <w:r>
              <w:rPr>
                <w:rFonts w:ascii="宋体" w:cs="宋体"/>
                <w:szCs w:val="24"/>
              </w:rPr>
              <w:t>4</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3</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部门在规定时限内及时完成的实际工作数与计划工作数的比率</w:t>
            </w:r>
            <w:r>
              <w:rPr>
                <w:rFonts w:ascii="宋体" w:cs="宋体"/>
                <w:szCs w:val="24"/>
              </w:rPr>
              <w:t>,</w:t>
            </w:r>
            <w:r>
              <w:rPr>
                <w:rFonts w:ascii="宋体" w:cs="宋体" w:hint="eastAsia"/>
                <w:szCs w:val="24"/>
              </w:rPr>
              <w:t>用以反映和考核部门履职时效目标的实现程度。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完成及时率</w:t>
            </w:r>
            <w:r>
              <w:rPr>
                <w:rFonts w:ascii="宋体" w:cs="宋体"/>
                <w:szCs w:val="24"/>
              </w:rPr>
              <w:t>=</w:t>
            </w:r>
            <w:r>
              <w:rPr>
                <w:rFonts w:ascii="宋体" w:cs="宋体" w:hint="eastAsia"/>
                <w:szCs w:val="24"/>
              </w:rPr>
              <w:t>（及时完成实际工作数</w:t>
            </w:r>
            <w:r>
              <w:rPr>
                <w:rFonts w:ascii="宋体" w:cs="宋体"/>
                <w:szCs w:val="24"/>
              </w:rPr>
              <w:t>/</w:t>
            </w:r>
            <w:r>
              <w:rPr>
                <w:rFonts w:ascii="宋体" w:cs="宋体" w:hint="eastAsia"/>
                <w:szCs w:val="24"/>
              </w:rPr>
              <w:t>计划工作数）×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及时完成实际工作数：部门按照整体绩效目标确定的时限实际完成的工作任务数量。</w:t>
            </w:r>
          </w:p>
        </w:tc>
      </w:tr>
      <w:tr w:rsidR="00021BAD">
        <w:trPr>
          <w:trHeight w:val="1675"/>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质量</w:t>
            </w:r>
          </w:p>
          <w:p w:rsidR="00021BAD" w:rsidRDefault="00962646">
            <w:pPr>
              <w:widowControl w:val="0"/>
              <w:spacing w:line="240" w:lineRule="exact"/>
              <w:jc w:val="center"/>
              <w:rPr>
                <w:rFonts w:ascii="宋体" w:cs="宋体"/>
              </w:rPr>
            </w:pPr>
            <w:r>
              <w:rPr>
                <w:rFonts w:ascii="宋体" w:cs="宋体" w:hint="eastAsia"/>
                <w:szCs w:val="24"/>
              </w:rPr>
              <w:t>达标率（</w:t>
            </w:r>
            <w:r>
              <w:rPr>
                <w:rFonts w:ascii="宋体" w:cs="宋体"/>
                <w:szCs w:val="24"/>
              </w:rPr>
              <w:t>8</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7</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达到质量标准（绩效标准值）的实际工作数与计划工作数的比率</w:t>
            </w:r>
            <w:r>
              <w:rPr>
                <w:rFonts w:ascii="宋体" w:cs="宋体"/>
                <w:szCs w:val="24"/>
              </w:rPr>
              <w:t>,</w:t>
            </w:r>
            <w:r>
              <w:rPr>
                <w:rFonts w:ascii="宋体" w:cs="宋体" w:hint="eastAsia"/>
                <w:szCs w:val="24"/>
              </w:rPr>
              <w:t>用以反映和考核部门履职质量目标的实现程度。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质量达标率</w:t>
            </w:r>
            <w:r>
              <w:rPr>
                <w:rFonts w:ascii="宋体" w:cs="宋体"/>
                <w:szCs w:val="24"/>
              </w:rPr>
              <w:t>=</w:t>
            </w:r>
            <w:r>
              <w:rPr>
                <w:rFonts w:ascii="宋体" w:cs="宋体" w:hint="eastAsia"/>
                <w:szCs w:val="24"/>
              </w:rPr>
              <w:t>（质量达标实际工作数</w:t>
            </w:r>
            <w:r>
              <w:rPr>
                <w:rFonts w:ascii="宋体" w:cs="宋体"/>
                <w:szCs w:val="24"/>
              </w:rPr>
              <w:t>/</w:t>
            </w:r>
            <w:r>
              <w:rPr>
                <w:rFonts w:ascii="宋体" w:cs="宋体" w:hint="eastAsia"/>
                <w:szCs w:val="24"/>
              </w:rPr>
              <w:t>计划工作数）×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质量达标实际工作数：一定时期（年度或规划期）内部门实际完成工作数中达到部门绩效目标要求（绩效标准值）的工作任务数量。</w:t>
            </w:r>
          </w:p>
        </w:tc>
      </w:tr>
      <w:tr w:rsidR="00021BAD">
        <w:trPr>
          <w:trHeight w:val="1125"/>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重点工作</w:t>
            </w:r>
          </w:p>
          <w:p w:rsidR="00021BAD" w:rsidRDefault="00962646">
            <w:pPr>
              <w:widowControl w:val="0"/>
              <w:spacing w:line="240" w:lineRule="exact"/>
              <w:jc w:val="center"/>
              <w:rPr>
                <w:rFonts w:ascii="宋体" w:cs="宋体"/>
              </w:rPr>
            </w:pPr>
            <w:r>
              <w:rPr>
                <w:rFonts w:ascii="宋体" w:cs="宋体" w:hint="eastAsia"/>
                <w:szCs w:val="24"/>
              </w:rPr>
              <w:t>办结率（</w:t>
            </w:r>
            <w:r>
              <w:rPr>
                <w:rFonts w:ascii="宋体" w:cs="宋体"/>
                <w:szCs w:val="24"/>
              </w:rPr>
              <w:t>10</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10</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部门年度重点工作实际完成数与交办或下达数的比率，用以反映部门对重点工作的办理落实程度。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重点工作办结率</w:t>
            </w:r>
            <w:r>
              <w:rPr>
                <w:rFonts w:ascii="宋体" w:cs="宋体"/>
                <w:szCs w:val="24"/>
              </w:rPr>
              <w:t>=</w:t>
            </w:r>
            <w:r>
              <w:rPr>
                <w:rFonts w:ascii="宋体" w:cs="宋体" w:hint="eastAsia"/>
                <w:szCs w:val="24"/>
              </w:rPr>
              <w:t>（重点工作实际完成数</w:t>
            </w:r>
            <w:r>
              <w:rPr>
                <w:rFonts w:ascii="宋体" w:cs="宋体"/>
                <w:szCs w:val="24"/>
              </w:rPr>
              <w:t>/</w:t>
            </w:r>
            <w:r>
              <w:rPr>
                <w:rFonts w:ascii="宋体" w:cs="宋体" w:hint="eastAsia"/>
                <w:szCs w:val="24"/>
              </w:rPr>
              <w:t>交办或下达数）×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重点工作是指党委、政府、人大、相关部门交办或下达的工作任务。</w:t>
            </w:r>
          </w:p>
        </w:tc>
      </w:tr>
      <w:tr w:rsidR="00021BAD">
        <w:trPr>
          <w:trHeight w:val="709"/>
          <w:jc w:val="center"/>
        </w:trPr>
        <w:tc>
          <w:tcPr>
            <w:tcW w:w="307" w:type="pct"/>
            <w:vMerge w:val="restart"/>
            <w:noWrap/>
            <w:tcMar>
              <w:top w:w="10" w:type="dxa"/>
              <w:left w:w="10" w:type="dxa"/>
              <w:right w:w="10" w:type="dxa"/>
            </w:tcMar>
            <w:textDirection w:val="tbRlV"/>
            <w:vAlign w:val="center"/>
          </w:tcPr>
          <w:p w:rsidR="00021BAD" w:rsidRDefault="00962646">
            <w:pPr>
              <w:widowControl w:val="0"/>
              <w:spacing w:line="240" w:lineRule="exact"/>
              <w:jc w:val="center"/>
              <w:rPr>
                <w:rFonts w:ascii="宋体" w:cs="宋体"/>
              </w:rPr>
            </w:pPr>
            <w:r>
              <w:rPr>
                <w:rFonts w:ascii="宋体" w:cs="宋体" w:hint="eastAsia"/>
                <w:szCs w:val="24"/>
              </w:rPr>
              <w:t>效</w:t>
            </w:r>
            <w:r>
              <w:rPr>
                <w:rFonts w:ascii="宋体" w:cs="宋体"/>
                <w:szCs w:val="24"/>
              </w:rPr>
              <w:t xml:space="preserve">   </w:t>
            </w:r>
            <w:r>
              <w:rPr>
                <w:rFonts w:ascii="宋体" w:cs="宋体" w:hint="eastAsia"/>
                <w:szCs w:val="24"/>
              </w:rPr>
              <w:t>果（</w:t>
            </w:r>
            <w:r>
              <w:rPr>
                <w:rFonts w:ascii="宋体" w:cs="宋体"/>
                <w:szCs w:val="24"/>
              </w:rPr>
              <w:t>20</w:t>
            </w:r>
            <w:r>
              <w:rPr>
                <w:rFonts w:ascii="宋体" w:cs="宋体" w:hint="eastAsia"/>
                <w:szCs w:val="24"/>
              </w:rPr>
              <w:t>分）</w:t>
            </w:r>
          </w:p>
        </w:tc>
        <w:tc>
          <w:tcPr>
            <w:tcW w:w="375" w:type="pct"/>
            <w:vMerge w:val="restar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履职</w:t>
            </w:r>
            <w:r>
              <w:rPr>
                <w:rFonts w:ascii="宋体" w:cs="宋体"/>
                <w:szCs w:val="24"/>
              </w:rPr>
              <w:br/>
            </w:r>
            <w:r>
              <w:rPr>
                <w:rFonts w:ascii="宋体" w:cs="宋体" w:hint="eastAsia"/>
                <w:szCs w:val="24"/>
              </w:rPr>
              <w:t>效益（</w:t>
            </w:r>
            <w:r>
              <w:rPr>
                <w:rFonts w:ascii="宋体" w:cs="宋体"/>
                <w:szCs w:val="24"/>
              </w:rPr>
              <w:t>20</w:t>
            </w:r>
            <w:r>
              <w:rPr>
                <w:rFonts w:ascii="宋体" w:cs="宋体" w:hint="eastAsia"/>
                <w:szCs w:val="24"/>
              </w:rPr>
              <w:t>分）</w:t>
            </w:r>
          </w:p>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经济效益（</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4</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部门履行职责对经济发展所带来的直接或间接影响。</w:t>
            </w:r>
          </w:p>
        </w:tc>
        <w:tc>
          <w:tcPr>
            <w:tcW w:w="1867" w:type="pct"/>
            <w:vMerge w:val="restar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021BAD">
        <w:trPr>
          <w:trHeight w:val="709"/>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社会效益（</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4</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部门履行职责对社会发展所带来的直接或间接影响。</w:t>
            </w:r>
          </w:p>
        </w:tc>
        <w:tc>
          <w:tcPr>
            <w:tcW w:w="1867" w:type="pct"/>
            <w:vMerge/>
            <w:tcMar>
              <w:top w:w="10" w:type="dxa"/>
              <w:left w:w="10" w:type="dxa"/>
              <w:right w:w="10" w:type="dxa"/>
            </w:tcMar>
            <w:vAlign w:val="center"/>
          </w:tcPr>
          <w:p w:rsidR="00021BAD" w:rsidRDefault="00021BAD"/>
        </w:tc>
      </w:tr>
      <w:tr w:rsidR="00021BAD">
        <w:trPr>
          <w:trHeight w:val="709"/>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生态效益（</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4</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部门履行职责对生态环境所带来的直接或间接影响。</w:t>
            </w:r>
          </w:p>
        </w:tc>
        <w:tc>
          <w:tcPr>
            <w:tcW w:w="1867" w:type="pct"/>
            <w:vMerge/>
            <w:tcMar>
              <w:top w:w="10" w:type="dxa"/>
              <w:left w:w="10" w:type="dxa"/>
              <w:right w:w="10" w:type="dxa"/>
            </w:tcMar>
            <w:vAlign w:val="center"/>
          </w:tcPr>
          <w:p w:rsidR="00021BAD" w:rsidRDefault="00021BAD"/>
        </w:tc>
      </w:tr>
      <w:tr w:rsidR="00021BAD">
        <w:trPr>
          <w:trHeight w:val="1063"/>
          <w:jc w:val="center"/>
        </w:trPr>
        <w:tc>
          <w:tcPr>
            <w:tcW w:w="307" w:type="pct"/>
            <w:vMerge/>
            <w:noWrap/>
            <w:tcMar>
              <w:top w:w="10" w:type="dxa"/>
              <w:left w:w="10" w:type="dxa"/>
              <w:right w:w="10" w:type="dxa"/>
            </w:tcMar>
            <w:textDirection w:val="tbRlV"/>
            <w:vAlign w:val="center"/>
          </w:tcPr>
          <w:p w:rsidR="00021BAD" w:rsidRDefault="00021BAD"/>
        </w:tc>
        <w:tc>
          <w:tcPr>
            <w:tcW w:w="375" w:type="pct"/>
            <w:vMerge/>
            <w:tcMar>
              <w:top w:w="10" w:type="dxa"/>
              <w:left w:w="10" w:type="dxa"/>
              <w:right w:w="10" w:type="dxa"/>
            </w:tcMar>
            <w:vAlign w:val="center"/>
          </w:tcPr>
          <w:p w:rsidR="00021BAD" w:rsidRDefault="00021BAD"/>
        </w:tc>
        <w:tc>
          <w:tcPr>
            <w:tcW w:w="500" w:type="pct"/>
            <w:tcMar>
              <w:top w:w="10" w:type="dxa"/>
              <w:left w:w="10" w:type="dxa"/>
              <w:right w:w="10" w:type="dxa"/>
            </w:tcMar>
            <w:vAlign w:val="center"/>
          </w:tcPr>
          <w:p w:rsidR="00021BAD" w:rsidRDefault="00962646">
            <w:pPr>
              <w:widowControl w:val="0"/>
              <w:spacing w:line="240" w:lineRule="exact"/>
              <w:jc w:val="center"/>
              <w:rPr>
                <w:rFonts w:ascii="宋体" w:cs="宋体"/>
              </w:rPr>
            </w:pPr>
            <w:r>
              <w:rPr>
                <w:rFonts w:ascii="宋体" w:cs="宋体" w:hint="eastAsia"/>
                <w:szCs w:val="24"/>
              </w:rPr>
              <w:t>社会公众</w:t>
            </w:r>
          </w:p>
          <w:p w:rsidR="00021BAD" w:rsidRDefault="00962646">
            <w:pPr>
              <w:widowControl w:val="0"/>
              <w:spacing w:line="240" w:lineRule="exact"/>
              <w:jc w:val="center"/>
              <w:rPr>
                <w:rFonts w:ascii="宋体" w:cs="宋体"/>
              </w:rPr>
            </w:pPr>
            <w:r>
              <w:rPr>
                <w:rFonts w:ascii="宋体" w:cs="宋体" w:hint="eastAsia"/>
                <w:szCs w:val="24"/>
              </w:rPr>
              <w:t>或服务对</w:t>
            </w:r>
          </w:p>
          <w:p w:rsidR="00021BAD" w:rsidRDefault="00962646">
            <w:pPr>
              <w:widowControl w:val="0"/>
              <w:spacing w:line="240" w:lineRule="exact"/>
              <w:jc w:val="center"/>
              <w:rPr>
                <w:rFonts w:ascii="宋体" w:cs="宋体"/>
              </w:rPr>
            </w:pPr>
            <w:r>
              <w:rPr>
                <w:rFonts w:ascii="宋体" w:cs="宋体" w:hint="eastAsia"/>
                <w:szCs w:val="24"/>
              </w:rPr>
              <w:t>象满意度（</w:t>
            </w:r>
            <w:r>
              <w:rPr>
                <w:rFonts w:ascii="宋体" w:cs="宋体"/>
                <w:szCs w:val="24"/>
              </w:rPr>
              <w:t>5</w:t>
            </w:r>
            <w:r>
              <w:rPr>
                <w:rFonts w:ascii="宋体" w:cs="宋体" w:hint="eastAsia"/>
                <w:szCs w:val="24"/>
              </w:rPr>
              <w:t>分）</w:t>
            </w: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5</w:t>
            </w:r>
          </w:p>
        </w:tc>
        <w:tc>
          <w:tcPr>
            <w:tcW w:w="1576"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rPr>
                <w:rFonts w:ascii="宋体" w:cs="宋体"/>
              </w:rPr>
            </w:pPr>
            <w:r>
              <w:rPr>
                <w:rFonts w:ascii="宋体" w:cs="宋体" w:hint="eastAsia"/>
                <w:szCs w:val="24"/>
              </w:rPr>
              <w:t>社会公众或部门的服务对象对部门履职效果的满意程度。</w:t>
            </w:r>
          </w:p>
        </w:tc>
        <w:tc>
          <w:tcPr>
            <w:tcW w:w="1867" w:type="pct"/>
            <w:tcMar>
              <w:top w:w="10" w:type="dxa"/>
              <w:left w:w="10" w:type="dxa"/>
              <w:right w:w="10" w:type="dxa"/>
            </w:tcMar>
            <w:vAlign w:val="center"/>
          </w:tcPr>
          <w:p w:rsidR="00021BAD" w:rsidRDefault="00962646">
            <w:pPr>
              <w:widowControl w:val="0"/>
              <w:spacing w:line="240" w:lineRule="exact"/>
              <w:ind w:leftChars="50" w:left="105" w:rightChars="50" w:right="105"/>
              <w:rPr>
                <w:rFonts w:ascii="宋体" w:cs="宋体"/>
              </w:rPr>
            </w:pPr>
            <w:r>
              <w:rPr>
                <w:rFonts w:ascii="宋体" w:cs="宋体" w:hint="eastAsia"/>
                <w:szCs w:val="24"/>
              </w:rPr>
              <w:t>社会公众或服务对象是指部门履行职责而影响到的部门、群体或个人。一般采取社会调查的方式。</w:t>
            </w:r>
          </w:p>
        </w:tc>
      </w:tr>
      <w:tr w:rsidR="00021BAD">
        <w:trPr>
          <w:trHeight w:val="692"/>
          <w:jc w:val="center"/>
        </w:trPr>
        <w:tc>
          <w:tcPr>
            <w:tcW w:w="307" w:type="pct"/>
            <w:vAlign w:val="center"/>
          </w:tcPr>
          <w:p w:rsidR="00021BAD" w:rsidRDefault="00962646">
            <w:pPr>
              <w:widowControl w:val="0"/>
              <w:spacing w:line="240" w:lineRule="exact"/>
              <w:rPr>
                <w:rFonts w:ascii="宋体" w:cs="宋体"/>
              </w:rPr>
            </w:pPr>
            <w:r>
              <w:rPr>
                <w:rFonts w:ascii="宋体" w:cs="宋体" w:hint="eastAsia"/>
                <w:szCs w:val="24"/>
              </w:rPr>
              <w:t>总分</w:t>
            </w:r>
          </w:p>
        </w:tc>
        <w:tc>
          <w:tcPr>
            <w:tcW w:w="375" w:type="pct"/>
            <w:vAlign w:val="center"/>
          </w:tcPr>
          <w:p w:rsidR="00021BAD" w:rsidRDefault="00021BAD">
            <w:pPr>
              <w:widowControl w:val="0"/>
              <w:spacing w:line="240" w:lineRule="exact"/>
              <w:rPr>
                <w:rFonts w:ascii="宋体" w:cs="宋体"/>
              </w:rPr>
            </w:pPr>
          </w:p>
        </w:tc>
        <w:tc>
          <w:tcPr>
            <w:tcW w:w="500" w:type="pct"/>
            <w:tcMar>
              <w:top w:w="10" w:type="dxa"/>
              <w:left w:w="10" w:type="dxa"/>
              <w:right w:w="10" w:type="dxa"/>
            </w:tcMar>
            <w:vAlign w:val="center"/>
          </w:tcPr>
          <w:p w:rsidR="00021BAD" w:rsidRDefault="00021BAD">
            <w:pPr>
              <w:widowControl w:val="0"/>
              <w:spacing w:line="240" w:lineRule="exact"/>
              <w:jc w:val="center"/>
              <w:rPr>
                <w:rFonts w:ascii="宋体" w:cs="宋体"/>
              </w:rPr>
            </w:pPr>
          </w:p>
        </w:tc>
        <w:tc>
          <w:tcPr>
            <w:tcW w:w="375" w:type="pct"/>
            <w:tcMar>
              <w:top w:w="10" w:type="dxa"/>
              <w:left w:w="10" w:type="dxa"/>
              <w:right w:w="10" w:type="dxa"/>
            </w:tcMar>
            <w:vAlign w:val="center"/>
          </w:tcPr>
          <w:p w:rsidR="00021BAD" w:rsidRDefault="00962646">
            <w:pPr>
              <w:widowControl w:val="0"/>
              <w:tabs>
                <w:tab w:val="left" w:pos="2604"/>
              </w:tabs>
              <w:spacing w:line="240" w:lineRule="exact"/>
              <w:ind w:leftChars="50" w:left="105" w:rightChars="50" w:right="105" w:firstLineChars="46" w:firstLine="97"/>
              <w:jc w:val="center"/>
              <w:rPr>
                <w:rFonts w:ascii="宋体" w:cs="宋体"/>
              </w:rPr>
            </w:pPr>
            <w:r>
              <w:rPr>
                <w:rFonts w:ascii="宋体" w:cs="宋体"/>
                <w:szCs w:val="24"/>
              </w:rPr>
              <w:t>95</w:t>
            </w:r>
          </w:p>
        </w:tc>
        <w:tc>
          <w:tcPr>
            <w:tcW w:w="1576" w:type="pct"/>
            <w:tcMar>
              <w:top w:w="10" w:type="dxa"/>
              <w:left w:w="10" w:type="dxa"/>
              <w:right w:w="10" w:type="dxa"/>
            </w:tcMar>
            <w:vAlign w:val="center"/>
          </w:tcPr>
          <w:p w:rsidR="00021BAD" w:rsidRDefault="00021BAD">
            <w:pPr>
              <w:widowControl w:val="0"/>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right w:w="10" w:type="dxa"/>
            </w:tcMar>
            <w:vAlign w:val="center"/>
          </w:tcPr>
          <w:p w:rsidR="00021BAD" w:rsidRDefault="00021BAD">
            <w:pPr>
              <w:widowControl w:val="0"/>
              <w:spacing w:line="240" w:lineRule="exact"/>
              <w:ind w:leftChars="50" w:left="105" w:rightChars="50" w:right="105"/>
              <w:rPr>
                <w:rFonts w:ascii="宋体" w:cs="宋体"/>
              </w:rPr>
            </w:pPr>
          </w:p>
        </w:tc>
      </w:tr>
    </w:tbl>
    <w:p w:rsidR="00021BAD" w:rsidRDefault="00021BAD">
      <w:pPr>
        <w:widowControl w:val="0"/>
      </w:pPr>
    </w:p>
    <w:p w:rsidR="00021BAD" w:rsidRDefault="00021BAD" w:rsidP="009631B1">
      <w:pPr>
        <w:keepNext/>
        <w:keepLines/>
        <w:spacing w:line="80" w:lineRule="exact"/>
        <w:ind w:firstLine="641"/>
        <w:rPr>
          <w:rFonts w:eastAsia="Times New Roman"/>
          <w:b/>
          <w:sz w:val="32"/>
          <w:szCs w:val="24"/>
          <w:highlight w:val="white"/>
          <w:lang w:val="zh-CN"/>
        </w:rPr>
      </w:pPr>
      <w:bookmarkStart w:id="0" w:name="_GoBack"/>
      <w:bookmarkEnd w:id="0"/>
    </w:p>
    <w:p w:rsidR="00021BAD" w:rsidRDefault="00021BAD">
      <w:pPr>
        <w:jc w:val="left"/>
        <w:rPr>
          <w:rFonts w:cs="宋体"/>
          <w:kern w:val="0"/>
          <w:sz w:val="18"/>
          <w:szCs w:val="24"/>
          <w:highlight w:val="white"/>
          <w:lang w:val="zh-CN"/>
        </w:rPr>
      </w:pPr>
    </w:p>
    <w:sectPr w:rsidR="00021BAD" w:rsidSect="00957DD3">
      <w:footerReference w:type="default" r:id="rId7"/>
      <w:pgSz w:w="12240" w:h="15840" w:code="1"/>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670" w:rsidRDefault="006F3670" w:rsidP="00962646">
      <w:r>
        <w:separator/>
      </w:r>
    </w:p>
  </w:endnote>
  <w:endnote w:type="continuationSeparator" w:id="0">
    <w:p w:rsidR="006F3670" w:rsidRDefault="006F3670" w:rsidP="00962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方正小标宋_GBK">
    <w:altName w:val="方正北魏楷书繁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192949"/>
      <w:docPartObj>
        <w:docPartGallery w:val="Page Numbers (Bottom of Page)"/>
        <w:docPartUnique/>
      </w:docPartObj>
    </w:sdtPr>
    <w:sdtContent>
      <w:p w:rsidR="00957DD3" w:rsidRDefault="001F0B02">
        <w:pPr>
          <w:pStyle w:val="a3"/>
          <w:jc w:val="center"/>
        </w:pPr>
        <w:r>
          <w:fldChar w:fldCharType="begin"/>
        </w:r>
        <w:r w:rsidR="00957DD3">
          <w:instrText>PAGE   \* MERGEFORMAT</w:instrText>
        </w:r>
        <w:r>
          <w:fldChar w:fldCharType="separate"/>
        </w:r>
        <w:r w:rsidR="0030383D" w:rsidRPr="0030383D">
          <w:rPr>
            <w:noProof/>
            <w:lang w:val="zh-CN"/>
          </w:rPr>
          <w:t>32</w:t>
        </w:r>
        <w:r>
          <w:fldChar w:fldCharType="end"/>
        </w:r>
      </w:p>
    </w:sdtContent>
  </w:sdt>
  <w:p w:rsidR="00957DD3" w:rsidRDefault="00957DD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670" w:rsidRDefault="006F3670" w:rsidP="00962646">
      <w:r>
        <w:separator/>
      </w:r>
    </w:p>
  </w:footnote>
  <w:footnote w:type="continuationSeparator" w:id="0">
    <w:p w:rsidR="006F3670" w:rsidRDefault="006F3670" w:rsidP="009626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B58C2C"/>
    <w:multiLevelType w:val="singleLevel"/>
    <w:tmpl w:val="B5B58C2C"/>
    <w:lvl w:ilvl="0">
      <w:start w:val="2"/>
      <w:numFmt w:val="chineseCounting"/>
      <w:lvlRestart w:val="0"/>
      <w:suff w:val="nothing"/>
      <w:lvlText w:val="（%1）"/>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021BAD"/>
    <w:rsid w:val="00021BAD"/>
    <w:rsid w:val="001F0B02"/>
    <w:rsid w:val="00212BD3"/>
    <w:rsid w:val="002F791D"/>
    <w:rsid w:val="0030383D"/>
    <w:rsid w:val="00405893"/>
    <w:rsid w:val="00696E06"/>
    <w:rsid w:val="006F3670"/>
    <w:rsid w:val="00957DD3"/>
    <w:rsid w:val="00962646"/>
    <w:rsid w:val="00963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1BAD"/>
    <w:pPr>
      <w:jc w:val="both"/>
    </w:pPr>
    <w:rPr>
      <w:kern w:val="2"/>
      <w:sz w:val="21"/>
      <w:szCs w:val="21"/>
    </w:rPr>
  </w:style>
  <w:style w:type="paragraph" w:styleId="1">
    <w:name w:val="heading 1"/>
    <w:basedOn w:val="a"/>
    <w:next w:val="a"/>
    <w:rsid w:val="00021BAD"/>
    <w:pPr>
      <w:keepNext/>
      <w:keepLines/>
      <w:spacing w:before="340" w:after="330" w:line="578" w:lineRule="auto"/>
      <w:outlineLvl w:val="0"/>
    </w:pPr>
    <w:rPr>
      <w:b/>
      <w:bCs/>
      <w:kern w:val="44"/>
      <w:sz w:val="44"/>
    </w:rPr>
  </w:style>
  <w:style w:type="paragraph" w:styleId="2">
    <w:name w:val="heading 2"/>
    <w:basedOn w:val="a"/>
    <w:next w:val="a"/>
    <w:rsid w:val="00021BAD"/>
    <w:pPr>
      <w:keepNext/>
      <w:keepLines/>
      <w:spacing w:before="260" w:after="260" w:line="415" w:lineRule="auto"/>
      <w:outlineLvl w:val="1"/>
    </w:pPr>
    <w:rPr>
      <w:rFonts w:ascii="Arial" w:eastAsia="黑体" w:hAnsi="Arial"/>
      <w:b/>
      <w:sz w:val="32"/>
    </w:rPr>
  </w:style>
  <w:style w:type="paragraph" w:styleId="3">
    <w:name w:val="heading 3"/>
    <w:basedOn w:val="a"/>
    <w:next w:val="a"/>
    <w:rsid w:val="00021BA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21BAD"/>
    <w:pPr>
      <w:tabs>
        <w:tab w:val="center" w:pos="4153"/>
        <w:tab w:val="right" w:pos="8306"/>
      </w:tabs>
      <w:snapToGrid w:val="0"/>
      <w:jc w:val="left"/>
    </w:pPr>
    <w:rPr>
      <w:sz w:val="18"/>
    </w:rPr>
  </w:style>
  <w:style w:type="paragraph" w:styleId="a4">
    <w:name w:val="header"/>
    <w:basedOn w:val="a"/>
    <w:rsid w:val="00021BAD"/>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021BAD"/>
    <w:pPr>
      <w:spacing w:before="100" w:beforeAutospacing="1" w:after="100" w:afterAutospacing="1"/>
      <w:jc w:val="left"/>
    </w:pPr>
    <w:rPr>
      <w:rFonts w:ascii="宋体" w:cs="宋体"/>
      <w:sz w:val="24"/>
      <w:szCs w:val="24"/>
    </w:rPr>
  </w:style>
  <w:style w:type="character" w:customStyle="1" w:styleId="Char1">
    <w:name w:val="页脚 Char1"/>
    <w:basedOn w:val="a0"/>
    <w:rsid w:val="00021BAD"/>
    <w:rPr>
      <w:rFonts w:cs="Times New Roman"/>
      <w:sz w:val="18"/>
      <w:szCs w:val="18"/>
    </w:rPr>
  </w:style>
  <w:style w:type="paragraph" w:styleId="a6">
    <w:name w:val="List Paragraph"/>
    <w:basedOn w:val="a"/>
    <w:rsid w:val="00021BAD"/>
    <w:pPr>
      <w:ind w:firstLineChars="200" w:firstLine="200"/>
    </w:pPr>
  </w:style>
  <w:style w:type="character" w:customStyle="1" w:styleId="Char">
    <w:name w:val="页脚 Char"/>
    <w:basedOn w:val="a0"/>
    <w:link w:val="a3"/>
    <w:uiPriority w:val="99"/>
    <w:rsid w:val="00957DD3"/>
    <w:rPr>
      <w:kern w:val="2"/>
      <w:sz w:val="18"/>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32</Pages>
  <Words>2537</Words>
  <Characters>14463</Characters>
  <Application>Microsoft Office Word</Application>
  <DocSecurity>0</DocSecurity>
  <Lines>120</Lines>
  <Paragraphs>33</Paragraphs>
  <ScaleCrop>false</ScaleCrop>
  <Company>微软中国</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2021-10-26T06:34:00Z</dcterms:created>
  <dcterms:modified xsi:type="dcterms:W3CDTF">2022-05-31T02:13:00Z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268AEE0965674A26834A2A84E29C79A3</vt:lpwstr>
  </property>
</Properties>
</file>