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益阳市赫山区工商业联合会</w:t>
      </w:r>
    </w:p>
    <w:p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2021年部门预算公开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目  录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第一部分  2021年部门预算说明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一、部门基本情况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（一）职能职责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（二）机构设置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二、部门预算单位构成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三、部门收支总体情况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（一）收入预算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（二）支出预算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（一）基本支出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（二）项目支出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五、政府性基金预算支出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六、其他重要事项的情况说明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（一）机关运行经费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（二）“三公”经费预算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（三）一般性支出情况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（四）政府采购情况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（五）国有资产占用使用情况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（六）预算绩效目标情况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七、名词解释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第二部分  2021年部门预算公开的表格情况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一、部门收支总体情况表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二、部门收入总体情况表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三、部门支出总体情况表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四、财政拨款收支总体情况表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五、一般公共预算支出情况表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六、一般公共预算基本支出情况表(纵向)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七、一般公共预算基本支出情况表(横向)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九、“三公”经费支出情况表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十、政府采购预算表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、单位项目支出绩效目标申报表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注：以上部门预算报表中，空表表示本部门无相关收支情况</w:t>
      </w:r>
    </w:p>
    <w:p>
      <w:pPr>
        <w:spacing w:line="560" w:lineRule="exact"/>
        <w:rPr>
          <w:rFonts w:ascii="黑体" w:eastAsia="黑体"/>
          <w:sz w:val="32"/>
          <w:szCs w:val="32"/>
        </w:rPr>
      </w:pPr>
    </w:p>
    <w:p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第一部分：</w:t>
      </w:r>
    </w:p>
    <w:p>
      <w:pPr>
        <w:spacing w:line="56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2021年部门预算说明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一、部门基本情况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（一）职能职责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强非公有制经济人士的思想政治工作；参加政治协商，发挥民主监督作用，积极参政议政；推动经贸交流和协作，促进经济社会发展；加强行业商会建设，服务非公有制企业发展；参与协调劳动关系，促进社会和谐稳定；反映非公有制企业和非公有制经济人士利益诉求，维护其合法权益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（二）机构设置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赫山区工商业联合会为机关行政单位，本单位执行行政单位财务会计制度，内设办公室、宣教股、非公企业服务中心。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二、部门预算单位构成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赫山区工商业联合会只有本级，没有其他二级预算单位，因此，纳入2021年部门预算编制范围的只有赫山区工商业联合会本级。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三、部门收支总体情况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2021年部门预算只包括本级预算，收入为一般公共预算收入，支出为保障机关基本运行的经费和专项经费。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收入预算：2021年年初预算数118.58万元，其中，一般公共预算拨款112.64万元，政府性基金预算拨款0万元，国有资本经营预算拨款0万元，纳入专户管理的非税收入0万元。其他收入4.33万元，上年结转1.6万元，收入较去年增加9.85万元，增长9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％，主要是人员工资增加，原工商业者补贴纳入预算。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（二）支出预算：2021年年初预算数118.58万元，其中，一般公共服务94.1万元，社会保障和就业支出13.01万元，卫生健康支出公共安全5.21万元，住房保障支出6.26万元。支出较去年增加9.85万元，增加9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％，主要是人员工资增加，原工商业者补贴纳入预算。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四、一般公共预算拨款支出预算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2021年一般公共预算拨款收入112.64万元，具体安排情况如下：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基本支出：2021年年初预算数为85.20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（二）项目支出：2021年年初预算数为27.44万元，是指单位为完成特定行政工作任务或事业发展目标而发生的支出，包括有关事业发展专项、专项业务费、基本建设支出、对市县专项补助等。其中：执委会支出5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万元，主要用于一年一度的执常委会议会务开支等方面；会员活动经费6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万元，主要用于组织工商业联合会会员开展各项活动、培训等的补助开支；赫山区非公企业服务中心经费8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万元，主要用于非公企业服务中心成立及运行开支；原工商业者生活困难补助经费6.44万元，主要用于发放登记备案的原工商业者及遗孀补助；党建经费2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万元，主要用于党组织开展活动。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五、政府性基金预算支出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2021年本单位无政府性基金预算支出。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六、其他重要事项的情况说明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（一）机关运行经费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2021年本级行政事业单位的机关运行经费当年一般公共预算拨款10.84万元，比2020年预算增加0.06万元，上升0.56%，与去年基本持平。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（二）“三公”经费预算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2021年“三公”经费预算数为2.3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万元，其中，公务接待费2.3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万元，公务用车购置及运行费0万元（其中，公务用车购置费0万元，公务用车运行费0万元），因公出国（境）费0万元。2021年“三公”经费预算与2020年持平。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一般预算拨款安排数为1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万元，其中接待费1万元，2021年一般预算拨款安排数与2020年持平。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（三）一般性支出情况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2021年会议费</w:t>
      </w:r>
      <w:r>
        <w:rPr>
          <w:rFonts w:ascii="仿宋_GB2312" w:eastAsia="仿宋_GB2312"/>
          <w:sz w:val="32"/>
          <w:szCs w:val="32"/>
        </w:rPr>
        <w:t>预算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万元，主要用于会议支出</w:t>
      </w:r>
      <w:r>
        <w:rPr>
          <w:rFonts w:ascii="仿宋_GB2312" w:eastAsia="仿宋_GB2312"/>
          <w:sz w:val="32"/>
          <w:szCs w:val="32"/>
        </w:rPr>
        <w:t>；无培训费预算</w:t>
      </w:r>
      <w:r>
        <w:rPr>
          <w:rFonts w:ascii="仿宋_GB2312" w:eastAsia="仿宋_GB2312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（四）政府采购情况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2021年赫山区工商业联合会政府采购预算总额0万元。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（五）国有资产占用使用情况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截至2020年12月31日，本部门共有车辆0辆，单位价值50万元以上通用设备0台 ，单位价值100万元以上专用设备0台。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2021年部门预算预计采购车辆0辆，50万元以上通用设备0台 ，单位价值100万元以上专用设备0台。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（六）预算绩效目标情况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2021年，本部门按照有关政策文件开展预算绩效管理工作，加强绩效目标管理。在编制2021年部门预算时，本部门将所有预算资金纳入绩效目标管理，实现了绩效目标与部门预算同步编制、同步申报。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2021年赫山区工商业联合会整体支出绩效目标118.58万元，其中：基本支出91.14万元，项目支出27.44万元。全部实行整体支出绩效目标管理，涉及一般公共预算当年拨款112.64万元。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2021年部门无重点项目预算。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七、名词解释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>
      <w:pPr>
        <w:spacing w:line="5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第二部分：</w:t>
      </w:r>
    </w:p>
    <w:p>
      <w:pPr>
        <w:spacing w:line="54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2021年部门预算表格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一、部门收支总体情况表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二、部门收入总体情况表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三、部门支出总体情况表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四、财政拨款收支总体情况表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五、一般公共预算支出情况表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六、一般公共预算基本支出情况表(纵向)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七、一般公共预算基本支出情况表(横向)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九、“三公”经费支出情况表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十、政府采购预算表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、单位项目支出绩效目标申报表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益阳市赫山区工商业联合会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2021年1月21日</w:t>
      </w:r>
    </w:p>
    <w:sectPr>
      <w:footerReference w:type="default" r:id="rId2"/>
      <w:pgSz w:w="11906" w:h="16838"/>
      <w:pgMar w:top="2098" w:right="1474" w:bottom="1985" w:left="1588" w:header="851" w:footer="1701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983559712"/>
    </w:sdtPr>
    <w:sdtContent>
      <w:p>
        <w:pPr>
          <w:pStyle w:val="16"/>
          <w:tabs>
            <w:tab w:val="center" w:pos="4153"/>
            <w:tab w:val="right" w:pos="8306"/>
          </w:tabs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140</TotalTime>
  <Application>Yozo_Office27021597764231180</Application>
  <Pages>8</Pages>
  <Words>0</Words>
  <Characters>2193</Characters>
  <Lines>0</Lines>
  <Paragraphs>102</Paragraphs>
  <CharactersWithSpaces>2925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24</cp:revision>
  <cp:lastPrinted>2019-12-31T07:37:00Z</cp:lastPrinted>
  <dcterms:created xsi:type="dcterms:W3CDTF">2021-01-21T01:57:00Z</dcterms:created>
  <dcterms:modified xsi:type="dcterms:W3CDTF">2022-05-29T06:21:02Z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ECF3E0268FE04D169B71674D01074017</vt:lpwstr>
  </property>
</Properties>
</file>