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B7" w:rsidRDefault="00E229B7" w:rsidP="00E229B7">
      <w:pPr>
        <w:widowControl w:val="0"/>
        <w:spacing w:line="560" w:lineRule="exact"/>
        <w:rPr>
          <w:rFonts w:ascii="仿宋_GB2312" w:eastAsia="仿宋_GB2312"/>
          <w:sz w:val="32"/>
          <w:szCs w:val="32"/>
          <w:highlight w:val="white"/>
        </w:rPr>
      </w:pPr>
    </w:p>
    <w:p w:rsidR="00C76734" w:rsidRPr="00E229B7" w:rsidRDefault="00316AB5" w:rsidP="00E229B7">
      <w:pPr>
        <w:widowControl w:val="0"/>
        <w:spacing w:line="560" w:lineRule="exact"/>
        <w:jc w:val="center"/>
        <w:rPr>
          <w:rFonts w:ascii="方正小标宋简体" w:eastAsia="方正小标宋简体"/>
          <w:sz w:val="42"/>
          <w:szCs w:val="42"/>
          <w:highlight w:val="white"/>
        </w:rPr>
      </w:pPr>
      <w:r w:rsidRPr="00E229B7">
        <w:rPr>
          <w:rFonts w:ascii="方正小标宋简体" w:eastAsia="方正小标宋简体" w:hint="eastAsia"/>
          <w:sz w:val="42"/>
          <w:szCs w:val="42"/>
          <w:highlight w:val="white"/>
        </w:rPr>
        <w:t>2020年度益阳市赫山区林业局部门决算</w:t>
      </w:r>
    </w:p>
    <w:p w:rsidR="00C76734" w:rsidRPr="00E229B7" w:rsidRDefault="00C76734" w:rsidP="00E229B7">
      <w:pPr>
        <w:widowControl w:val="0"/>
        <w:spacing w:line="560" w:lineRule="exact"/>
        <w:ind w:firstLineChars="200" w:firstLine="640"/>
        <w:rPr>
          <w:rFonts w:ascii="仿宋_GB2312" w:eastAsia="仿宋_GB2312"/>
          <w:sz w:val="32"/>
          <w:szCs w:val="32"/>
          <w:highlight w:val="white"/>
        </w:rPr>
      </w:pPr>
    </w:p>
    <w:p w:rsidR="00C76734" w:rsidRPr="00E229B7" w:rsidRDefault="00316AB5" w:rsidP="00E229B7">
      <w:pPr>
        <w:widowControl w:val="0"/>
        <w:spacing w:line="560" w:lineRule="exact"/>
        <w:jc w:val="center"/>
        <w:rPr>
          <w:rFonts w:ascii="黑体" w:eastAsia="黑体" w:hAnsi="黑体"/>
          <w:sz w:val="32"/>
          <w:szCs w:val="32"/>
          <w:highlight w:val="white"/>
        </w:rPr>
      </w:pPr>
      <w:r w:rsidRPr="00E229B7">
        <w:rPr>
          <w:rFonts w:ascii="黑体" w:eastAsia="黑体" w:hAnsi="黑体" w:hint="eastAsia"/>
          <w:sz w:val="32"/>
          <w:szCs w:val="32"/>
          <w:highlight w:val="white"/>
        </w:rPr>
        <w:t>目 录</w:t>
      </w:r>
    </w:p>
    <w:p w:rsidR="00C76734" w:rsidRPr="00E229B7" w:rsidRDefault="00316AB5" w:rsidP="00E229B7">
      <w:pPr>
        <w:widowControl w:val="0"/>
        <w:spacing w:line="560" w:lineRule="exact"/>
        <w:ind w:firstLineChars="200" w:firstLine="640"/>
        <w:rPr>
          <w:rFonts w:ascii="黑体" w:eastAsia="黑体" w:hAnsi="黑体"/>
          <w:sz w:val="32"/>
          <w:szCs w:val="32"/>
        </w:rPr>
      </w:pPr>
      <w:r w:rsidRPr="00E229B7">
        <w:rPr>
          <w:rFonts w:ascii="黑体" w:eastAsia="黑体" w:hAnsi="黑体" w:hint="eastAsia"/>
          <w:sz w:val="32"/>
          <w:szCs w:val="32"/>
        </w:rPr>
        <w:t>第一部分</w:t>
      </w:r>
      <w:r w:rsidR="00E229B7">
        <w:rPr>
          <w:rFonts w:ascii="黑体" w:eastAsia="黑体" w:hAnsi="黑体"/>
          <w:sz w:val="32"/>
          <w:szCs w:val="32"/>
        </w:rPr>
        <w:t xml:space="preserve">  </w:t>
      </w:r>
      <w:r w:rsidRPr="00E229B7">
        <w:rPr>
          <w:rFonts w:ascii="黑体" w:eastAsia="黑体" w:hAnsi="黑体" w:hint="eastAsia"/>
          <w:sz w:val="32"/>
          <w:szCs w:val="32"/>
        </w:rPr>
        <w:t>益阳市赫山区林业局概况</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一、部门职责</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二、机构设置</w:t>
      </w:r>
    </w:p>
    <w:p w:rsidR="00C76734" w:rsidRPr="00E229B7" w:rsidRDefault="00316AB5" w:rsidP="00E229B7">
      <w:pPr>
        <w:widowControl w:val="0"/>
        <w:spacing w:line="560" w:lineRule="exact"/>
        <w:ind w:firstLineChars="200" w:firstLine="640"/>
        <w:rPr>
          <w:rFonts w:ascii="黑体" w:eastAsia="黑体" w:hAnsi="黑体"/>
          <w:sz w:val="32"/>
          <w:szCs w:val="32"/>
        </w:rPr>
      </w:pPr>
      <w:r w:rsidRPr="00E229B7">
        <w:rPr>
          <w:rFonts w:ascii="黑体" w:eastAsia="黑体" w:hAnsi="黑体" w:hint="eastAsia"/>
          <w:sz w:val="32"/>
          <w:szCs w:val="32"/>
        </w:rPr>
        <w:t>第二部分</w:t>
      </w:r>
      <w:r w:rsidR="00E229B7">
        <w:rPr>
          <w:rFonts w:ascii="黑体" w:eastAsia="黑体" w:hAnsi="黑体" w:hint="eastAsia"/>
          <w:sz w:val="32"/>
          <w:szCs w:val="32"/>
        </w:rPr>
        <w:t xml:space="preserve">  </w:t>
      </w:r>
      <w:r w:rsidRPr="00E229B7">
        <w:rPr>
          <w:rFonts w:ascii="黑体" w:eastAsia="黑体" w:hAnsi="黑体" w:hint="eastAsia"/>
          <w:sz w:val="32"/>
          <w:szCs w:val="32"/>
        </w:rPr>
        <w:t>2020年度部门决算表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一、收入支出决算总表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二、收入决算表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三、支出决算表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四、财政拨款收入支出决算总表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五、一般公共预算财政拨款支出决算表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六、一般公共预算财政拨款基本支出决算表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七、一般公共预算财政拨款“三公”经费支出决算表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八、政府性基金预算财政拨款收入支出决算表</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九、国有资本经营预算财政拨款收入支出决算表</w:t>
      </w:r>
    </w:p>
    <w:p w:rsidR="00C76734" w:rsidRPr="00E229B7" w:rsidRDefault="00316AB5" w:rsidP="00E229B7">
      <w:pPr>
        <w:widowControl w:val="0"/>
        <w:spacing w:line="560" w:lineRule="exact"/>
        <w:ind w:firstLineChars="200" w:firstLine="640"/>
        <w:rPr>
          <w:rFonts w:ascii="黑体" w:eastAsia="黑体" w:hAnsi="黑体"/>
          <w:sz w:val="32"/>
          <w:szCs w:val="32"/>
        </w:rPr>
      </w:pPr>
      <w:r w:rsidRPr="00E229B7">
        <w:rPr>
          <w:rFonts w:ascii="黑体" w:eastAsia="黑体" w:hAnsi="黑体" w:hint="eastAsia"/>
          <w:sz w:val="32"/>
          <w:szCs w:val="32"/>
        </w:rPr>
        <w:t>第三部分</w:t>
      </w:r>
      <w:r w:rsidR="00E229B7">
        <w:rPr>
          <w:rFonts w:ascii="黑体" w:eastAsia="黑体" w:hAnsi="黑体" w:hint="eastAsia"/>
          <w:sz w:val="32"/>
          <w:szCs w:val="32"/>
        </w:rPr>
        <w:t xml:space="preserve">  </w:t>
      </w:r>
      <w:r w:rsidRPr="00E229B7">
        <w:rPr>
          <w:rFonts w:ascii="黑体" w:eastAsia="黑体" w:hAnsi="黑体" w:hint="eastAsia"/>
          <w:sz w:val="32"/>
          <w:szCs w:val="32"/>
        </w:rPr>
        <w:t>2020年度部门决算情况说明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一、收入支出决算总体情况说明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二、收入决算情况说明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lastRenderedPageBreak/>
        <w:t>三、支出决算情况说明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四、财政拨款收入支出决算总体情况说明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五、一般公共预算财政拨款支出决算情况说明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六、一般公共预算财政拨款基本支出决算情况说明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七、一般公共预算财政拨款三公经费支出决算情况说明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八、政府性基金预算收入支出决算情况</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九、国有资本经营预算财政拨款支出决算情况</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十、关于机关运行经费支出说明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十一、一般性支出情况</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十二、关于政府采购支出说明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十三、关于国有资产占用情况说明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十四、关于2020年度预算绩效情况的说明</w:t>
      </w:r>
    </w:p>
    <w:p w:rsidR="00C76734" w:rsidRPr="00E229B7" w:rsidRDefault="00316AB5" w:rsidP="00E229B7">
      <w:pPr>
        <w:widowControl w:val="0"/>
        <w:spacing w:line="560" w:lineRule="exact"/>
        <w:ind w:firstLineChars="200" w:firstLine="640"/>
        <w:rPr>
          <w:rFonts w:ascii="黑体" w:eastAsia="黑体" w:hAnsi="黑体"/>
          <w:sz w:val="32"/>
          <w:szCs w:val="32"/>
        </w:rPr>
      </w:pPr>
      <w:r w:rsidRPr="00E229B7">
        <w:rPr>
          <w:rFonts w:ascii="黑体" w:eastAsia="黑体" w:hAnsi="黑体" w:hint="eastAsia"/>
          <w:sz w:val="32"/>
          <w:szCs w:val="32"/>
        </w:rPr>
        <w:t>第四部分</w:t>
      </w:r>
      <w:r w:rsidR="00E229B7">
        <w:rPr>
          <w:rFonts w:ascii="黑体" w:eastAsia="黑体" w:hAnsi="黑体" w:hint="eastAsia"/>
          <w:sz w:val="32"/>
          <w:szCs w:val="32"/>
        </w:rPr>
        <w:t xml:space="preserve">  </w:t>
      </w:r>
      <w:r w:rsidRPr="00E229B7">
        <w:rPr>
          <w:rFonts w:ascii="黑体" w:eastAsia="黑体" w:hAnsi="黑体" w:hint="eastAsia"/>
          <w:sz w:val="32"/>
          <w:szCs w:val="32"/>
        </w:rPr>
        <w:t>名词解释</w:t>
      </w:r>
    </w:p>
    <w:p w:rsidR="00C76734" w:rsidRPr="00E229B7" w:rsidRDefault="00316AB5" w:rsidP="00E229B7">
      <w:pPr>
        <w:widowControl w:val="0"/>
        <w:spacing w:line="560" w:lineRule="exact"/>
        <w:ind w:firstLineChars="200" w:firstLine="640"/>
        <w:rPr>
          <w:rFonts w:ascii="黑体" w:eastAsia="黑体" w:hAnsi="黑体"/>
          <w:sz w:val="32"/>
          <w:szCs w:val="32"/>
        </w:rPr>
      </w:pPr>
      <w:r w:rsidRPr="00E229B7">
        <w:rPr>
          <w:rFonts w:ascii="黑体" w:eastAsia="黑体" w:hAnsi="黑体" w:hint="eastAsia"/>
          <w:sz w:val="32"/>
          <w:szCs w:val="32"/>
        </w:rPr>
        <w:t>第五部分</w:t>
      </w:r>
      <w:r w:rsidR="00E229B7">
        <w:rPr>
          <w:rFonts w:ascii="黑体" w:eastAsia="黑体" w:hAnsi="黑体" w:hint="eastAsia"/>
          <w:sz w:val="32"/>
          <w:szCs w:val="32"/>
        </w:rPr>
        <w:t xml:space="preserve">  </w:t>
      </w:r>
      <w:r w:rsidRPr="00E229B7">
        <w:rPr>
          <w:rFonts w:ascii="黑体" w:eastAsia="黑体" w:hAnsi="黑体" w:hint="eastAsia"/>
          <w:sz w:val="32"/>
          <w:szCs w:val="32"/>
        </w:rPr>
        <w:t>附件</w:t>
      </w:r>
    </w:p>
    <w:p w:rsidR="00E229B7" w:rsidRDefault="00E229B7">
      <w:pPr>
        <w:jc w:val="left"/>
        <w:rPr>
          <w:rFonts w:ascii="仿宋_GB2312" w:eastAsia="仿宋_GB2312"/>
          <w:sz w:val="32"/>
          <w:szCs w:val="32"/>
          <w:highlight w:val="white"/>
        </w:rPr>
      </w:pPr>
      <w:r>
        <w:rPr>
          <w:rFonts w:ascii="仿宋_GB2312" w:eastAsia="仿宋_GB2312"/>
          <w:sz w:val="32"/>
          <w:szCs w:val="32"/>
          <w:highlight w:val="white"/>
        </w:rPr>
        <w:br w:type="page"/>
      </w:r>
    </w:p>
    <w:p w:rsidR="00E229B7" w:rsidRPr="00E31F3C" w:rsidRDefault="00316AB5" w:rsidP="00E229B7">
      <w:pPr>
        <w:widowControl w:val="0"/>
        <w:spacing w:line="560" w:lineRule="exact"/>
        <w:rPr>
          <w:rFonts w:ascii="黑体" w:eastAsia="黑体" w:hAnsi="黑体"/>
          <w:sz w:val="32"/>
          <w:szCs w:val="32"/>
          <w:highlight w:val="white"/>
        </w:rPr>
      </w:pPr>
      <w:r w:rsidRPr="00E31F3C">
        <w:rPr>
          <w:rFonts w:ascii="黑体" w:eastAsia="黑体" w:hAnsi="黑体" w:hint="eastAsia"/>
          <w:sz w:val="32"/>
          <w:szCs w:val="32"/>
          <w:highlight w:val="white"/>
        </w:rPr>
        <w:lastRenderedPageBreak/>
        <w:t>第一部分</w:t>
      </w:r>
      <w:r w:rsidR="00E229B7" w:rsidRPr="00E31F3C">
        <w:rPr>
          <w:rFonts w:ascii="黑体" w:eastAsia="黑体" w:hAnsi="黑体" w:hint="eastAsia"/>
          <w:sz w:val="32"/>
          <w:szCs w:val="32"/>
          <w:highlight w:val="white"/>
        </w:rPr>
        <w:t>：</w:t>
      </w:r>
    </w:p>
    <w:p w:rsidR="00C76734" w:rsidRPr="00E31F3C" w:rsidRDefault="00316AB5" w:rsidP="00E31F3C">
      <w:pPr>
        <w:widowControl w:val="0"/>
        <w:spacing w:line="560" w:lineRule="exact"/>
        <w:jc w:val="center"/>
        <w:rPr>
          <w:rFonts w:ascii="方正小标宋简体" w:eastAsia="方正小标宋简体"/>
          <w:sz w:val="42"/>
          <w:szCs w:val="42"/>
          <w:highlight w:val="white"/>
        </w:rPr>
      </w:pPr>
      <w:r w:rsidRPr="00E31F3C">
        <w:rPr>
          <w:rFonts w:ascii="方正小标宋简体" w:eastAsia="方正小标宋简体" w:hint="eastAsia"/>
          <w:sz w:val="42"/>
          <w:szCs w:val="42"/>
          <w:highlight w:val="white"/>
        </w:rPr>
        <w:t>益阳市赫山区林业局概况</w:t>
      </w:r>
    </w:p>
    <w:p w:rsidR="00C76734" w:rsidRPr="00E229B7" w:rsidRDefault="00C76734" w:rsidP="00E229B7">
      <w:pPr>
        <w:widowControl w:val="0"/>
        <w:spacing w:line="560" w:lineRule="exact"/>
        <w:ind w:firstLineChars="200" w:firstLine="640"/>
        <w:rPr>
          <w:rFonts w:ascii="仿宋_GB2312" w:eastAsia="仿宋_GB2312"/>
          <w:sz w:val="32"/>
          <w:szCs w:val="32"/>
          <w:highlight w:val="white"/>
        </w:rPr>
      </w:pP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一、部门职责</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一）贯彻执行国家和上级政府关于林业发展和生态环境建设及森林保护的方针、政策、法律、法规；拟定全区林业生态建设发展战略、中长期规划并组织实施；承担国家现代林业示范建设、林业生态文明建设的有关工作。</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二）负责全区林业和草原生态保护修复和造林绿化工作，以植树种草等生物措施防治水土流失；组织、指导、监督全民义务植树、造林绿化工作，承担区绿化委员会的具体工作；组织指导各类生态公益林和商品林的培育工作，负责指导林木种苗、林木花卉发展与培育。</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三）组织编制、审核森林采伐限额并监督执行，监督木材凭证采伐和审核发放采伐许可证；负责征占用林地初审，主管森林资源有偿使用并监督林地开发利用；组织协调山林权属纠纷调处；负责林木种子生产、经营许可管理工作；负责本区陆生野生动植物的保护管理和珍稀、濒危物种进出口管理；拟定及调整本区保护的野生动植物名录，经批准后执行。</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（四）负责组织协调林业有害生物的防治、检疫和预测预报工</w:t>
      </w:r>
      <w:r w:rsidRPr="00E229B7">
        <w:rPr>
          <w:rFonts w:ascii="仿宋_GB2312" w:eastAsia="仿宋_GB2312" w:hint="eastAsia"/>
          <w:sz w:val="32"/>
          <w:szCs w:val="32"/>
        </w:rPr>
        <w:lastRenderedPageBreak/>
        <w:t>作；组织协调调处破坏森林资源和野生动植物资源的案件；协调林业产业与地方和部门之间的关系以及出现的问题。</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（五）负责落实综合防灾减灾规划相关要求，组织编制森林火灾防治规划和防护标准并指导实施，指导开展防火巡护、火源管理、防火设施建设等工作。</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六）指导和监督林业系统财务工作，负责国家林业资金的投放使用和监督本区林业资金的使用管理，负责绿化费、野生动植物资源保护费、植被恢复费的征缴和使用；负责提出林业固定资产投资规模和方向，区财政性资金安排建议；按规定的权限，审批、核准、申报区规划内和年度计划内重点林业建设项目。</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七）推进林业改革，维护农民经营林业的合法权益；落实农村林业发展、维护农民经营林业合法权益的政策措施，指导监督农村林地承包经营和林地流转，指导、协调林权纠纷调处和林地承包合同纠纷仲裁；指导集体林场、森林公园及基层林业工作机构的建设和管理。</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八）拟定全区林业生产发展政策，合理调整林业产业发展布局，促进林业产业协调发展。监督检查各产业对森林、湿地和陆生野生动植物资源的开发利用；拟定林业资源优化配置政策，按照国家和省、市、区有关规定，组织指导林产品质量监督，森林资源开发的有关工作;指导山区综合开发，负责油茶等经济树种的开发利</w:t>
      </w:r>
      <w:r w:rsidRPr="00E229B7">
        <w:rPr>
          <w:rFonts w:ascii="仿宋_GB2312" w:eastAsia="仿宋_GB2312" w:hint="eastAsia"/>
          <w:sz w:val="32"/>
          <w:szCs w:val="32"/>
        </w:rPr>
        <w:lastRenderedPageBreak/>
        <w:t>用工作。</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（九）配合区人民政府有关部门做好水土保持、农村能源发展、森林生态旅游资源的开发利用、丘岗山地综合开发等涉林方面的有关工作。</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十）指导监督管理各类自然地保护，拟订全区自然保护区、风景名胜区、世界自然遗产、世界自然与文化双重遗产、地质遗迹、矿业遗迹、地质公园等各类自然保护地的政策措施；负责各类自然保护地管理，提出新建、调整各类各级自然保护地的审核建议并按程序报批；承担世界自然遗产项目和世界自然与文化双重遗产项目的申报；负责生物多样性保护相关工作。</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（十一）负责指导全区林业队伍的建设。</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（十二）完成区委、区政府交办的其他任务。</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二、机构设置</w:t>
      </w:r>
    </w:p>
    <w:p w:rsidR="00C76734" w:rsidRPr="00E229B7" w:rsidRDefault="00A543DF" w:rsidP="00E229B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316AB5" w:rsidRPr="00E229B7">
        <w:rPr>
          <w:rFonts w:ascii="仿宋_GB2312" w:eastAsia="仿宋_GB2312" w:hint="eastAsia"/>
          <w:sz w:val="32"/>
          <w:szCs w:val="32"/>
          <w:highlight w:val="white"/>
        </w:rPr>
        <w:t>内设机构设置</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rPr>
        <w:t>益阳市赫山区林业局单位内设机构包括：办公室、造林绿化股（区退耕还林办公室）、森林资源管理股、自然保护地管理股（野生动植物保护股）、政策法规股（政务服务股）、规划财务股、产业发展与科技股、人事教育股。</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（二）决算单位构成</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益阳市赫山区林业局单位2020年部门决算汇总公开单位构成</w:t>
      </w:r>
      <w:r w:rsidRPr="00E229B7">
        <w:rPr>
          <w:rFonts w:ascii="仿宋_GB2312" w:eastAsia="仿宋_GB2312" w:hint="eastAsia"/>
          <w:sz w:val="32"/>
          <w:szCs w:val="32"/>
        </w:rPr>
        <w:lastRenderedPageBreak/>
        <w:t>包括：林业局部门本级。</w:t>
      </w:r>
    </w:p>
    <w:p w:rsidR="00C76734" w:rsidRPr="00E229B7" w:rsidRDefault="00C76734" w:rsidP="00E229B7">
      <w:pPr>
        <w:widowControl w:val="0"/>
        <w:spacing w:line="560" w:lineRule="exact"/>
        <w:ind w:firstLineChars="200" w:firstLine="640"/>
        <w:rPr>
          <w:rFonts w:ascii="仿宋_GB2312" w:eastAsia="仿宋_GB2312"/>
          <w:sz w:val="32"/>
          <w:szCs w:val="32"/>
        </w:rPr>
      </w:pPr>
    </w:p>
    <w:p w:rsidR="00A543DF" w:rsidRPr="00A543DF" w:rsidRDefault="00A543DF" w:rsidP="00A543DF">
      <w:pPr>
        <w:widowControl w:val="0"/>
        <w:spacing w:line="560" w:lineRule="exact"/>
        <w:rPr>
          <w:rFonts w:ascii="黑体" w:eastAsia="黑体" w:hAnsi="黑体"/>
          <w:sz w:val="32"/>
          <w:szCs w:val="32"/>
          <w:highlight w:val="white"/>
        </w:rPr>
      </w:pPr>
      <w:r w:rsidRPr="00A543DF">
        <w:rPr>
          <w:rFonts w:ascii="黑体" w:eastAsia="黑体" w:hAnsi="黑体" w:hint="eastAsia"/>
          <w:sz w:val="32"/>
          <w:szCs w:val="32"/>
          <w:highlight w:val="white"/>
        </w:rPr>
        <w:t>第</w:t>
      </w:r>
      <w:r w:rsidRPr="00A543DF">
        <w:rPr>
          <w:rFonts w:ascii="黑体" w:eastAsia="黑体" w:hAnsi="黑体"/>
          <w:sz w:val="32"/>
          <w:szCs w:val="32"/>
          <w:highlight w:val="white"/>
        </w:rPr>
        <w:t>二部分：</w:t>
      </w:r>
    </w:p>
    <w:p w:rsidR="00C76734" w:rsidRPr="00A543DF" w:rsidRDefault="00316AB5" w:rsidP="00A543DF">
      <w:pPr>
        <w:widowControl w:val="0"/>
        <w:spacing w:line="560" w:lineRule="exact"/>
        <w:jc w:val="center"/>
        <w:rPr>
          <w:rFonts w:ascii="方正小标宋简体" w:eastAsia="方正小标宋简体"/>
          <w:sz w:val="38"/>
          <w:szCs w:val="38"/>
          <w:highlight w:val="white"/>
        </w:rPr>
      </w:pPr>
      <w:r w:rsidRPr="00A543DF">
        <w:rPr>
          <w:rFonts w:ascii="方正小标宋简体" w:eastAsia="方正小标宋简体" w:hint="eastAsia"/>
          <w:sz w:val="38"/>
          <w:szCs w:val="38"/>
          <w:highlight w:val="white"/>
        </w:rPr>
        <w:t>益阳市赫山区林业局2020年度部门决算表（见附表）</w:t>
      </w:r>
    </w:p>
    <w:p w:rsidR="00C76734" w:rsidRPr="00E229B7" w:rsidRDefault="00C76734" w:rsidP="00E229B7">
      <w:pPr>
        <w:widowControl w:val="0"/>
        <w:spacing w:line="560" w:lineRule="exact"/>
        <w:ind w:firstLineChars="200" w:firstLine="640"/>
        <w:rPr>
          <w:rFonts w:ascii="仿宋_GB2312" w:eastAsia="仿宋_GB2312"/>
          <w:sz w:val="32"/>
          <w:szCs w:val="32"/>
          <w:highlight w:val="white"/>
        </w:rPr>
      </w:pPr>
    </w:p>
    <w:p w:rsidR="00A543DF" w:rsidRPr="00A543DF" w:rsidRDefault="00316AB5" w:rsidP="00A543DF">
      <w:pPr>
        <w:widowControl w:val="0"/>
        <w:spacing w:line="560" w:lineRule="exact"/>
        <w:rPr>
          <w:rFonts w:ascii="黑体" w:eastAsia="黑体" w:hAnsi="黑体"/>
          <w:sz w:val="32"/>
          <w:szCs w:val="32"/>
          <w:highlight w:val="white"/>
        </w:rPr>
      </w:pPr>
      <w:r w:rsidRPr="00A543DF">
        <w:rPr>
          <w:rFonts w:ascii="黑体" w:eastAsia="黑体" w:hAnsi="黑体" w:hint="eastAsia"/>
          <w:sz w:val="32"/>
          <w:szCs w:val="32"/>
          <w:highlight w:val="white"/>
        </w:rPr>
        <w:t>第三部分</w:t>
      </w:r>
      <w:r w:rsidR="00A543DF" w:rsidRPr="00A543DF">
        <w:rPr>
          <w:rFonts w:ascii="黑体" w:eastAsia="黑体" w:hAnsi="黑体" w:hint="eastAsia"/>
          <w:sz w:val="32"/>
          <w:szCs w:val="32"/>
          <w:highlight w:val="white"/>
        </w:rPr>
        <w:t>：</w:t>
      </w:r>
    </w:p>
    <w:p w:rsidR="00C76734" w:rsidRPr="00A543DF" w:rsidRDefault="00316AB5" w:rsidP="00A543DF">
      <w:pPr>
        <w:widowControl w:val="0"/>
        <w:spacing w:line="560" w:lineRule="exact"/>
        <w:jc w:val="center"/>
        <w:rPr>
          <w:rFonts w:ascii="方正小标宋简体" w:eastAsia="方正小标宋简体"/>
          <w:sz w:val="42"/>
          <w:szCs w:val="42"/>
          <w:highlight w:val="white"/>
        </w:rPr>
      </w:pPr>
      <w:r w:rsidRPr="00A543DF">
        <w:rPr>
          <w:rFonts w:ascii="方正小标宋简体" w:eastAsia="方正小标宋简体" w:hint="eastAsia"/>
          <w:sz w:val="42"/>
          <w:szCs w:val="42"/>
          <w:highlight w:val="white"/>
        </w:rPr>
        <w:t>益阳市赫山区林业局2020年度部门决算情况说明</w:t>
      </w:r>
    </w:p>
    <w:p w:rsidR="00A543DF" w:rsidRDefault="00A543DF" w:rsidP="00E229B7">
      <w:pPr>
        <w:widowControl w:val="0"/>
        <w:spacing w:line="560" w:lineRule="exact"/>
        <w:ind w:firstLineChars="200" w:firstLine="640"/>
        <w:rPr>
          <w:rFonts w:ascii="黑体" w:eastAsia="黑体" w:hAnsi="黑体"/>
          <w:sz w:val="32"/>
          <w:szCs w:val="32"/>
          <w:highlight w:val="white"/>
        </w:rPr>
      </w:pP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一、收入支出决算总体情况说明</w:t>
      </w:r>
    </w:p>
    <w:p w:rsidR="002772A9" w:rsidRDefault="00316AB5" w:rsidP="00E229B7">
      <w:pPr>
        <w:widowControl w:val="0"/>
        <w:spacing w:line="560" w:lineRule="exact"/>
        <w:ind w:firstLineChars="200" w:firstLine="640"/>
        <w:rPr>
          <w:rFonts w:ascii="仿宋_GB2312" w:eastAsia="仿宋_GB2312" w:hint="eastAsia"/>
          <w:sz w:val="32"/>
          <w:szCs w:val="32"/>
        </w:rPr>
      </w:pPr>
      <w:r w:rsidRPr="00E229B7">
        <w:rPr>
          <w:rFonts w:ascii="仿宋_GB2312" w:eastAsia="仿宋_GB2312" w:hint="eastAsia"/>
          <w:sz w:val="32"/>
          <w:szCs w:val="32"/>
        </w:rPr>
        <w:t>2020年度收入3679.08万元，年初结转和结余847.37万元，收入总计4526.45万元，与2019年度收入相比，收入增加755.79万元，增长25.85%，主要原因是：因新冠肺炎疫情防控增加禁食陆生野生动物退出补偿资金800.89万元。</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本年支出3722.04万元，年末结转和结余804.40万元，支出总计4526.45万元，较2019年支出增加了550.07万元，增长17.34%，主要原因是项目支出增加。</w:t>
      </w:r>
    </w:p>
    <w:p w:rsidR="00C76734" w:rsidRPr="00E31F3C" w:rsidRDefault="00A543DF" w:rsidP="00E229B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二</w:t>
      </w:r>
      <w:r>
        <w:rPr>
          <w:rFonts w:ascii="黑体" w:eastAsia="黑体" w:hAnsi="黑体"/>
          <w:sz w:val="32"/>
          <w:szCs w:val="32"/>
          <w:highlight w:val="white"/>
        </w:rPr>
        <w:t>、</w:t>
      </w:r>
      <w:r w:rsidR="00316AB5" w:rsidRPr="00E31F3C">
        <w:rPr>
          <w:rFonts w:ascii="黑体" w:eastAsia="黑体" w:hAnsi="黑体" w:hint="eastAsia"/>
          <w:sz w:val="32"/>
          <w:szCs w:val="32"/>
          <w:highlight w:val="white"/>
        </w:rPr>
        <w:t>收入决算情况说明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本年收入合计4526.45万元，其中：一般公共预算财政拨款收入3679.08万元，占81.28%，年初结转和结余847.37万元，占18.72%。</w:t>
      </w:r>
    </w:p>
    <w:p w:rsidR="00C76734" w:rsidRPr="00E31F3C" w:rsidRDefault="00A543DF" w:rsidP="00E229B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lastRenderedPageBreak/>
        <w:t>三</w:t>
      </w:r>
      <w:r>
        <w:rPr>
          <w:rFonts w:ascii="黑体" w:eastAsia="黑体" w:hAnsi="黑体"/>
          <w:sz w:val="32"/>
          <w:szCs w:val="32"/>
          <w:highlight w:val="white"/>
        </w:rPr>
        <w:t>、</w:t>
      </w:r>
      <w:r w:rsidR="00316AB5" w:rsidRPr="00E31F3C">
        <w:rPr>
          <w:rFonts w:ascii="黑体" w:eastAsia="黑体" w:hAnsi="黑体" w:hint="eastAsia"/>
          <w:sz w:val="32"/>
          <w:szCs w:val="32"/>
          <w:highlight w:val="white"/>
        </w:rPr>
        <w:t>支出决算情况说明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本年支出3,722.04万元，其中：基本支出1,078.25万元，占28.97%；项目支出2643.79万元，占71.03%，年末结转和结余804.40万元，支出总计4526.45万元。</w:t>
      </w:r>
    </w:p>
    <w:p w:rsidR="00C76734" w:rsidRPr="00E31F3C" w:rsidRDefault="00A543DF" w:rsidP="00E229B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四、</w:t>
      </w:r>
      <w:r w:rsidR="00316AB5" w:rsidRPr="00E31F3C">
        <w:rPr>
          <w:rFonts w:ascii="黑体" w:eastAsia="黑体" w:hAnsi="黑体" w:hint="eastAsia"/>
          <w:sz w:val="32"/>
          <w:szCs w:val="32"/>
          <w:highlight w:val="white"/>
        </w:rPr>
        <w:t xml:space="preserve">财政拨款收入支出决算总体情况说明 </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2020年度财政拨款收入总计3679.08万元，较2019年增加755.79万元，增长25.85%，主要原因是：因新冠肺炎疫情防控增加禁食陆生野生动物退出补偿资金800.89万元。本年财政拨款支出总计3722.04万元，较2019年增加550.07万元，增长17.34%。主要原因是：项目支出增加，基本支出减少。</w:t>
      </w:r>
    </w:p>
    <w:p w:rsidR="00C76734" w:rsidRPr="00E31F3C" w:rsidRDefault="00A543DF" w:rsidP="00E229B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五</w:t>
      </w:r>
      <w:r>
        <w:rPr>
          <w:rFonts w:ascii="黑体" w:eastAsia="黑体" w:hAnsi="黑体"/>
          <w:sz w:val="32"/>
          <w:szCs w:val="32"/>
          <w:highlight w:val="white"/>
        </w:rPr>
        <w:t>、</w:t>
      </w:r>
      <w:r w:rsidR="00316AB5" w:rsidRPr="00E31F3C">
        <w:rPr>
          <w:rFonts w:ascii="黑体" w:eastAsia="黑体" w:hAnsi="黑体" w:hint="eastAsia"/>
          <w:sz w:val="32"/>
          <w:szCs w:val="32"/>
          <w:highlight w:val="white"/>
        </w:rPr>
        <w:t>一般公共预算财政拨款支出决算情况说明</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（一）财政拨款支出决算总体情况</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2020年度财政拨款支出3722.04万元，占本年支出合计的100%。与2019年度相比，财政拨款支出增加550.07万元，增长17.34%,主要原因是：因新冠疫情防控工作增加禁食陆生野生动物退出补偿资金800.89万元；因乡镇林业站转隶，林业局人员减少，人员经费下降。</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（二）财政拨款支出决算结构情况</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2020年度财政拨款支出3722.04万元，主要用于以下方面：科学技术（类）支出1.2万元，占0.03%；社会保障和就业（类）</w:t>
      </w:r>
      <w:r w:rsidRPr="00E229B7">
        <w:rPr>
          <w:rFonts w:ascii="仿宋_GB2312" w:eastAsia="仿宋_GB2312" w:hint="eastAsia"/>
          <w:sz w:val="32"/>
          <w:szCs w:val="32"/>
        </w:rPr>
        <w:lastRenderedPageBreak/>
        <w:t>支出76.92万元，占2.07%；卫生健康（类）支出62.21万元，占1.67%；节能环保（类）支出280.52万元，占7.54%；农林水（类）支出3234.35万元，占86.9%；住房保障（类）支出56.84万元，占1.53%；灾害防治及应急管理（类）支出10万元，占0.27%。</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（三）财政拨款支出决算具体情况</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2020年度财政拨款支出年初预算为1108.78万元，支出决算为3,722.04万元，完成年初预算的297.9%。决算数大于预算数的原因是：调整预算增加了2613.26万元。</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六、一般公共预算财政拨款基本支出决算情况说明</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rPr>
        <w:t>2020年度财政拨款基本支出1,078.25万元，其中:人员经费858.12万元，占基本支出的79.58%，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177.11万元，占基本支出的16.43%，主要包括办公费、印刷费、咨询费、手续费、水费、电费、邮电费、取暖费、物业管理费、差旅费、因公出国（境）费用、维修（护）费、租赁费、会议费、培训费、公务接待费、专用材料费、劳务费、委托业务费、工会经费、福利费、公务用车运行维护费、其他交通</w:t>
      </w:r>
      <w:r w:rsidRPr="00E229B7">
        <w:rPr>
          <w:rFonts w:ascii="仿宋_GB2312" w:eastAsia="仿宋_GB2312" w:hint="eastAsia"/>
          <w:sz w:val="32"/>
          <w:szCs w:val="32"/>
        </w:rPr>
        <w:lastRenderedPageBreak/>
        <w:t>费用、税金及附加费用、其他商品和服务支出、办公设备购置、专用设备购置、信息网络及软件购置更新、公务用车购置、其他交通工具购置、文物和陈列品购置、无形资产购置、其他资本性支出、赠与。</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七、一般公共预算财政拨款“三公”经费支出决算情况说明</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（一）“三公”经费财政拨款支出决算总体情况说明</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2020年度“三公”经费财政拨款支出预算为30万元，支出决算为1.8万元,完成预算的6%，其中：</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其中：无因公出国（境）费支出预算与决算。</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公务用车购置费及运行维护费支出预算为10万元，支出决算为1.28万元,完成预算的12.8%。减少的主要原因是是认真贯彻落实中央“八项规定”精神和厉行节约要求，从严控制“三公”经费开支，全年实际支出比预算有所节约。</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公务接待费支出预算为20万元，支出决算为0.51万元,完成预算的2.55%，决算数小于预算数的主要原因是是认真贯彻落实中央“八项规定”精神和厉行节约要求，从严控制“三公”经费开支，全年实际支出比预算有所节约。</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（二）“三公”经费财政拨款支出决算具体情况说明</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2020年度“三公”经费财政拨款支出决算中，因公出国（境）费支出决算0万元，公务用车购置费及运行维护费支出决算1.28</w:t>
      </w:r>
      <w:r w:rsidRPr="00E229B7">
        <w:rPr>
          <w:rFonts w:ascii="仿宋_GB2312" w:eastAsia="仿宋_GB2312" w:hint="eastAsia"/>
          <w:sz w:val="32"/>
          <w:szCs w:val="32"/>
          <w:highlight w:val="white"/>
        </w:rPr>
        <w:lastRenderedPageBreak/>
        <w:t>万元，占71.11%；公务接待费支出决算0.51万元，占28.33%。其中：公务用车购置及运行费支出决算为1.28万元，其中：公务用车运行支出1.28万元。主要是按规定保留的公务用车的燃料费、维修费、过桥过路费、保险费、安全奖励费用等支出。截至2020年12月31日，机关单位开支财政拨款的公务用车保有量为1辆。公务接待费支出决算为0.51万元，其中：其他国内公务接待支出0.51万元。主要用于与有关单位交流工作情况及接受相关部门检查指导工作发生的接待支出。益阳市赫山区林业局2020年共接待国内公务接待批次4个、接待人次60人次（不包括陪同人员）。</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八、政府性基金预算收入支出决算情况</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2020年本单位没有使用政府性基金预算财政拨款安排的收支。</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九、国有资本经营预算财政拨款收入支出决算情况</w:t>
      </w:r>
    </w:p>
    <w:p w:rsidR="00C76734" w:rsidRPr="00E229B7" w:rsidRDefault="00316AB5" w:rsidP="00E229B7">
      <w:pPr>
        <w:widowControl w:val="0"/>
        <w:spacing w:line="560" w:lineRule="exact"/>
        <w:ind w:firstLineChars="200" w:firstLine="640"/>
        <w:rPr>
          <w:rFonts w:ascii="仿宋_GB2312" w:eastAsia="仿宋_GB2312"/>
          <w:sz w:val="32"/>
          <w:szCs w:val="32"/>
        </w:rPr>
      </w:pPr>
      <w:r w:rsidRPr="00E229B7">
        <w:rPr>
          <w:rFonts w:ascii="仿宋_GB2312" w:eastAsia="仿宋_GB2312" w:hint="eastAsia"/>
          <w:sz w:val="32"/>
          <w:szCs w:val="32"/>
          <w:highlight w:val="white"/>
        </w:rPr>
        <w:t>2020年本单位无国有资本经营财政拨款，也没有国有资本经营支出。</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十、关于机关运行经费支出说明</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益阳市赫山区林业局2020年机关运行经费支出220.13万元。比年初预算数减少114.17万元。减少34.15%，主要原因是：厉行节约加强机关运行经费管理，机关运行费用有所节约；</w:t>
      </w:r>
      <w:r w:rsidRPr="00E229B7">
        <w:rPr>
          <w:rFonts w:ascii="仿宋_GB2312" w:eastAsia="仿宋_GB2312" w:hint="eastAsia"/>
          <w:sz w:val="32"/>
          <w:szCs w:val="32"/>
        </w:rPr>
        <w:t>乡镇林业站转隶，林业局人员减少。</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十一、一般性支出情况</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lastRenderedPageBreak/>
        <w:t>2020年本部门开支会议费5.36万元，用于召开2020年常益张（常德、益阳、张家界）林业有害生物联防联治会议及林业站森林防火会议，联防联治会议人数116人，内容为常益张边界重大林业有害生物联防联治工作；林业站森林防火会议8次。开支培训费0万元；举办节庆、晚会、论坛、赛事活动开支0万元。</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十二、关于政府采购支出说明</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益阳市赫山区林业局2020年度政府采购支出总额0.02万元，其中：政府采购货物支出0.01万元；政府采购工程支出0.01万元；政府采购服务支出0.01万元； 授予中小企业合同金额0.02万元，占政府采购支出总额的100%， 其中：授予小微企业合同金额0.02万元，占政府采购支出总额的100%。</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十三、关于国有资产占有情况说明</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截至2020年12月31日，益阳市赫山区林业局共有车辆1辆。其中：执法执勤用车1辆</w:t>
      </w:r>
      <w:r w:rsidR="002772A9">
        <w:rPr>
          <w:rFonts w:ascii="仿宋_GB2312" w:eastAsia="仿宋_GB2312" w:hint="eastAsia"/>
          <w:sz w:val="32"/>
          <w:szCs w:val="32"/>
          <w:highlight w:val="white"/>
        </w:rPr>
        <w:t>。</w:t>
      </w:r>
      <w:r w:rsidRPr="00E229B7">
        <w:rPr>
          <w:rFonts w:ascii="仿宋_GB2312" w:eastAsia="仿宋_GB2312" w:hint="eastAsia"/>
          <w:sz w:val="32"/>
          <w:szCs w:val="32"/>
          <w:highlight w:val="white"/>
        </w:rPr>
        <w:t>年末无单价50万元以上通用设备，年末无单价100万元以上</w:t>
      </w:r>
      <w:r w:rsidR="002772A9">
        <w:rPr>
          <w:rFonts w:ascii="仿宋_GB2312" w:eastAsia="仿宋_GB2312" w:hint="eastAsia"/>
          <w:sz w:val="32"/>
          <w:szCs w:val="32"/>
          <w:highlight w:val="white"/>
        </w:rPr>
        <w:t>专</w:t>
      </w:r>
      <w:r w:rsidRPr="00E229B7">
        <w:rPr>
          <w:rFonts w:ascii="仿宋_GB2312" w:eastAsia="仿宋_GB2312" w:hint="eastAsia"/>
          <w:sz w:val="32"/>
          <w:szCs w:val="32"/>
          <w:highlight w:val="white"/>
        </w:rPr>
        <w:t>用设备。</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十四、关于2020年度预算绩效情况的说明</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rPr>
        <w:t>我局成立了局长为组长，业务分管领导为副组长，业务股室负责人为成员的绩效评价工作小组，主要负责林业局部门绩效自评工作的组织领导和具体实施。根据年初设定的绩效目标我们制定了切实可行的评价方案。根据各业务股室提交的工作计划、工作总结等</w:t>
      </w:r>
      <w:r w:rsidRPr="00E229B7">
        <w:rPr>
          <w:rFonts w:ascii="仿宋_GB2312" w:eastAsia="仿宋_GB2312" w:hint="eastAsia"/>
          <w:sz w:val="32"/>
          <w:szCs w:val="32"/>
        </w:rPr>
        <w:lastRenderedPageBreak/>
        <w:t>资料，评价小组现场进行询查和核实，根据确定的评价指标、评价标准和评价方法统一打分，形成自评结论。部门整体支出绩效自评报告及其他按要求应公开的绩效信息均按要求在部门门户网站对外公开，接受社会监督。经相关业务股室全面综合评价，我局2020年度部门整体支出绩效自评分为93分，评价等级为“优”。</w:t>
      </w:r>
    </w:p>
    <w:p w:rsidR="00C76734" w:rsidRPr="00E229B7" w:rsidRDefault="00C76734" w:rsidP="00E229B7">
      <w:pPr>
        <w:widowControl w:val="0"/>
        <w:spacing w:line="560" w:lineRule="exact"/>
        <w:ind w:firstLineChars="200" w:firstLine="640"/>
        <w:rPr>
          <w:rFonts w:ascii="仿宋_GB2312" w:eastAsia="仿宋_GB2312"/>
          <w:sz w:val="32"/>
          <w:szCs w:val="32"/>
        </w:rPr>
      </w:pPr>
    </w:p>
    <w:p w:rsidR="00A543DF" w:rsidRPr="00A543DF" w:rsidRDefault="00316AB5" w:rsidP="00A543DF">
      <w:pPr>
        <w:widowControl w:val="0"/>
        <w:spacing w:line="560" w:lineRule="exact"/>
        <w:rPr>
          <w:rFonts w:ascii="黑体" w:eastAsia="黑体" w:hAnsi="黑体"/>
          <w:sz w:val="32"/>
          <w:szCs w:val="32"/>
          <w:highlight w:val="white"/>
        </w:rPr>
      </w:pPr>
      <w:r w:rsidRPr="00A543DF">
        <w:rPr>
          <w:rFonts w:ascii="黑体" w:eastAsia="黑体" w:hAnsi="黑体" w:hint="eastAsia"/>
          <w:sz w:val="32"/>
          <w:szCs w:val="32"/>
          <w:highlight w:val="white"/>
        </w:rPr>
        <w:t>第四部分</w:t>
      </w:r>
      <w:r w:rsidR="00A543DF" w:rsidRPr="00A543DF">
        <w:rPr>
          <w:rFonts w:ascii="黑体" w:eastAsia="黑体" w:hAnsi="黑体" w:hint="eastAsia"/>
          <w:sz w:val="32"/>
          <w:szCs w:val="32"/>
          <w:highlight w:val="white"/>
        </w:rPr>
        <w:t>：</w:t>
      </w:r>
    </w:p>
    <w:p w:rsidR="00C76734" w:rsidRPr="00A543DF" w:rsidRDefault="00316AB5" w:rsidP="00A543DF">
      <w:pPr>
        <w:widowControl w:val="0"/>
        <w:spacing w:line="560" w:lineRule="exact"/>
        <w:jc w:val="center"/>
        <w:rPr>
          <w:rFonts w:ascii="方正小标宋简体" w:eastAsia="方正小标宋简体"/>
          <w:sz w:val="42"/>
          <w:szCs w:val="42"/>
          <w:highlight w:val="white"/>
        </w:rPr>
      </w:pPr>
      <w:r w:rsidRPr="00A543DF">
        <w:rPr>
          <w:rFonts w:ascii="方正小标宋简体" w:eastAsia="方正小标宋简体" w:hint="eastAsia"/>
          <w:sz w:val="42"/>
          <w:szCs w:val="42"/>
          <w:highlight w:val="white"/>
        </w:rPr>
        <w:t>名词解释</w:t>
      </w:r>
    </w:p>
    <w:p w:rsidR="00A543DF" w:rsidRDefault="00A543DF" w:rsidP="00E229B7">
      <w:pPr>
        <w:widowControl w:val="0"/>
        <w:spacing w:line="560" w:lineRule="exact"/>
        <w:ind w:firstLineChars="200" w:firstLine="640"/>
        <w:rPr>
          <w:rFonts w:ascii="仿宋_GB2312" w:eastAsia="仿宋_GB2312"/>
          <w:sz w:val="32"/>
          <w:szCs w:val="32"/>
          <w:highlight w:val="white"/>
        </w:rPr>
      </w:pP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财政拨款收入：指本级财政当年拨付的资金。上年结转和结余：指以前年度尚未完成、结转到本年按有关规定继续使用的资金。</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科学技术支出（类）：是指用于科学技术方面的支出，包括保障机构正常运转、完成日常和特定的工作任务或事业发展目标的支出。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w:t>
      </w:r>
      <w:r w:rsidRPr="00E229B7">
        <w:rPr>
          <w:rFonts w:ascii="仿宋_GB2312" w:eastAsia="仿宋_GB2312" w:hint="eastAsia"/>
          <w:sz w:val="32"/>
          <w:szCs w:val="32"/>
          <w:highlight w:val="white"/>
        </w:rPr>
        <w:lastRenderedPageBreak/>
        <w:t>机构统一管理的机关离退休人员的经费。</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节能环保支出（类）：是指用于节能环保支出，包括保障机构正常运转、完成日常和特定的工作任务或事业发展目标的支出。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农林水支出（类）：是指用于农林水事务支出，包括保障机构正常运转、完成日常和特定的工作任务或事业发展目标的支出。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灾害防治及应急管理支出（类）：是指用于反映政府用于自然灾害防治、安全生产监管及应急管理等方面的支出，包括保障机构正常运转、完成日常和特定的工作任务或事业发展目标的支出。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基本支出：指保障机构正常运转、完成支日常工作任务而发生的人员支出和公用支出。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项目支出：指在基本支出之外为完成特定行政任务和事业发展目标所发生的支出。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w:t>
      </w:r>
      <w:r w:rsidRPr="00E229B7">
        <w:rPr>
          <w:rFonts w:ascii="仿宋_GB2312" w:eastAsia="仿宋_GB2312" w:hint="eastAsia"/>
          <w:sz w:val="32"/>
          <w:szCs w:val="32"/>
          <w:highlight w:val="white"/>
        </w:rPr>
        <w:lastRenderedPageBreak/>
        <w:t>务用车购置及运行费反映单位公务用车购置费及租用费、燃料费、维修费、过路过桥费、保险费、安全奖励费用等支出；公务接待费反映单位按规定开支的各类公务接待（含外宾接待）支出。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lastRenderedPageBreak/>
        <w:t>奖金：反映机关工作人员年终一次性奖金。</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伙食补助费：反映单位发给职工的伙食补助费，如误餐补助等。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绩效工资：反映事业单位工作人员的绩效工资。</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职工基本医疗保险缴费：反映单位为职工缴纳的基本医疗保险费。</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医疗费：反映未参加医疗保险单位的医疗经费和单位按规定为职工支出的其他医疗费用。</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其他工资福利支出：反映上述项目未包括的人员支出，如各种加班工资、病假两个月以上期间的人员工资、编制外长期聘用人员，</w:t>
      </w:r>
      <w:r w:rsidRPr="00E229B7">
        <w:rPr>
          <w:rFonts w:ascii="仿宋_GB2312" w:eastAsia="仿宋_GB2312" w:hint="eastAsia"/>
          <w:sz w:val="32"/>
          <w:szCs w:val="32"/>
          <w:highlight w:val="white"/>
        </w:rPr>
        <w:lastRenderedPageBreak/>
        <w:t>公务员及参照和依照公务员制度管理的单位工作人员转入企业工作并按规定参加企业职工基本养老保险后给予的一次性补贴等。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商品和服务支出：反映单位购买商品和服务的支出（不包括用于购置固定资产的支出、战略性和应急储备支出）。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办公费：反映单位购买按财务会计制度规定不符合固定资产确认标准的日常办公用品、书报杂志等支出。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印刷费：反映单位的印刷费支出。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水费：反映单位支付的水费、污水处理费等支出。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邮电费：反映单位的电费支出。邮电费：反映单位开支的信函、包裹、货物等物品的邮寄费及电话费、电报费、传真费、网络通讯费等。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物业管理费：反映单位开支的办公用房以及未实行职工住宅物业服务改革的在职职工和离退休人员宿舍等的物业管理费，包括综合治理、绿化、卫生等方面的支出。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差旅费：反映单位工作人员出差发生的城市间交通费、住宿费、伙食补贴费和市内交通费。</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会议费：反映会议中按规定开支的住宿费、伙食费、会议室租</w:t>
      </w:r>
      <w:r w:rsidRPr="00E229B7">
        <w:rPr>
          <w:rFonts w:ascii="仿宋_GB2312" w:eastAsia="仿宋_GB2312" w:hint="eastAsia"/>
          <w:sz w:val="32"/>
          <w:szCs w:val="32"/>
          <w:highlight w:val="white"/>
        </w:rPr>
        <w:lastRenderedPageBreak/>
        <w:t>金、交通费、文件印刷费、医药费等。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公务接待费：反映单位按规定开支的各类公务接待（含外宾接待）费用。</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劳务费：反映支付给单位和个人的劳务费用，如临时聘用人员、钟点工工资，稿费、翻译费，评审费等。委托业务费：反映因委托外单位办理业务而支付的委托业务费。</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工会经费：反映单位按规定提取的工会经费。</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公务用车运行维护费：反映单位按规定保留的公务用车燃料费、维修费、过桥过路费、保险费、安全奖励费用等支出。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对个人和家庭的补助：反映政府用于对个人和家庭的补助支出。</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lastRenderedPageBreak/>
        <w:t>退休费：反映行政事业单位和军队移交政府安置的退休人员的退休费和其他补贴。</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C76734" w:rsidRPr="00E229B7" w:rsidRDefault="00316AB5" w:rsidP="00E229B7">
      <w:pPr>
        <w:widowControl w:val="0"/>
        <w:spacing w:line="560" w:lineRule="exact"/>
        <w:ind w:firstLineChars="200" w:firstLine="624"/>
        <w:rPr>
          <w:rFonts w:ascii="仿宋_GB2312" w:eastAsia="仿宋_GB2312"/>
          <w:sz w:val="32"/>
          <w:szCs w:val="32"/>
          <w:highlight w:val="white"/>
        </w:rPr>
      </w:pPr>
      <w:r w:rsidRPr="00A543DF">
        <w:rPr>
          <w:rFonts w:ascii="仿宋_GB2312" w:eastAsia="仿宋_GB2312" w:hint="eastAsia"/>
          <w:spacing w:val="-4"/>
          <w:sz w:val="32"/>
          <w:szCs w:val="32"/>
          <w:highlight w:val="white"/>
        </w:rPr>
        <w:t>奖励金：反映政府各部门的奖励支出，如对个体私营经济的奖励、计划生育目标责任奖励、独生子女父母奖励等。办公设备购置：反映用于购置并按财务会计制度规定纳入固定资产核算范围的办公家具和办公设备的支出，以及按规定提取的修购基金。信息网络及软件购置更新：反映政府用于信息网络方面的支出。如计算机硬件、软件购置、开发、应用支出等，如果购建的计算机硬件、软件等不符合财务会计制度规定的固定资产确认标准的，不在此科目反映</w:t>
      </w:r>
      <w:r w:rsidRPr="00E229B7">
        <w:rPr>
          <w:rFonts w:ascii="仿宋_GB2312" w:eastAsia="仿宋_GB2312" w:hint="eastAsia"/>
          <w:sz w:val="32"/>
          <w:szCs w:val="32"/>
          <w:highlight w:val="white"/>
        </w:rPr>
        <w:t>。</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机关运行经费：指为保障行政单位（包括参照公务员法管理的事业单位）运行用于购买货物和服务的各项资金，包括办公及印刷</w:t>
      </w:r>
      <w:r w:rsidRPr="00E229B7">
        <w:rPr>
          <w:rFonts w:ascii="仿宋_GB2312" w:eastAsia="仿宋_GB2312" w:hint="eastAsia"/>
          <w:sz w:val="32"/>
          <w:szCs w:val="32"/>
          <w:highlight w:val="white"/>
        </w:rPr>
        <w:lastRenderedPageBreak/>
        <w:t>费、邮电费、差旅费、会议费、福利费、日常维修费、专用材料及一般设备购置费、办公用房水电费、办公用房取暖费、 办公用房物业管理费、 公务用车运行维护费以及其他费用。</w:t>
      </w:r>
    </w:p>
    <w:p w:rsidR="00C76734" w:rsidRPr="00E229B7" w:rsidRDefault="00C76734" w:rsidP="00E229B7">
      <w:pPr>
        <w:widowControl w:val="0"/>
        <w:spacing w:line="560" w:lineRule="exact"/>
        <w:ind w:firstLineChars="200" w:firstLine="640"/>
        <w:rPr>
          <w:rFonts w:ascii="仿宋_GB2312" w:eastAsia="仿宋_GB2312"/>
          <w:sz w:val="32"/>
          <w:szCs w:val="32"/>
        </w:rPr>
      </w:pPr>
    </w:p>
    <w:p w:rsidR="00C76734" w:rsidRPr="00A543DF" w:rsidRDefault="00316AB5" w:rsidP="00A543DF">
      <w:pPr>
        <w:widowControl w:val="0"/>
        <w:spacing w:line="560" w:lineRule="exact"/>
        <w:rPr>
          <w:rFonts w:ascii="黑体" w:eastAsia="黑体" w:hAnsi="黑体"/>
          <w:sz w:val="32"/>
          <w:szCs w:val="32"/>
          <w:highlight w:val="white"/>
        </w:rPr>
      </w:pPr>
      <w:r w:rsidRPr="00A543DF">
        <w:rPr>
          <w:rFonts w:ascii="黑体" w:eastAsia="黑体" w:hAnsi="黑体" w:hint="eastAsia"/>
          <w:sz w:val="32"/>
          <w:szCs w:val="32"/>
          <w:highlight w:val="white"/>
        </w:rPr>
        <w:t>第五部分</w:t>
      </w:r>
      <w:r w:rsidR="00A543DF">
        <w:rPr>
          <w:rFonts w:ascii="黑体" w:eastAsia="黑体" w:hAnsi="黑体" w:hint="eastAsia"/>
          <w:sz w:val="32"/>
          <w:szCs w:val="32"/>
          <w:highlight w:val="white"/>
        </w:rPr>
        <w:t>：</w:t>
      </w:r>
      <w:r w:rsidRPr="00A543DF">
        <w:rPr>
          <w:rFonts w:ascii="黑体" w:eastAsia="黑体" w:hAnsi="黑体" w:hint="eastAsia"/>
          <w:sz w:val="32"/>
          <w:szCs w:val="32"/>
          <w:highlight w:val="white"/>
        </w:rPr>
        <w:t>附件</w:t>
      </w:r>
    </w:p>
    <w:p w:rsidR="00C76734" w:rsidRPr="00A543DF" w:rsidRDefault="00316AB5" w:rsidP="00A543DF">
      <w:pPr>
        <w:widowControl w:val="0"/>
        <w:spacing w:line="560" w:lineRule="exact"/>
        <w:jc w:val="center"/>
        <w:rPr>
          <w:rFonts w:ascii="方正小标宋简体" w:eastAsia="方正小标宋简体"/>
          <w:sz w:val="42"/>
          <w:szCs w:val="42"/>
        </w:rPr>
      </w:pPr>
      <w:r w:rsidRPr="00A543DF">
        <w:rPr>
          <w:rFonts w:ascii="方正小标宋简体" w:eastAsia="方正小标宋简体" w:hint="eastAsia"/>
          <w:sz w:val="42"/>
          <w:szCs w:val="42"/>
        </w:rPr>
        <w:t>区林业局2020年度部门整体支出绩效评价报告</w:t>
      </w:r>
    </w:p>
    <w:p w:rsidR="00C76734" w:rsidRPr="00E229B7" w:rsidRDefault="00C76734" w:rsidP="00E229B7">
      <w:pPr>
        <w:widowControl w:val="0"/>
        <w:spacing w:line="560" w:lineRule="exact"/>
        <w:ind w:firstLineChars="200" w:firstLine="640"/>
        <w:rPr>
          <w:rFonts w:ascii="仿宋_GB2312" w:eastAsia="仿宋_GB2312"/>
          <w:sz w:val="32"/>
          <w:szCs w:val="32"/>
        </w:rPr>
      </w:pP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rPr>
        <w:t>根</w:t>
      </w:r>
      <w:r w:rsidRPr="00E229B7">
        <w:rPr>
          <w:rFonts w:ascii="仿宋_GB2312" w:eastAsia="仿宋_GB2312" w:hint="eastAsia"/>
          <w:sz w:val="32"/>
          <w:szCs w:val="32"/>
          <w:highlight w:val="white"/>
        </w:rPr>
        <w:t>据《益阳市赫山区财政局关于做好2020年度预算绩效自评工作的通知》（益赫财绩〔2021〕1号）文件精神，我局对2020年度部门整体支出绩效进行了全面的综合评价。部门整体支出重点评价津贴补贴政策落实情况、资产管理情况、三公经费控制及预算决算公开情况、存量资金管理情况、区委政府年度绩效目标个性指标完成情况和其他应该重点评价的内容等。经相关业务股室全面综合评价，我局2020年度部门整体支出绩效自评分为93分，评价等级为“优”。现将自评情况汇报如下：</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一、部门基本情况</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益阳市赫山区林业局属区政府工作部门，为正科级，编办核定我局及所属事业单位全额编制39名，2020年年末实有在职人数46名，其中全额人员44名，自收自支2名。</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二、一般公共预算支出情况</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lastRenderedPageBreak/>
        <w:t>2020年部门整体支出情况：2020年年初结转结余资金8473666.88元。2020年部门整体收入36790802元，其中一般公共预算财政拨款收入36790802元。部门整体支出37220441.76元，其中基本支出10782529.90元，项目支出26437911.86元。部门年末结转结余资金8044027.12元，其中基本支出结转结余资金8044027.12元，较上年减少429639.76元，结转结余率为24.71%。部门本年预算批复数32553946元，预算完成数37220441.76元，预算执行率为114.33%。</w:t>
      </w:r>
    </w:p>
    <w:p w:rsidR="00C76734" w:rsidRPr="00E229B7" w:rsidRDefault="00A543DF" w:rsidP="00E229B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316AB5" w:rsidRPr="00E229B7">
        <w:rPr>
          <w:rFonts w:ascii="仿宋_GB2312" w:eastAsia="仿宋_GB2312" w:hint="eastAsia"/>
          <w:sz w:val="32"/>
          <w:szCs w:val="32"/>
          <w:highlight w:val="white"/>
        </w:rPr>
        <w:t>基本支出情况</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基本支出10782529.90元，其中人员支出8581230.42元，占基本支出79.58%；公用经费支出2201299.48元，占基本支出20.42%，基本支出主要是为保障行政机关管理工作正常运转而发生的必要费用。局机关遵循厉行节约的原则，严控 “三公”经费支出，2020年 “三公”经费支出17968.29元，较上年减少36132.74元， “三公经费”控制率为5.9%。2020年公用经费支出2201299.48元，较上年减少1226122.33元，公用经费控制率为48.29%，机关运行成本较上年有所减少。</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（二）项目支出情况</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项目支出26437911.86元,其中行政事业类项目支出26437911.86元。林业专项资金主要用于造林、森林培育、森林防</w:t>
      </w:r>
      <w:r w:rsidRPr="00E229B7">
        <w:rPr>
          <w:rFonts w:ascii="仿宋_GB2312" w:eastAsia="仿宋_GB2312" w:hint="eastAsia"/>
          <w:sz w:val="32"/>
          <w:szCs w:val="32"/>
          <w:highlight w:val="white"/>
        </w:rPr>
        <w:lastRenderedPageBreak/>
        <w:t>火、森林资源管理、林业监督与执法、林业有害生物防治、野生动物退出补偿等方面。</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我局严格按照局机关《财务管理制度》等各项内部控制制度执行财务管理，资金使用按照会审程序办理，资金支出执行区财政国库集中支付制度,会计核算严格按照政府会计准则执行，确保了资金支出的规范化、合理化、制度化。资产管理严格按照财务制度进行管理。固定资产严格按照 《益阳市赫山区财政局关于转发〈益阳市2020年政府集中采购目录及政府采购限额标准〉的通知》（益赫财采〔2020〕1号）文件依法依规按程序办理政府采购进行配置。固定资产处置按流程办理审批手续后进行处置。部门预决算公开严格按照预决算文件要求执行，在财政局批复后20个工作日内在林业局门户网站及时公开，接受社会的监督。全年预算资金按规定管理使用，较好的完成了全年预算目标任务。</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三、部门整体支出绩效情况</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（一）部门整体支出绩效目标任务</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1</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全年完成营造林任务3.6万亩其中人工造林1.1万亩，封山育林2.9万亩，退化林修复，森林抚育3万亩。通过大力实施营造林工程，不断增加区内森林面积和资源总量，提高林分质量，提高绿化率，保持区内森林覆盖率稳定。</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2</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全区义务植树160万株，全民义务植树52万人，全民义务</w:t>
      </w:r>
      <w:r w:rsidRPr="00E229B7">
        <w:rPr>
          <w:rFonts w:ascii="仿宋_GB2312" w:eastAsia="仿宋_GB2312" w:hint="eastAsia"/>
          <w:sz w:val="32"/>
          <w:szCs w:val="32"/>
          <w:highlight w:val="white"/>
        </w:rPr>
        <w:lastRenderedPageBreak/>
        <w:t>植树尽责率达95%以上。</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3</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确保林地保有量达3.86万公顷；保持林地面积保有率100%。保护现有公益林面积，管护公益林25.15万亩，管护率达到100%。控制我区木材采伐量，年森林采伐消耗控制在0.75万立方米以内，确保生长量大于采伐量。确保森林覆盖率达32.5%，保持森林覆盖率稳定率100%。提高活立木蓄积量，确保活立木蓄积达到177万立方米，比2019年同比增长4%。</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4</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加强林业有害生物防治，确保林业有害生物成灾率控制在3.3‰以下，无公害防治率达到80%以上，测报准确率达90%以上，种苗产地检疫率达100%，松材线虫病监测普查率100%，疫区感病枯死松树控制在万分之一以内。积极预防林业有害生物，减少我区林木资源受害面积，最大限度保护现有林木资源。</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5</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加强森林防火工作，确保森林火灾受害率控制在0.9‰以内。最大限度地减少森林火灾的发生面积和次数，确保不发生重特大森林火灾及人员伤亡事故，确保森林资源和人民生命财产安全。</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6</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立项争资1860万元。通过积极争取上级林业项目资金，进一步助推我区林业产业发展。</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（二）部门整体支出绩效目标任务完成情况</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2020年我局在区委区政府的坚强领导下，在全局干职工的共同努力下，不断深化林业改革，加强森林资源管护，加快林业产业</w:t>
      </w:r>
      <w:r w:rsidRPr="00E229B7">
        <w:rPr>
          <w:rFonts w:ascii="仿宋_GB2312" w:eastAsia="仿宋_GB2312" w:hint="eastAsia"/>
          <w:sz w:val="32"/>
          <w:szCs w:val="32"/>
          <w:highlight w:val="white"/>
        </w:rPr>
        <w:lastRenderedPageBreak/>
        <w:t>转型升级，全区林业经济健康、持续、协调发展，成效显著，各项目标任务全面高效完成，得到了省、市、区的充分肯定。2020年林业局部门整体支出绩效目标任务完成情况如下：</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1</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2020年全年完成营造林任务10.4万亩，其中人工造林1.1万亩，任务完成率为100%。全区农村人居环境整治美丽村庄建设造林绿化三年任务己完成，绿化美化村庄数113个，占全区村（社区）总数的70%。获国家、省级认定的绿化美化村庄59个自然村，达到森林村庄标准村数54个，其中八字哨镇的高粱坪村、泥江口镇的大桥村、新市渡镇的自搭桥村、龙光桥街道办事处的锣鼓村获得了国家林业和草原局授予的“国家森林乡村”称号。</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2</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全民参与义务植树任务人数52.8万人，尽责率达85%。</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3</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全区林地面积38617.3公顷，林地保有量稳定率100%。公益林管护面积25.05万亩（省级核减0.1万亩），管护率达100%。林木采伐面积66.79公顷，采伐蓄积4861.46立方米,年森林采伐消耗控制在0.75万立方米以内，确保了林木生长量大于采伐量。全区森林覆盖率为35.2%，比上年提高0.21个百分点,森林覆盖率稳定率100%；森林总蓄积量达到184.1万立方米，年增长率达4%。</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4</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全区林业有害生物发生面积12740亩, 成灾率为3.1‰，林业有害生物成灾率控制在3.3‰以下。</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5</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全区共发生森林火灾山火8起，过火面积69.6亩,森林火灾</w:t>
      </w:r>
      <w:r w:rsidRPr="00E229B7">
        <w:rPr>
          <w:rFonts w:ascii="仿宋_GB2312" w:eastAsia="仿宋_GB2312" w:hint="eastAsia"/>
          <w:sz w:val="32"/>
          <w:szCs w:val="32"/>
          <w:highlight w:val="white"/>
        </w:rPr>
        <w:lastRenderedPageBreak/>
        <w:t>受害率控制在0.9‰以内。</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6</w:t>
      </w:r>
      <w:r w:rsidR="00A543DF">
        <w:rPr>
          <w:rFonts w:ascii="仿宋_GB2312" w:eastAsia="仿宋_GB2312" w:hint="eastAsia"/>
          <w:sz w:val="32"/>
          <w:szCs w:val="32"/>
          <w:highlight w:val="white"/>
        </w:rPr>
        <w:t>.</w:t>
      </w:r>
      <w:r w:rsidRPr="00E229B7">
        <w:rPr>
          <w:rFonts w:ascii="仿宋_GB2312" w:eastAsia="仿宋_GB2312" w:hint="eastAsia"/>
          <w:sz w:val="32"/>
          <w:szCs w:val="32"/>
          <w:highlight w:val="white"/>
        </w:rPr>
        <w:t>全年完成立项争资1875.6万元，完成了计划任务的100.84%。</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四、绩效评价工作情况</w:t>
      </w:r>
    </w:p>
    <w:p w:rsidR="00C76734" w:rsidRPr="00E229B7" w:rsidRDefault="00A543DF" w:rsidP="00E229B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316AB5" w:rsidRPr="00E229B7">
        <w:rPr>
          <w:rFonts w:ascii="仿宋_GB2312" w:eastAsia="仿宋_GB2312" w:hint="eastAsia"/>
          <w:sz w:val="32"/>
          <w:szCs w:val="32"/>
          <w:highlight w:val="white"/>
        </w:rPr>
        <w:t>绩效评价目的</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加强和改进新形势下赫山林业工作，进一步理清部门职责，规范林业资金管理，强化资金使用效益意识，提升林业资金管理水平。</w:t>
      </w:r>
    </w:p>
    <w:p w:rsidR="00C76734" w:rsidRPr="00E229B7" w:rsidRDefault="00A543DF" w:rsidP="00E229B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316AB5" w:rsidRPr="00E229B7">
        <w:rPr>
          <w:rFonts w:ascii="仿宋_GB2312" w:eastAsia="仿宋_GB2312" w:hint="eastAsia"/>
          <w:sz w:val="32"/>
          <w:szCs w:val="32"/>
          <w:highlight w:val="white"/>
        </w:rPr>
        <w:t>绩效评价工作过程</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我局成立了局长为组长，业务分管领导为副组长，业务股室负责人为成员的绩效评价工作小组，主要负责林业局部门绩效自评工作的组织领导和具体实施。根据年初设定的绩效目标我们制定了切实可行的评价方案。根据各业务股室提交的工作计划、工作总结等资料，评价小组现场进行询查和核实，根据确定的评价指标、评价标准和评价方法统一打分，形成自评结论。部门整体支出绩效自评报告及其他按要求应公开的绩效信息均按要求在部门门户网站对外公开，接受社会监督。</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五、存在的问题及原因分析</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单位部分项目资金支付进度滞后,影响部门预算执行力度。</w:t>
      </w:r>
    </w:p>
    <w:p w:rsidR="00C76734" w:rsidRPr="00E31F3C" w:rsidRDefault="00316AB5" w:rsidP="00E229B7">
      <w:pPr>
        <w:widowControl w:val="0"/>
        <w:spacing w:line="560" w:lineRule="exact"/>
        <w:ind w:firstLineChars="200" w:firstLine="640"/>
        <w:rPr>
          <w:rFonts w:ascii="黑体" w:eastAsia="黑体" w:hAnsi="黑体"/>
          <w:sz w:val="32"/>
          <w:szCs w:val="32"/>
          <w:highlight w:val="white"/>
        </w:rPr>
      </w:pPr>
      <w:r w:rsidRPr="00E31F3C">
        <w:rPr>
          <w:rFonts w:ascii="黑体" w:eastAsia="黑体" w:hAnsi="黑体" w:hint="eastAsia"/>
          <w:sz w:val="32"/>
          <w:szCs w:val="32"/>
          <w:highlight w:val="white"/>
        </w:rPr>
        <w:t>六、下一步改进措施</w:t>
      </w:r>
    </w:p>
    <w:p w:rsidR="00C76734" w:rsidRPr="00E229B7" w:rsidRDefault="00316AB5" w:rsidP="00E229B7">
      <w:pPr>
        <w:widowControl w:val="0"/>
        <w:spacing w:line="560" w:lineRule="exact"/>
        <w:ind w:firstLineChars="200" w:firstLine="640"/>
        <w:rPr>
          <w:rFonts w:ascii="仿宋_GB2312" w:eastAsia="仿宋_GB2312"/>
          <w:sz w:val="32"/>
          <w:szCs w:val="32"/>
          <w:highlight w:val="white"/>
        </w:rPr>
      </w:pPr>
      <w:r w:rsidRPr="00E229B7">
        <w:rPr>
          <w:rFonts w:ascii="仿宋_GB2312" w:eastAsia="仿宋_GB2312" w:hint="eastAsia"/>
          <w:sz w:val="32"/>
          <w:szCs w:val="32"/>
          <w:highlight w:val="white"/>
        </w:rPr>
        <w:t>规范项目资金管理，加快项目资金支出进度，提高专项资金的使用效益。</w:t>
      </w:r>
    </w:p>
    <w:p w:rsidR="00C76734" w:rsidRDefault="00316AB5" w:rsidP="002772A9">
      <w:pPr>
        <w:spacing w:beforeLines="50" w:afterLines="50"/>
        <w:jc w:val="center"/>
        <w:rPr>
          <w:rFonts w:ascii="方正小标宋简体" w:eastAsia="方正小标宋简体"/>
          <w:sz w:val="36"/>
          <w:szCs w:val="24"/>
        </w:rPr>
      </w:pPr>
      <w:r>
        <w:rPr>
          <w:rFonts w:ascii="方正小标宋简体" w:eastAsia="方正小标宋简体" w:cs="方正小标宋简体"/>
          <w:sz w:val="36"/>
          <w:szCs w:val="36"/>
        </w:rPr>
        <w:lastRenderedPageBreak/>
        <w:t>2020</w:t>
      </w:r>
      <w:r>
        <w:rPr>
          <w:rFonts w:ascii="方正小标宋简体" w:eastAsia="方正小标宋简体" w:cs="方正小标宋简体"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
        <w:gridCol w:w="737"/>
        <w:gridCol w:w="982"/>
        <w:gridCol w:w="737"/>
        <w:gridCol w:w="3095"/>
        <w:gridCol w:w="3667"/>
      </w:tblGrid>
      <w:tr w:rsidR="00C76734">
        <w:trPr>
          <w:trHeight w:val="489"/>
          <w:tblHeader/>
          <w:jc w:val="center"/>
        </w:trPr>
        <w:tc>
          <w:tcPr>
            <w:tcW w:w="307" w:type="pct"/>
            <w:tcMar>
              <w:top w:w="10" w:type="dxa"/>
              <w:left w:w="10" w:type="dxa"/>
              <w:bottom w:w="0" w:type="dxa"/>
              <w:right w:w="10" w:type="dxa"/>
            </w:tcMar>
            <w:vAlign w:val="center"/>
          </w:tcPr>
          <w:p w:rsidR="00C76734" w:rsidRDefault="00316AB5">
            <w:pPr>
              <w:spacing w:line="240" w:lineRule="exact"/>
              <w:jc w:val="center"/>
              <w:rPr>
                <w:rFonts w:ascii="宋体"/>
                <w:b/>
                <w:szCs w:val="24"/>
              </w:rPr>
            </w:pPr>
            <w:r>
              <w:rPr>
                <w:rFonts w:ascii="宋体" w:hAnsi="宋体" w:cs="宋体" w:hint="eastAsia"/>
                <w:b/>
                <w:szCs w:val="24"/>
              </w:rPr>
              <w:t>一级</w:t>
            </w:r>
            <w:r>
              <w:rPr>
                <w:rFonts w:ascii="宋体"/>
                <w:b/>
                <w:szCs w:val="24"/>
              </w:rPr>
              <w:br/>
            </w:r>
            <w:r>
              <w:rPr>
                <w:rFonts w:ascii="宋体" w:hAnsi="宋体" w:cs="宋体" w:hint="eastAsia"/>
                <w:b/>
                <w:szCs w:val="24"/>
              </w:rPr>
              <w:t>指标</w:t>
            </w:r>
          </w:p>
        </w:tc>
        <w:tc>
          <w:tcPr>
            <w:tcW w:w="375" w:type="pct"/>
            <w:tcMar>
              <w:top w:w="10" w:type="dxa"/>
              <w:left w:w="10" w:type="dxa"/>
              <w:bottom w:w="0" w:type="dxa"/>
              <w:right w:w="10" w:type="dxa"/>
            </w:tcMar>
            <w:vAlign w:val="center"/>
          </w:tcPr>
          <w:p w:rsidR="00C76734" w:rsidRDefault="00316AB5">
            <w:pPr>
              <w:spacing w:line="240" w:lineRule="exact"/>
              <w:ind w:rightChars="-83" w:right="-174"/>
              <w:jc w:val="center"/>
              <w:rPr>
                <w:rFonts w:ascii="宋体"/>
                <w:b/>
                <w:szCs w:val="24"/>
              </w:rPr>
            </w:pPr>
            <w:r>
              <w:rPr>
                <w:rFonts w:ascii="宋体" w:hAnsi="宋体" w:cs="宋体" w:hint="eastAsia"/>
                <w:b/>
                <w:szCs w:val="24"/>
              </w:rPr>
              <w:t>二级</w:t>
            </w:r>
          </w:p>
          <w:p w:rsidR="00C76734" w:rsidRDefault="00316AB5">
            <w:pPr>
              <w:spacing w:line="240" w:lineRule="exact"/>
              <w:ind w:rightChars="-83" w:right="-174"/>
              <w:jc w:val="center"/>
              <w:rPr>
                <w:rFonts w:ascii="宋体"/>
                <w:b/>
                <w:szCs w:val="24"/>
              </w:rPr>
            </w:pPr>
            <w:r>
              <w:rPr>
                <w:rFonts w:ascii="宋体" w:hAnsi="宋体" w:cs="宋体" w:hint="eastAsia"/>
                <w:b/>
                <w:szCs w:val="24"/>
              </w:rPr>
              <w:t>指标</w:t>
            </w:r>
          </w:p>
        </w:tc>
        <w:tc>
          <w:tcPr>
            <w:tcW w:w="500" w:type="pct"/>
            <w:tcMar>
              <w:top w:w="10" w:type="dxa"/>
              <w:left w:w="10" w:type="dxa"/>
              <w:bottom w:w="0" w:type="dxa"/>
              <w:right w:w="10" w:type="dxa"/>
            </w:tcMar>
            <w:vAlign w:val="center"/>
          </w:tcPr>
          <w:p w:rsidR="00C76734" w:rsidRDefault="00316AB5">
            <w:pPr>
              <w:spacing w:line="240" w:lineRule="exact"/>
              <w:jc w:val="center"/>
              <w:rPr>
                <w:rFonts w:ascii="宋体"/>
                <w:b/>
                <w:szCs w:val="24"/>
              </w:rPr>
            </w:pPr>
            <w:r>
              <w:rPr>
                <w:rFonts w:ascii="宋体" w:hAnsi="宋体" w:cs="宋体" w:hint="eastAsia"/>
                <w:b/>
                <w:szCs w:val="24"/>
              </w:rPr>
              <w:t>三级</w:t>
            </w:r>
          </w:p>
          <w:p w:rsidR="00C76734" w:rsidRDefault="00316AB5">
            <w:pPr>
              <w:spacing w:line="240" w:lineRule="exact"/>
              <w:jc w:val="center"/>
              <w:rPr>
                <w:rFonts w:ascii="宋体"/>
                <w:b/>
                <w:szCs w:val="24"/>
              </w:rPr>
            </w:pPr>
            <w:r>
              <w:rPr>
                <w:rFonts w:ascii="宋体" w:hAnsi="宋体" w:cs="宋体" w:hint="eastAsia"/>
                <w:b/>
                <w:szCs w:val="24"/>
              </w:rPr>
              <w:t>指标</w:t>
            </w:r>
          </w:p>
        </w:tc>
        <w:tc>
          <w:tcPr>
            <w:tcW w:w="375" w:type="pct"/>
            <w:vAlign w:val="center"/>
          </w:tcPr>
          <w:p w:rsidR="00C76734" w:rsidRDefault="00316AB5">
            <w:pPr>
              <w:spacing w:line="240" w:lineRule="exact"/>
              <w:ind w:leftChars="50" w:left="105" w:rightChars="50" w:right="105"/>
              <w:jc w:val="center"/>
              <w:rPr>
                <w:rFonts w:ascii="宋体"/>
                <w:b/>
                <w:szCs w:val="24"/>
              </w:rPr>
            </w:pPr>
            <w:r>
              <w:rPr>
                <w:rFonts w:ascii="宋体" w:hAnsi="宋体" w:cs="宋体" w:hint="eastAsia"/>
                <w:b/>
                <w:szCs w:val="24"/>
              </w:rPr>
              <w:t>自评分</w:t>
            </w:r>
          </w:p>
        </w:tc>
        <w:tc>
          <w:tcPr>
            <w:tcW w:w="1576" w:type="pct"/>
            <w:tcMar>
              <w:top w:w="10" w:type="dxa"/>
              <w:left w:w="10" w:type="dxa"/>
              <w:bottom w:w="0" w:type="dxa"/>
              <w:right w:w="10" w:type="dxa"/>
            </w:tcMar>
            <w:vAlign w:val="center"/>
          </w:tcPr>
          <w:p w:rsidR="00C76734" w:rsidRDefault="00316AB5">
            <w:pPr>
              <w:spacing w:line="240" w:lineRule="exact"/>
              <w:ind w:leftChars="50" w:left="105" w:rightChars="50" w:right="105"/>
              <w:jc w:val="center"/>
              <w:rPr>
                <w:rFonts w:ascii="宋体"/>
                <w:b/>
                <w:szCs w:val="24"/>
              </w:rPr>
            </w:pPr>
            <w:r>
              <w:rPr>
                <w:rFonts w:ascii="宋体" w:hAnsi="宋体" w:cs="宋体" w:hint="eastAsia"/>
                <w:b/>
                <w:szCs w:val="24"/>
              </w:rPr>
              <w:t>指标解释</w:t>
            </w:r>
          </w:p>
        </w:tc>
        <w:tc>
          <w:tcPr>
            <w:tcW w:w="1867" w:type="pct"/>
            <w:tcMar>
              <w:top w:w="10" w:type="dxa"/>
              <w:left w:w="10" w:type="dxa"/>
              <w:bottom w:w="0" w:type="dxa"/>
              <w:right w:w="10" w:type="dxa"/>
            </w:tcMar>
            <w:vAlign w:val="center"/>
          </w:tcPr>
          <w:p w:rsidR="00C76734" w:rsidRDefault="00316AB5">
            <w:pPr>
              <w:spacing w:line="240" w:lineRule="exact"/>
              <w:ind w:leftChars="50" w:left="105" w:rightChars="50" w:right="105"/>
              <w:jc w:val="center"/>
              <w:rPr>
                <w:rFonts w:ascii="宋体"/>
                <w:b/>
                <w:szCs w:val="24"/>
              </w:rPr>
            </w:pPr>
            <w:r>
              <w:rPr>
                <w:rFonts w:ascii="宋体" w:hAnsi="宋体" w:cs="宋体" w:hint="eastAsia"/>
                <w:b/>
                <w:szCs w:val="24"/>
              </w:rPr>
              <w:t>指标说明</w:t>
            </w:r>
          </w:p>
        </w:tc>
      </w:tr>
      <w:tr w:rsidR="00C76734" w:rsidTr="009D0833">
        <w:trPr>
          <w:trHeight w:val="1628"/>
          <w:jc w:val="center"/>
        </w:trPr>
        <w:tc>
          <w:tcPr>
            <w:tcW w:w="307" w:type="pct"/>
            <w:vMerge w:val="restart"/>
            <w:noWrap/>
            <w:tcMar>
              <w:top w:w="10" w:type="dxa"/>
              <w:left w:w="10" w:type="dxa"/>
              <w:bottom w:w="0" w:type="dxa"/>
              <w:right w:w="10" w:type="dxa"/>
            </w:tcMar>
            <w:textDirection w:val="tbRlV"/>
            <w:vAlign w:val="center"/>
          </w:tcPr>
          <w:p w:rsidR="00C76734" w:rsidRDefault="00316AB5">
            <w:pPr>
              <w:spacing w:line="240" w:lineRule="exact"/>
              <w:jc w:val="center"/>
              <w:rPr>
                <w:rFonts w:ascii="宋体"/>
                <w:szCs w:val="24"/>
              </w:rPr>
            </w:pPr>
            <w:r>
              <w:rPr>
                <w:rFonts w:ascii="宋体" w:hAnsi="宋体" w:cs="宋体" w:hint="eastAsia"/>
                <w:szCs w:val="24"/>
              </w:rPr>
              <w:t>投</w:t>
            </w:r>
            <w:r>
              <w:rPr>
                <w:rFonts w:ascii="宋体" w:hAnsi="宋体" w:cs="宋体"/>
                <w:szCs w:val="24"/>
              </w:rPr>
              <w:t xml:space="preserve">   </w:t>
            </w:r>
            <w:r>
              <w:rPr>
                <w:rFonts w:ascii="宋体" w:hAnsi="宋体" w:cs="宋体" w:hint="eastAsia"/>
                <w:szCs w:val="24"/>
              </w:rPr>
              <w:t>入（</w:t>
            </w:r>
            <w:r>
              <w:rPr>
                <w:rFonts w:ascii="宋体" w:hAnsi="宋体" w:cs="宋体"/>
                <w:szCs w:val="24"/>
              </w:rPr>
              <w:t>20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目标</w:t>
            </w:r>
            <w:r>
              <w:rPr>
                <w:rFonts w:ascii="宋体"/>
                <w:szCs w:val="24"/>
              </w:rPr>
              <w:br/>
            </w:r>
            <w:r>
              <w:rPr>
                <w:rFonts w:ascii="宋体" w:hAnsi="宋体" w:cs="宋体" w:hint="eastAsia"/>
                <w:szCs w:val="24"/>
              </w:rPr>
              <w:t>设定（</w:t>
            </w:r>
            <w:r>
              <w:rPr>
                <w:rFonts w:ascii="宋体" w:hAnsi="宋体" w:cs="宋体"/>
                <w:szCs w:val="24"/>
              </w:rPr>
              <w:t>5</w:t>
            </w:r>
            <w:r>
              <w:rPr>
                <w:rFonts w:ascii="宋体" w:hAnsi="宋体" w:cs="宋体" w:hint="eastAsia"/>
                <w:szCs w:val="24"/>
              </w:rPr>
              <w:t>分）</w:t>
            </w: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绩效目标</w:t>
            </w:r>
          </w:p>
          <w:p w:rsidR="00C76734" w:rsidRDefault="00316AB5">
            <w:pPr>
              <w:spacing w:line="240" w:lineRule="exact"/>
              <w:jc w:val="center"/>
              <w:rPr>
                <w:rFonts w:ascii="宋体"/>
                <w:szCs w:val="24"/>
              </w:rPr>
            </w:pPr>
            <w:r>
              <w:rPr>
                <w:rFonts w:ascii="宋体" w:hAnsi="宋体" w:cs="宋体" w:hint="eastAsia"/>
                <w:szCs w:val="24"/>
              </w:rPr>
              <w:t>合理性（</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评价要点：</w:t>
            </w:r>
            <w:r>
              <w:rPr>
                <w:rFonts w:ascii="宋体"/>
                <w:szCs w:val="24"/>
              </w:rPr>
              <w:br/>
            </w:r>
            <w:r>
              <w:rPr>
                <w:rFonts w:ascii="宋体" w:hAnsi="宋体" w:cs="宋体" w:hint="eastAsia"/>
                <w:szCs w:val="24"/>
              </w:rPr>
              <w:t>①是否符合国家法律法规、国民经济和社会发展总体规划；</w:t>
            </w:r>
            <w:r>
              <w:rPr>
                <w:rFonts w:ascii="宋体"/>
                <w:szCs w:val="24"/>
              </w:rPr>
              <w:br/>
            </w:r>
            <w:r>
              <w:rPr>
                <w:rFonts w:ascii="宋体" w:hAnsi="宋体" w:cs="宋体" w:hint="eastAsia"/>
                <w:szCs w:val="24"/>
              </w:rPr>
              <w:t>②是否符合部门“三定”方案确定的职责；</w:t>
            </w:r>
            <w:r>
              <w:rPr>
                <w:rFonts w:ascii="宋体"/>
                <w:szCs w:val="24"/>
              </w:rPr>
              <w:br/>
            </w:r>
            <w:r>
              <w:rPr>
                <w:rFonts w:ascii="宋体" w:hAnsi="宋体" w:cs="宋体" w:hint="eastAsia"/>
                <w:szCs w:val="24"/>
              </w:rPr>
              <w:t>③是否符合部门制定的中长期实施规划。</w:t>
            </w:r>
          </w:p>
        </w:tc>
      </w:tr>
      <w:tr w:rsidR="00C76734" w:rsidTr="009D0833">
        <w:trPr>
          <w:trHeight w:val="1765"/>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绩效指标</w:t>
            </w:r>
          </w:p>
          <w:p w:rsidR="00C76734" w:rsidRDefault="00316AB5">
            <w:pPr>
              <w:spacing w:line="240" w:lineRule="exact"/>
              <w:jc w:val="center"/>
              <w:rPr>
                <w:rFonts w:ascii="宋体"/>
                <w:szCs w:val="24"/>
              </w:rPr>
            </w:pPr>
            <w:r>
              <w:rPr>
                <w:rFonts w:ascii="宋体" w:hAnsi="宋体" w:cs="宋体" w:hint="eastAsia"/>
                <w:szCs w:val="24"/>
              </w:rPr>
              <w:t>明确性（</w:t>
            </w:r>
            <w:r>
              <w:rPr>
                <w:rFonts w:ascii="宋体" w:hAnsi="宋体" w:cs="宋体"/>
                <w:szCs w:val="24"/>
              </w:rPr>
              <w:t>3</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3</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评价要点：</w:t>
            </w:r>
            <w:r>
              <w:rPr>
                <w:rFonts w:ascii="宋体"/>
                <w:szCs w:val="24"/>
              </w:rPr>
              <w:br/>
            </w:r>
            <w:r>
              <w:rPr>
                <w:rFonts w:ascii="宋体" w:hAnsi="宋体" w:cs="宋体" w:hint="eastAsia"/>
                <w:szCs w:val="24"/>
              </w:rPr>
              <w:t>①是否将部门整体的绩效目标细化分解为具体的工作任务；</w:t>
            </w:r>
            <w:r>
              <w:rPr>
                <w:rFonts w:ascii="宋体"/>
                <w:szCs w:val="24"/>
              </w:rPr>
              <w:br/>
            </w:r>
            <w:r>
              <w:rPr>
                <w:rFonts w:ascii="宋体" w:hAnsi="宋体" w:cs="宋体" w:hint="eastAsia"/>
                <w:szCs w:val="24"/>
              </w:rPr>
              <w:t>②是否通过清晰、可衡量的指标值予以体现。</w:t>
            </w:r>
            <w:r>
              <w:rPr>
                <w:rFonts w:ascii="宋体" w:hAnsi="宋体" w:cs="宋体"/>
                <w:szCs w:val="24"/>
              </w:rPr>
              <w:t xml:space="preserve">    </w:t>
            </w:r>
            <w:r>
              <w:rPr>
                <w:rFonts w:ascii="宋体" w:hAnsi="宋体" w:cs="宋体" w:hint="eastAsia"/>
                <w:szCs w:val="24"/>
              </w:rPr>
              <w:t>③是否与部门年度的任务数或计划数相对应；</w:t>
            </w:r>
            <w:r>
              <w:rPr>
                <w:rFonts w:ascii="宋体"/>
                <w:szCs w:val="24"/>
              </w:rPr>
              <w:br/>
            </w:r>
            <w:r>
              <w:rPr>
                <w:rFonts w:ascii="宋体" w:hAnsi="宋体" w:cs="宋体" w:hint="eastAsia"/>
                <w:szCs w:val="24"/>
              </w:rPr>
              <w:t>④是否与本年度部门预算资金相匹配。</w:t>
            </w:r>
          </w:p>
        </w:tc>
      </w:tr>
      <w:tr w:rsidR="00C76734" w:rsidTr="009D0833">
        <w:trPr>
          <w:trHeight w:val="1246"/>
          <w:jc w:val="center"/>
        </w:trPr>
        <w:tc>
          <w:tcPr>
            <w:tcW w:w="307" w:type="pct"/>
            <w:vMerge/>
            <w:vAlign w:val="center"/>
          </w:tcPr>
          <w:p w:rsidR="00C76734" w:rsidRDefault="00C76734">
            <w:pPr>
              <w:spacing w:line="240" w:lineRule="exact"/>
              <w:rPr>
                <w:rFonts w:ascii="宋体"/>
                <w:szCs w:val="24"/>
              </w:rPr>
            </w:pPr>
          </w:p>
        </w:tc>
        <w:tc>
          <w:tcPr>
            <w:tcW w:w="375" w:type="pct"/>
            <w:vMerge w:val="restar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预算</w:t>
            </w:r>
            <w:r>
              <w:rPr>
                <w:rFonts w:ascii="宋体"/>
                <w:szCs w:val="24"/>
              </w:rPr>
              <w:br/>
            </w:r>
            <w:r>
              <w:rPr>
                <w:rFonts w:ascii="宋体" w:hAnsi="宋体" w:cs="宋体" w:hint="eastAsia"/>
                <w:szCs w:val="24"/>
              </w:rPr>
              <w:t>配置（</w:t>
            </w:r>
            <w:r>
              <w:rPr>
                <w:rFonts w:ascii="宋体" w:hAnsi="宋体" w:cs="宋体"/>
                <w:szCs w:val="24"/>
              </w:rPr>
              <w:t>15</w:t>
            </w:r>
            <w:r>
              <w:rPr>
                <w:rFonts w:ascii="宋体" w:hAnsi="宋体" w:cs="宋体" w:hint="eastAsia"/>
                <w:szCs w:val="24"/>
              </w:rPr>
              <w:t>分）</w:t>
            </w: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在职人员</w:t>
            </w:r>
          </w:p>
          <w:p w:rsidR="00C76734" w:rsidRDefault="00316AB5">
            <w:pPr>
              <w:spacing w:line="240" w:lineRule="exact"/>
              <w:jc w:val="center"/>
              <w:rPr>
                <w:rFonts w:ascii="宋体"/>
                <w:szCs w:val="24"/>
              </w:rPr>
            </w:pPr>
            <w:r>
              <w:rPr>
                <w:rFonts w:ascii="宋体" w:hAnsi="宋体" w:cs="宋体" w:hint="eastAsia"/>
                <w:szCs w:val="24"/>
              </w:rPr>
              <w:t>控制率（</w:t>
            </w:r>
            <w:r>
              <w:rPr>
                <w:rFonts w:ascii="宋体" w:hAnsi="宋体" w:cs="宋体"/>
                <w:szCs w:val="24"/>
              </w:rPr>
              <w:t>5</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color w:val="000000"/>
                <w:szCs w:val="24"/>
              </w:rPr>
            </w:pPr>
            <w:r>
              <w:rPr>
                <w:rFonts w:ascii="宋体" w:cs="宋体"/>
                <w:color w:val="000000"/>
                <w:szCs w:val="24"/>
              </w:rPr>
              <w:t>4</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在职人员控制率</w:t>
            </w:r>
            <w:r>
              <w:rPr>
                <w:rFonts w:ascii="宋体" w:hAnsi="宋体" w:cs="宋体"/>
                <w:szCs w:val="24"/>
              </w:rPr>
              <w:t>=</w:t>
            </w:r>
            <w:r>
              <w:rPr>
                <w:rFonts w:ascii="宋体" w:hAnsi="宋体" w:cs="宋体" w:hint="eastAsia"/>
                <w:szCs w:val="24"/>
              </w:rPr>
              <w:t>（在职人员数</w:t>
            </w:r>
            <w:r>
              <w:rPr>
                <w:rFonts w:ascii="宋体" w:hAnsi="宋体" w:cs="宋体"/>
                <w:szCs w:val="24"/>
              </w:rPr>
              <w:t>/</w:t>
            </w:r>
            <w:r>
              <w:rPr>
                <w:rFonts w:ascii="宋体" w:hAnsi="宋体" w:cs="宋体" w:hint="eastAsia"/>
                <w:szCs w:val="24"/>
              </w:rPr>
              <w:t>编制数）×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在职人员数：部门实际在职人数，以财政部确定的部门决算编制口径为准。</w:t>
            </w:r>
            <w:r>
              <w:rPr>
                <w:rFonts w:ascii="宋体"/>
                <w:szCs w:val="24"/>
              </w:rPr>
              <w:br/>
            </w:r>
            <w:r>
              <w:rPr>
                <w:rFonts w:ascii="宋体" w:hAnsi="宋体" w:cs="宋体" w:hint="eastAsia"/>
                <w:szCs w:val="24"/>
              </w:rPr>
              <w:t>编制数：机构编制部门核定批复的部门的人员编制数。</w:t>
            </w:r>
          </w:p>
        </w:tc>
      </w:tr>
      <w:tr w:rsidR="00C76734">
        <w:trPr>
          <w:trHeight w:val="2030"/>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“三公经费”</w:t>
            </w:r>
          </w:p>
          <w:p w:rsidR="00C76734" w:rsidRDefault="00316AB5">
            <w:pPr>
              <w:spacing w:line="240" w:lineRule="exact"/>
              <w:jc w:val="center"/>
              <w:rPr>
                <w:rFonts w:ascii="宋体"/>
                <w:szCs w:val="24"/>
              </w:rPr>
            </w:pPr>
            <w:r>
              <w:rPr>
                <w:rFonts w:ascii="宋体" w:hAnsi="宋体" w:cs="宋体" w:hint="eastAsia"/>
                <w:szCs w:val="24"/>
              </w:rPr>
              <w:t>变动率（</w:t>
            </w:r>
            <w:r>
              <w:rPr>
                <w:rFonts w:ascii="宋体" w:hAnsi="宋体" w:cs="宋体"/>
                <w:szCs w:val="24"/>
              </w:rPr>
              <w:t>5</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“三公经费”变动率</w:t>
            </w:r>
            <w:r>
              <w:rPr>
                <w:rFonts w:ascii="宋体" w:hAnsi="宋体" w:cs="宋体"/>
                <w:szCs w:val="24"/>
              </w:rPr>
              <w:t>=[</w:t>
            </w:r>
            <w:r>
              <w:rPr>
                <w:rFonts w:ascii="宋体" w:hAnsi="宋体" w:cs="宋体" w:hint="eastAsia"/>
                <w:szCs w:val="24"/>
              </w:rPr>
              <w:t>（本年度“三公经费”总额</w:t>
            </w:r>
            <w:r>
              <w:rPr>
                <w:rFonts w:ascii="宋体" w:cs="宋体"/>
                <w:szCs w:val="24"/>
              </w:rPr>
              <w:t>-</w:t>
            </w:r>
            <w:r>
              <w:rPr>
                <w:rFonts w:ascii="宋体" w:hAnsi="宋体" w:cs="宋体" w:hint="eastAsia"/>
                <w:szCs w:val="24"/>
              </w:rPr>
              <w:t>上年度“三公经费”总额）</w:t>
            </w:r>
            <w:r>
              <w:rPr>
                <w:rFonts w:ascii="宋体" w:hAnsi="宋体" w:cs="宋体"/>
                <w:szCs w:val="24"/>
              </w:rPr>
              <w:t>/</w:t>
            </w:r>
            <w:r>
              <w:rPr>
                <w:rFonts w:ascii="宋体" w:hAnsi="宋体" w:cs="宋体" w:hint="eastAsia"/>
                <w:szCs w:val="24"/>
              </w:rPr>
              <w:t>上年度“三公经费”总额</w:t>
            </w:r>
            <w:r>
              <w:rPr>
                <w:rFonts w:ascii="宋体" w:hAnsi="宋体" w:cs="宋体"/>
                <w:szCs w:val="24"/>
              </w:rPr>
              <w:t>]</w:t>
            </w:r>
            <w:r>
              <w:rPr>
                <w:rFonts w:ascii="宋体" w:hAnsi="宋体" w:cs="宋体" w:hint="eastAsia"/>
                <w:szCs w:val="24"/>
              </w:rPr>
              <w:t>×</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“三公经费”：年度预算安排的因公出国（境）费、公务车辆购置及运行费和公务招待费。</w:t>
            </w:r>
          </w:p>
        </w:tc>
      </w:tr>
      <w:tr w:rsidR="00C76734" w:rsidTr="009D0833">
        <w:trPr>
          <w:trHeight w:val="2014"/>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重点支出</w:t>
            </w:r>
          </w:p>
          <w:p w:rsidR="00C76734" w:rsidRDefault="00316AB5">
            <w:pPr>
              <w:spacing w:line="240" w:lineRule="exact"/>
              <w:jc w:val="center"/>
              <w:rPr>
                <w:rFonts w:ascii="宋体"/>
                <w:szCs w:val="24"/>
              </w:rPr>
            </w:pPr>
            <w:r>
              <w:rPr>
                <w:rFonts w:ascii="宋体" w:hAnsi="宋体" w:cs="宋体" w:hint="eastAsia"/>
                <w:szCs w:val="24"/>
              </w:rPr>
              <w:t>安排率（</w:t>
            </w:r>
            <w:r>
              <w:rPr>
                <w:rFonts w:ascii="宋体" w:hAnsi="宋体" w:cs="宋体"/>
                <w:szCs w:val="24"/>
              </w:rPr>
              <w:t>5</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重点支出安排率</w:t>
            </w:r>
            <w:r>
              <w:rPr>
                <w:rFonts w:ascii="宋体" w:hAnsi="宋体" w:cs="宋体"/>
                <w:szCs w:val="24"/>
              </w:rPr>
              <w:t>=</w:t>
            </w:r>
            <w:r>
              <w:rPr>
                <w:rFonts w:ascii="宋体" w:hAnsi="宋体" w:cs="宋体" w:hint="eastAsia"/>
                <w:szCs w:val="24"/>
              </w:rPr>
              <w:t>（重点预算支出</w:t>
            </w:r>
            <w:r>
              <w:rPr>
                <w:rFonts w:ascii="宋体" w:hAnsi="宋体" w:cs="宋体"/>
                <w:szCs w:val="24"/>
              </w:rPr>
              <w:t>/</w:t>
            </w:r>
            <w:r>
              <w:rPr>
                <w:rFonts w:ascii="宋体" w:hAnsi="宋体" w:cs="宋体" w:hint="eastAsia"/>
                <w:szCs w:val="24"/>
              </w:rPr>
              <w:t>预算总支出）×</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重点预算支出：部门年度预算安排的，与本部门履职和发展密切相关、具有明显社会和经济影响、党委政府关心或社会比较关注的预算支出支出总额。</w:t>
            </w:r>
            <w:r>
              <w:rPr>
                <w:rFonts w:ascii="宋体"/>
                <w:szCs w:val="24"/>
              </w:rPr>
              <w:br/>
            </w:r>
            <w:r>
              <w:rPr>
                <w:rFonts w:ascii="宋体" w:hAnsi="宋体" w:cs="宋体" w:hint="eastAsia"/>
                <w:szCs w:val="24"/>
              </w:rPr>
              <w:t>预算总支出：部门年度预算安排的预算支出支出总额。</w:t>
            </w:r>
          </w:p>
        </w:tc>
      </w:tr>
      <w:tr w:rsidR="00C76734">
        <w:trPr>
          <w:trHeight w:val="1462"/>
          <w:jc w:val="center"/>
        </w:trPr>
        <w:tc>
          <w:tcPr>
            <w:tcW w:w="307" w:type="pct"/>
            <w:vMerge w:val="restart"/>
            <w:noWrap/>
            <w:tcMar>
              <w:top w:w="10" w:type="dxa"/>
              <w:left w:w="10" w:type="dxa"/>
              <w:bottom w:w="0" w:type="dxa"/>
              <w:right w:w="10" w:type="dxa"/>
            </w:tcMar>
            <w:textDirection w:val="tbRlV"/>
            <w:vAlign w:val="center"/>
          </w:tcPr>
          <w:p w:rsidR="00C76734" w:rsidRDefault="00316AB5">
            <w:pPr>
              <w:spacing w:line="240" w:lineRule="exact"/>
              <w:jc w:val="center"/>
              <w:rPr>
                <w:rFonts w:ascii="宋体"/>
                <w:szCs w:val="24"/>
              </w:rPr>
            </w:pPr>
            <w:r>
              <w:rPr>
                <w:rFonts w:ascii="宋体" w:hAnsi="宋体" w:cs="宋体" w:hint="eastAsia"/>
                <w:szCs w:val="24"/>
              </w:rPr>
              <w:lastRenderedPageBreak/>
              <w:t>过</w:t>
            </w:r>
            <w:r>
              <w:rPr>
                <w:rFonts w:ascii="宋体" w:hAnsi="宋体" w:cs="宋体"/>
                <w:szCs w:val="24"/>
              </w:rPr>
              <w:t xml:space="preserve">   </w:t>
            </w:r>
            <w:r>
              <w:rPr>
                <w:rFonts w:ascii="宋体" w:hAnsi="宋体" w:cs="宋体" w:hint="eastAsia"/>
                <w:szCs w:val="24"/>
              </w:rPr>
              <w:t>程（</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预算</w:t>
            </w:r>
            <w:r>
              <w:rPr>
                <w:rFonts w:ascii="宋体"/>
                <w:szCs w:val="24"/>
              </w:rPr>
              <w:br/>
            </w:r>
            <w:r>
              <w:rPr>
                <w:rFonts w:ascii="宋体" w:hAnsi="宋体" w:cs="宋体" w:hint="eastAsia"/>
                <w:szCs w:val="24"/>
              </w:rPr>
              <w:t>执行（</w:t>
            </w:r>
            <w:r>
              <w:rPr>
                <w:rFonts w:ascii="宋体" w:hAnsi="宋体" w:cs="宋体"/>
                <w:szCs w:val="24"/>
              </w:rPr>
              <w:t>20</w:t>
            </w:r>
            <w:r>
              <w:rPr>
                <w:rFonts w:ascii="宋体" w:hAnsi="宋体" w:cs="宋体" w:hint="eastAsia"/>
                <w:szCs w:val="24"/>
              </w:rPr>
              <w:t>分）</w:t>
            </w: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预算</w:t>
            </w:r>
          </w:p>
          <w:p w:rsidR="00C76734" w:rsidRDefault="00316AB5">
            <w:pPr>
              <w:spacing w:line="240" w:lineRule="exact"/>
              <w:jc w:val="center"/>
              <w:rPr>
                <w:rFonts w:ascii="宋体"/>
                <w:szCs w:val="24"/>
              </w:rPr>
            </w:pPr>
            <w:r>
              <w:rPr>
                <w:rFonts w:ascii="宋体" w:hAnsi="宋体" w:cs="宋体" w:hint="eastAsia"/>
                <w:szCs w:val="24"/>
              </w:rPr>
              <w:t>执行率（</w:t>
            </w:r>
            <w:r>
              <w:rPr>
                <w:rFonts w:ascii="宋体" w:hAnsi="宋体" w:cs="宋体"/>
                <w:szCs w:val="24"/>
              </w:rPr>
              <w:t>4</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rsidR="00C76734" w:rsidRDefault="00316AB5" w:rsidP="009D0833">
            <w:pPr>
              <w:tabs>
                <w:tab w:val="left" w:pos="2604"/>
              </w:tabs>
              <w:spacing w:line="220" w:lineRule="exact"/>
              <w:ind w:leftChars="50" w:left="105" w:rightChars="50" w:right="105" w:firstLineChars="46" w:firstLine="97"/>
              <w:rPr>
                <w:rFonts w:ascii="宋体"/>
                <w:szCs w:val="24"/>
              </w:rPr>
            </w:pPr>
            <w:r>
              <w:rPr>
                <w:rFonts w:ascii="宋体" w:hAnsi="宋体" w:cs="宋体" w:hint="eastAsia"/>
                <w:szCs w:val="24"/>
              </w:rPr>
              <w:t>部门本年度预算完成数与预算数的比率，用以反映和考核部门预算完成程度。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预算执行率</w:t>
            </w:r>
            <w:r>
              <w:rPr>
                <w:rFonts w:ascii="宋体" w:hAnsi="宋体" w:cs="宋体"/>
                <w:szCs w:val="24"/>
              </w:rPr>
              <w:t>=</w:t>
            </w:r>
            <w:r>
              <w:rPr>
                <w:rFonts w:ascii="宋体" w:hAnsi="宋体" w:cs="宋体" w:hint="eastAsia"/>
                <w:szCs w:val="24"/>
              </w:rPr>
              <w:t>（预算执行数</w:t>
            </w:r>
            <w:r>
              <w:rPr>
                <w:rFonts w:ascii="宋体" w:hAnsi="宋体" w:cs="宋体"/>
                <w:szCs w:val="24"/>
              </w:rPr>
              <w:t>/</w:t>
            </w:r>
            <w:r>
              <w:rPr>
                <w:rFonts w:ascii="宋体" w:hAnsi="宋体" w:cs="宋体" w:hint="eastAsia"/>
                <w:szCs w:val="24"/>
              </w:rPr>
              <w:t>预算数）×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预算执行数：部门本年度实际完成的预算数。</w:t>
            </w:r>
            <w:r>
              <w:rPr>
                <w:rFonts w:ascii="宋体"/>
                <w:szCs w:val="24"/>
              </w:rPr>
              <w:br/>
            </w:r>
            <w:r>
              <w:rPr>
                <w:rFonts w:ascii="宋体" w:hAnsi="宋体" w:cs="宋体" w:hint="eastAsia"/>
                <w:szCs w:val="24"/>
              </w:rPr>
              <w:t>预算数：财政部门批复的本年度部门预算数。</w:t>
            </w:r>
          </w:p>
        </w:tc>
      </w:tr>
      <w:tr w:rsidR="00C76734">
        <w:trPr>
          <w:trHeight w:val="1824"/>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jc w:val="center"/>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预算</w:t>
            </w:r>
          </w:p>
          <w:p w:rsidR="00C76734" w:rsidRDefault="00316AB5">
            <w:pPr>
              <w:spacing w:line="240" w:lineRule="exact"/>
              <w:jc w:val="center"/>
              <w:rPr>
                <w:rFonts w:ascii="宋体"/>
                <w:szCs w:val="24"/>
              </w:rPr>
            </w:pPr>
            <w:r>
              <w:rPr>
                <w:rFonts w:ascii="宋体" w:hAnsi="宋体" w:cs="宋体" w:hint="eastAsia"/>
                <w:szCs w:val="24"/>
              </w:rPr>
              <w:t>调整率（</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rsidR="00C76734" w:rsidRDefault="00316AB5" w:rsidP="009D0833">
            <w:pPr>
              <w:tabs>
                <w:tab w:val="left" w:pos="2604"/>
              </w:tabs>
              <w:spacing w:line="220" w:lineRule="exact"/>
              <w:ind w:leftChars="50" w:left="105" w:rightChars="50" w:right="105" w:firstLineChars="46" w:firstLine="97"/>
              <w:rPr>
                <w:rFonts w:ascii="宋体"/>
                <w:szCs w:val="24"/>
              </w:rPr>
            </w:pPr>
            <w:r>
              <w:rPr>
                <w:rFonts w:ascii="宋体" w:hAnsi="宋体" w:cs="宋体" w:hint="eastAsia"/>
                <w:szCs w:val="24"/>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预算调整率</w:t>
            </w:r>
            <w:r>
              <w:rPr>
                <w:rFonts w:ascii="宋体" w:hAnsi="宋体" w:cs="宋体"/>
                <w:szCs w:val="24"/>
              </w:rPr>
              <w:t>=</w:t>
            </w:r>
            <w:r>
              <w:rPr>
                <w:rFonts w:ascii="宋体" w:hAnsi="宋体" w:cs="宋体" w:hint="eastAsia"/>
                <w:szCs w:val="24"/>
              </w:rPr>
              <w:t>（预算调整数</w:t>
            </w:r>
            <w:r>
              <w:rPr>
                <w:rFonts w:ascii="宋体" w:hAnsi="宋体" w:cs="宋体"/>
                <w:szCs w:val="24"/>
              </w:rPr>
              <w:t>/</w:t>
            </w:r>
            <w:r>
              <w:rPr>
                <w:rFonts w:ascii="宋体" w:hAnsi="宋体" w:cs="宋体" w:hint="eastAsia"/>
                <w:szCs w:val="24"/>
              </w:rPr>
              <w:t>预算数）×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预算调整数：部门在本年度内涉及预算的追加、追减或结构调整的资金总和（因落实国家政策、发生不可抗力、上级部门或本级党委政府临时交办而产生的调整除外）。</w:t>
            </w:r>
          </w:p>
        </w:tc>
      </w:tr>
      <w:tr w:rsidR="00C76734" w:rsidTr="009D0833">
        <w:trPr>
          <w:trHeight w:val="2089"/>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jc w:val="center"/>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支付</w:t>
            </w:r>
          </w:p>
          <w:p w:rsidR="00C76734" w:rsidRDefault="00316AB5">
            <w:pPr>
              <w:spacing w:line="240" w:lineRule="exact"/>
              <w:jc w:val="center"/>
              <w:rPr>
                <w:rFonts w:ascii="宋体"/>
                <w:szCs w:val="24"/>
              </w:rPr>
            </w:pPr>
            <w:r>
              <w:rPr>
                <w:rFonts w:ascii="宋体" w:hAnsi="宋体" w:cs="宋体" w:hint="eastAsia"/>
                <w:szCs w:val="24"/>
              </w:rPr>
              <w:t>进度率（</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color w:val="000000"/>
                <w:szCs w:val="24"/>
              </w:rPr>
            </w:pPr>
            <w:r>
              <w:rPr>
                <w:rFonts w:ascii="宋体" w:cs="宋体"/>
                <w:color w:val="000000"/>
                <w:szCs w:val="24"/>
              </w:rPr>
              <w:t>1</w:t>
            </w:r>
          </w:p>
        </w:tc>
        <w:tc>
          <w:tcPr>
            <w:tcW w:w="1576" w:type="pct"/>
            <w:tcMar>
              <w:top w:w="10" w:type="dxa"/>
              <w:left w:w="10" w:type="dxa"/>
              <w:bottom w:w="0" w:type="dxa"/>
              <w:right w:w="10" w:type="dxa"/>
            </w:tcMar>
            <w:vAlign w:val="center"/>
          </w:tcPr>
          <w:p w:rsidR="00C76734" w:rsidRDefault="00316AB5" w:rsidP="009D0833">
            <w:pPr>
              <w:tabs>
                <w:tab w:val="left" w:pos="2604"/>
              </w:tabs>
              <w:spacing w:line="220" w:lineRule="exact"/>
              <w:ind w:leftChars="50" w:left="105" w:rightChars="50" w:right="105" w:firstLineChars="46" w:firstLine="97"/>
              <w:rPr>
                <w:rFonts w:ascii="宋体"/>
                <w:szCs w:val="24"/>
              </w:rPr>
            </w:pPr>
            <w:r>
              <w:rPr>
                <w:rFonts w:ascii="宋体" w:hAnsi="宋体" w:cs="宋体" w:hint="eastAsia"/>
                <w:szCs w:val="24"/>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支付进度率</w:t>
            </w:r>
            <w:r>
              <w:rPr>
                <w:rFonts w:ascii="宋体" w:hAnsi="宋体" w:cs="宋体"/>
                <w:szCs w:val="24"/>
              </w:rPr>
              <w:t>=</w:t>
            </w:r>
            <w:r>
              <w:rPr>
                <w:rFonts w:ascii="宋体" w:hAnsi="宋体" w:cs="宋体" w:hint="eastAsia"/>
                <w:szCs w:val="24"/>
              </w:rPr>
              <w:t>（实际支付进度</w:t>
            </w:r>
            <w:r>
              <w:rPr>
                <w:rFonts w:ascii="宋体" w:hAnsi="宋体" w:cs="宋体"/>
                <w:szCs w:val="24"/>
              </w:rPr>
              <w:t>/</w:t>
            </w:r>
            <w:r>
              <w:rPr>
                <w:rFonts w:ascii="宋体" w:hAnsi="宋体" w:cs="宋体" w:hint="eastAsia"/>
                <w:szCs w:val="24"/>
              </w:rPr>
              <w:t>既定支付进度）×</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实际支付进度：部门在某一时点的支出预算执行总数与年度支出预算数的比率。</w:t>
            </w:r>
            <w:r>
              <w:rPr>
                <w:rFonts w:ascii="宋体"/>
                <w:szCs w:val="24"/>
              </w:rPr>
              <w:br/>
            </w:r>
            <w:r>
              <w:rPr>
                <w:rFonts w:ascii="宋体" w:hAnsi="宋体" w:cs="宋体" w:hint="eastAsia"/>
                <w:szCs w:val="24"/>
              </w:rPr>
              <w:t>既定支付进度：由部门在申报部门整体绩效目标时，参照序时支付进度、前三年支付进度、本级部门平均支付进度水平等确定的，在某一时点应达到的支付进度（比率）。</w:t>
            </w:r>
          </w:p>
        </w:tc>
      </w:tr>
      <w:tr w:rsidR="00C76734" w:rsidTr="009D0833">
        <w:trPr>
          <w:trHeight w:val="858"/>
          <w:jc w:val="center"/>
        </w:trPr>
        <w:tc>
          <w:tcPr>
            <w:tcW w:w="307" w:type="pct"/>
            <w:vMerge/>
            <w:noWrap/>
            <w:tcMar>
              <w:top w:w="10" w:type="dxa"/>
              <w:left w:w="10" w:type="dxa"/>
              <w:bottom w:w="0" w:type="dxa"/>
              <w:right w:w="10" w:type="dxa"/>
            </w:tcMar>
            <w:textDirection w:val="tbRlV"/>
            <w:vAlign w:val="center"/>
          </w:tcPr>
          <w:p w:rsidR="00C76734" w:rsidRDefault="00C76734">
            <w:pPr>
              <w:spacing w:line="240" w:lineRule="exact"/>
              <w:jc w:val="center"/>
              <w:rPr>
                <w:rFonts w:ascii="宋体"/>
                <w:szCs w:val="24"/>
              </w:rPr>
            </w:pPr>
          </w:p>
        </w:tc>
        <w:tc>
          <w:tcPr>
            <w:tcW w:w="375" w:type="pct"/>
            <w:vMerge/>
            <w:tcMar>
              <w:top w:w="10" w:type="dxa"/>
              <w:left w:w="10" w:type="dxa"/>
              <w:bottom w:w="0" w:type="dxa"/>
              <w:right w:w="10" w:type="dxa"/>
            </w:tcMar>
            <w:vAlign w:val="center"/>
          </w:tcPr>
          <w:p w:rsidR="00C76734" w:rsidRDefault="00C76734">
            <w:pPr>
              <w:spacing w:line="240" w:lineRule="exact"/>
              <w:jc w:val="center"/>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color w:val="000000"/>
                <w:szCs w:val="24"/>
              </w:rPr>
            </w:pPr>
            <w:r>
              <w:rPr>
                <w:rFonts w:ascii="宋体" w:hAnsi="宋体" w:cs="宋体" w:hint="eastAsia"/>
                <w:color w:val="000000"/>
                <w:szCs w:val="24"/>
              </w:rPr>
              <w:t>结转</w:t>
            </w:r>
          </w:p>
          <w:p w:rsidR="00C76734" w:rsidRDefault="00316AB5">
            <w:pPr>
              <w:spacing w:line="240" w:lineRule="exact"/>
              <w:jc w:val="center"/>
              <w:rPr>
                <w:rFonts w:ascii="宋体"/>
                <w:color w:val="000000"/>
                <w:szCs w:val="24"/>
              </w:rPr>
            </w:pPr>
            <w:r>
              <w:rPr>
                <w:rFonts w:ascii="宋体" w:hAnsi="宋体" w:cs="宋体" w:hint="eastAsia"/>
                <w:color w:val="000000"/>
                <w:szCs w:val="24"/>
              </w:rPr>
              <w:t>结余率（</w:t>
            </w:r>
            <w:r>
              <w:rPr>
                <w:rFonts w:ascii="宋体" w:hAnsi="宋体" w:cs="宋体"/>
                <w:color w:val="000000"/>
                <w:szCs w:val="24"/>
              </w:rPr>
              <w:t>2</w:t>
            </w:r>
            <w:r>
              <w:rPr>
                <w:rFonts w:ascii="宋体" w:hAnsi="宋体" w:cs="宋体" w:hint="eastAsia"/>
                <w:color w:val="000000"/>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color w:val="000000"/>
                <w:szCs w:val="24"/>
              </w:rPr>
            </w:pPr>
            <w:r>
              <w:rPr>
                <w:rFonts w:ascii="宋体" w:cs="宋体"/>
                <w:color w:val="000000"/>
                <w:szCs w:val="24"/>
              </w:rPr>
              <w:t>1</w:t>
            </w:r>
          </w:p>
        </w:tc>
        <w:tc>
          <w:tcPr>
            <w:tcW w:w="1576" w:type="pct"/>
            <w:tcMar>
              <w:top w:w="10" w:type="dxa"/>
              <w:left w:w="10" w:type="dxa"/>
              <w:bottom w:w="0" w:type="dxa"/>
              <w:right w:w="10" w:type="dxa"/>
            </w:tcMar>
            <w:vAlign w:val="center"/>
          </w:tcPr>
          <w:p w:rsidR="00C76734" w:rsidRDefault="00316AB5" w:rsidP="009D0833">
            <w:pPr>
              <w:tabs>
                <w:tab w:val="left" w:pos="2604"/>
              </w:tabs>
              <w:spacing w:line="220" w:lineRule="exact"/>
              <w:ind w:leftChars="50" w:left="105" w:rightChars="50" w:right="105" w:firstLineChars="46" w:firstLine="97"/>
              <w:rPr>
                <w:rFonts w:ascii="宋体"/>
                <w:szCs w:val="24"/>
              </w:rPr>
            </w:pPr>
            <w:r>
              <w:rPr>
                <w:rFonts w:ascii="宋体" w:hAnsi="宋体" w:cs="宋体" w:hint="eastAsia"/>
                <w:szCs w:val="24"/>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结转结余率</w:t>
            </w:r>
            <w:r>
              <w:rPr>
                <w:rFonts w:ascii="宋体" w:hAnsi="宋体" w:cs="宋体"/>
                <w:szCs w:val="24"/>
              </w:rPr>
              <w:t>=</w:t>
            </w:r>
            <w:r>
              <w:rPr>
                <w:rFonts w:ascii="宋体" w:hAnsi="宋体" w:cs="宋体" w:hint="eastAsia"/>
                <w:szCs w:val="24"/>
              </w:rPr>
              <w:t>结转结余总额</w:t>
            </w:r>
            <w:r>
              <w:rPr>
                <w:rFonts w:ascii="宋体" w:hAnsi="宋体" w:cs="宋体"/>
                <w:szCs w:val="24"/>
              </w:rPr>
              <w:t>/</w:t>
            </w:r>
            <w:r>
              <w:rPr>
                <w:rFonts w:ascii="宋体" w:hAnsi="宋体" w:cs="宋体" w:hint="eastAsia"/>
                <w:szCs w:val="24"/>
              </w:rPr>
              <w:t>支出预算数×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结转结余总额：部门本年度的结转资金与结余资金之和（以决算数为准）。</w:t>
            </w:r>
          </w:p>
        </w:tc>
      </w:tr>
      <w:tr w:rsidR="00C76734" w:rsidTr="009D0833">
        <w:trPr>
          <w:trHeight w:val="867"/>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结转结余</w:t>
            </w:r>
          </w:p>
          <w:p w:rsidR="00C76734" w:rsidRDefault="00316AB5">
            <w:pPr>
              <w:spacing w:line="240" w:lineRule="exact"/>
              <w:jc w:val="center"/>
              <w:rPr>
                <w:rFonts w:ascii="宋体"/>
                <w:szCs w:val="24"/>
              </w:rPr>
            </w:pPr>
            <w:r>
              <w:rPr>
                <w:rFonts w:ascii="宋体" w:hAnsi="宋体" w:cs="宋体" w:hint="eastAsia"/>
                <w:szCs w:val="24"/>
              </w:rPr>
              <w:t>变动率（</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rsidR="00C76734" w:rsidRPr="009D0833" w:rsidRDefault="00316AB5" w:rsidP="009D0833">
            <w:pPr>
              <w:tabs>
                <w:tab w:val="left" w:pos="2604"/>
              </w:tabs>
              <w:spacing w:line="220" w:lineRule="exact"/>
              <w:ind w:leftChars="50" w:left="105" w:rightChars="50" w:right="105" w:firstLineChars="46" w:firstLine="89"/>
              <w:rPr>
                <w:rFonts w:ascii="宋体"/>
                <w:spacing w:val="-8"/>
                <w:szCs w:val="24"/>
              </w:rPr>
            </w:pPr>
            <w:r w:rsidRPr="009D0833">
              <w:rPr>
                <w:rFonts w:ascii="宋体" w:hAnsi="宋体" w:cs="宋体" w:hint="eastAsia"/>
                <w:spacing w:val="-8"/>
                <w:szCs w:val="24"/>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结转结余变动率</w:t>
            </w:r>
            <w:r>
              <w:rPr>
                <w:rFonts w:ascii="宋体" w:hAnsi="宋体" w:cs="宋体"/>
                <w:szCs w:val="24"/>
              </w:rPr>
              <w:t>=[</w:t>
            </w:r>
            <w:r>
              <w:rPr>
                <w:rFonts w:ascii="宋体" w:hAnsi="宋体" w:cs="宋体" w:hint="eastAsia"/>
                <w:szCs w:val="24"/>
              </w:rPr>
              <w:t>（本年度累计结转结余资金总额</w:t>
            </w:r>
            <w:r>
              <w:rPr>
                <w:rFonts w:ascii="宋体" w:cs="宋体"/>
                <w:szCs w:val="24"/>
              </w:rPr>
              <w:t>-</w:t>
            </w:r>
            <w:r>
              <w:rPr>
                <w:rFonts w:ascii="宋体" w:hAnsi="宋体" w:cs="宋体" w:hint="eastAsia"/>
                <w:szCs w:val="24"/>
              </w:rPr>
              <w:t>上年度累计结转结余资金总额）</w:t>
            </w:r>
            <w:r>
              <w:rPr>
                <w:rFonts w:ascii="宋体" w:hAnsi="宋体" w:cs="宋体"/>
                <w:szCs w:val="24"/>
              </w:rPr>
              <w:t>/</w:t>
            </w:r>
            <w:r>
              <w:rPr>
                <w:rFonts w:ascii="宋体" w:hAnsi="宋体" w:cs="宋体" w:hint="eastAsia"/>
                <w:szCs w:val="24"/>
              </w:rPr>
              <w:t>上年度累计结转结余资金总额</w:t>
            </w:r>
            <w:r>
              <w:rPr>
                <w:rFonts w:ascii="宋体" w:hAnsi="宋体" w:cs="宋体"/>
                <w:szCs w:val="24"/>
              </w:rPr>
              <w:t>]</w:t>
            </w:r>
            <w:r>
              <w:rPr>
                <w:rFonts w:ascii="宋体" w:hAnsi="宋体" w:cs="宋体" w:hint="eastAsia"/>
                <w:szCs w:val="24"/>
              </w:rPr>
              <w:t>×</w:t>
            </w:r>
            <w:r>
              <w:rPr>
                <w:rFonts w:ascii="宋体" w:hAnsi="宋体" w:cs="宋体"/>
                <w:szCs w:val="24"/>
              </w:rPr>
              <w:t>100%</w:t>
            </w:r>
            <w:r>
              <w:rPr>
                <w:rFonts w:ascii="宋体" w:hAnsi="宋体" w:cs="宋体" w:hint="eastAsia"/>
                <w:szCs w:val="24"/>
              </w:rPr>
              <w:t>。</w:t>
            </w:r>
          </w:p>
        </w:tc>
      </w:tr>
      <w:tr w:rsidR="00C76734" w:rsidTr="009D0833">
        <w:trPr>
          <w:trHeight w:val="1010"/>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公用经费</w:t>
            </w:r>
          </w:p>
          <w:p w:rsidR="00C76734" w:rsidRDefault="00316AB5">
            <w:pPr>
              <w:spacing w:line="240" w:lineRule="exact"/>
              <w:jc w:val="center"/>
              <w:rPr>
                <w:rFonts w:ascii="宋体"/>
                <w:szCs w:val="24"/>
              </w:rPr>
            </w:pPr>
            <w:r>
              <w:rPr>
                <w:rFonts w:ascii="宋体" w:hAnsi="宋体" w:cs="宋体" w:hint="eastAsia"/>
                <w:szCs w:val="24"/>
              </w:rPr>
              <w:t>控制率（</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rsidR="00C76734" w:rsidRPr="009D0833" w:rsidRDefault="00316AB5" w:rsidP="009D0833">
            <w:pPr>
              <w:tabs>
                <w:tab w:val="left" w:pos="2604"/>
              </w:tabs>
              <w:spacing w:line="220" w:lineRule="exact"/>
              <w:ind w:leftChars="50" w:left="105" w:rightChars="50" w:right="105" w:firstLineChars="46" w:firstLine="89"/>
              <w:rPr>
                <w:rFonts w:ascii="宋体"/>
                <w:spacing w:val="-8"/>
                <w:szCs w:val="24"/>
              </w:rPr>
            </w:pPr>
            <w:r w:rsidRPr="009D0833">
              <w:rPr>
                <w:rFonts w:ascii="宋体" w:hAnsi="宋体" w:cs="宋体" w:hint="eastAsia"/>
                <w:spacing w:val="-8"/>
                <w:szCs w:val="24"/>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公用经费控制率</w:t>
            </w:r>
            <w:r>
              <w:rPr>
                <w:rFonts w:ascii="宋体" w:hAnsi="宋体" w:cs="宋体"/>
                <w:szCs w:val="24"/>
              </w:rPr>
              <w:t>=</w:t>
            </w:r>
            <w:r>
              <w:rPr>
                <w:rFonts w:ascii="宋体" w:hAnsi="宋体" w:cs="宋体" w:hint="eastAsia"/>
                <w:szCs w:val="24"/>
              </w:rPr>
              <w:t>（实际支出公用经费总额</w:t>
            </w:r>
            <w:r>
              <w:rPr>
                <w:rFonts w:ascii="宋体" w:hAnsi="宋体" w:cs="宋体"/>
                <w:szCs w:val="24"/>
              </w:rPr>
              <w:t>/</w:t>
            </w:r>
            <w:r>
              <w:rPr>
                <w:rFonts w:ascii="宋体" w:hAnsi="宋体" w:cs="宋体" w:hint="eastAsia"/>
                <w:szCs w:val="24"/>
              </w:rPr>
              <w:t>预算安排公用经费总额）×</w:t>
            </w:r>
            <w:r>
              <w:rPr>
                <w:rFonts w:ascii="宋体" w:hAnsi="宋体" w:cs="宋体"/>
                <w:szCs w:val="24"/>
              </w:rPr>
              <w:t>100%</w:t>
            </w:r>
            <w:r>
              <w:rPr>
                <w:rFonts w:ascii="宋体" w:hAnsi="宋体" w:cs="宋体" w:hint="eastAsia"/>
                <w:szCs w:val="24"/>
              </w:rPr>
              <w:t>。</w:t>
            </w:r>
          </w:p>
        </w:tc>
      </w:tr>
      <w:tr w:rsidR="00C76734">
        <w:trPr>
          <w:trHeight w:val="1018"/>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jc w:val="center"/>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“三公经费”控制率（</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rsidR="00C76734" w:rsidRDefault="00316AB5" w:rsidP="009D0833">
            <w:pPr>
              <w:tabs>
                <w:tab w:val="left" w:pos="2604"/>
              </w:tabs>
              <w:spacing w:line="220" w:lineRule="exact"/>
              <w:ind w:leftChars="50" w:left="105" w:rightChars="50" w:right="105" w:firstLineChars="46" w:firstLine="97"/>
              <w:rPr>
                <w:rFonts w:ascii="宋体"/>
                <w:szCs w:val="24"/>
              </w:rPr>
            </w:pPr>
            <w:r>
              <w:rPr>
                <w:rFonts w:ascii="宋体" w:hAnsi="宋体" w:cs="宋体" w:hint="eastAsia"/>
                <w:szCs w:val="24"/>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“三公经费”控制率</w:t>
            </w:r>
            <w:r>
              <w:rPr>
                <w:rFonts w:ascii="宋体" w:hAnsi="宋体" w:cs="宋体"/>
                <w:szCs w:val="24"/>
              </w:rPr>
              <w:t>=</w:t>
            </w:r>
            <w:r>
              <w:rPr>
                <w:rFonts w:ascii="宋体" w:hAnsi="宋体" w:cs="宋体" w:hint="eastAsia"/>
                <w:szCs w:val="24"/>
              </w:rPr>
              <w:t>（“三公经费”实际支出数</w:t>
            </w:r>
            <w:r>
              <w:rPr>
                <w:rFonts w:ascii="宋体" w:hAnsi="宋体" w:cs="宋体"/>
                <w:szCs w:val="24"/>
              </w:rPr>
              <w:t>/</w:t>
            </w:r>
            <w:r>
              <w:rPr>
                <w:rFonts w:ascii="宋体" w:hAnsi="宋体" w:cs="宋体" w:hint="eastAsia"/>
                <w:szCs w:val="24"/>
              </w:rPr>
              <w:t>“三公经费”预算安排数）×</w:t>
            </w:r>
            <w:r>
              <w:rPr>
                <w:rFonts w:ascii="宋体" w:hAnsi="宋体" w:cs="宋体"/>
                <w:szCs w:val="24"/>
              </w:rPr>
              <w:t>100%</w:t>
            </w:r>
            <w:r>
              <w:rPr>
                <w:rFonts w:ascii="宋体" w:hAnsi="宋体" w:cs="宋体" w:hint="eastAsia"/>
                <w:szCs w:val="24"/>
              </w:rPr>
              <w:t>。</w:t>
            </w:r>
          </w:p>
        </w:tc>
      </w:tr>
      <w:tr w:rsidR="00C76734" w:rsidTr="009D0833">
        <w:trPr>
          <w:trHeight w:val="1022"/>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政府采购</w:t>
            </w:r>
          </w:p>
          <w:p w:rsidR="00C76734" w:rsidRDefault="00316AB5">
            <w:pPr>
              <w:spacing w:line="240" w:lineRule="exact"/>
              <w:jc w:val="center"/>
              <w:rPr>
                <w:rFonts w:ascii="宋体"/>
                <w:szCs w:val="24"/>
              </w:rPr>
            </w:pPr>
            <w:r>
              <w:rPr>
                <w:rFonts w:ascii="宋体" w:hAnsi="宋体" w:cs="宋体" w:hint="eastAsia"/>
                <w:szCs w:val="24"/>
              </w:rPr>
              <w:t>执行率（</w:t>
            </w:r>
            <w:r>
              <w:rPr>
                <w:rFonts w:ascii="宋体" w:hAnsi="宋体" w:cs="宋体"/>
                <w:szCs w:val="24"/>
              </w:rPr>
              <w:t>4</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rsidR="00C76734" w:rsidRDefault="00316AB5" w:rsidP="009D0833">
            <w:pPr>
              <w:tabs>
                <w:tab w:val="left" w:pos="2604"/>
              </w:tabs>
              <w:spacing w:line="220" w:lineRule="exact"/>
              <w:ind w:leftChars="50" w:left="105" w:rightChars="50" w:right="105" w:firstLineChars="46" w:firstLine="97"/>
              <w:rPr>
                <w:rFonts w:ascii="宋体"/>
                <w:szCs w:val="24"/>
              </w:rPr>
            </w:pPr>
            <w:r>
              <w:rPr>
                <w:rFonts w:ascii="宋体" w:hAnsi="宋体" w:cs="宋体" w:hint="eastAsia"/>
                <w:szCs w:val="24"/>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政府采购执行率</w:t>
            </w:r>
            <w:r>
              <w:rPr>
                <w:rFonts w:ascii="宋体" w:hAnsi="宋体" w:cs="宋体"/>
                <w:szCs w:val="24"/>
              </w:rPr>
              <w:t>=</w:t>
            </w:r>
            <w:r>
              <w:rPr>
                <w:rFonts w:ascii="宋体" w:hAnsi="宋体" w:cs="宋体" w:hint="eastAsia"/>
                <w:szCs w:val="24"/>
              </w:rPr>
              <w:t>（实际政府采购金额</w:t>
            </w:r>
            <w:r>
              <w:rPr>
                <w:rFonts w:ascii="宋体" w:hAnsi="宋体" w:cs="宋体"/>
                <w:szCs w:val="24"/>
              </w:rPr>
              <w:t>/</w:t>
            </w:r>
            <w:r>
              <w:rPr>
                <w:rFonts w:ascii="宋体" w:hAnsi="宋体" w:cs="宋体" w:hint="eastAsia"/>
                <w:szCs w:val="24"/>
              </w:rPr>
              <w:t>政府采购预算数）×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政府采购预算：采购机关根据事业发展计划和行政任务编制的、并经过规定程序批准的年度政府采购计划。</w:t>
            </w:r>
            <w:r>
              <w:rPr>
                <w:rFonts w:ascii="宋体" w:hAnsi="宋体" w:cs="宋体"/>
                <w:szCs w:val="24"/>
              </w:rPr>
              <w:t xml:space="preserve"> </w:t>
            </w:r>
          </w:p>
        </w:tc>
      </w:tr>
      <w:tr w:rsidR="00C76734" w:rsidTr="009D0833">
        <w:trPr>
          <w:trHeight w:val="1589"/>
          <w:jc w:val="center"/>
        </w:trPr>
        <w:tc>
          <w:tcPr>
            <w:tcW w:w="307" w:type="pct"/>
            <w:vMerge w:val="restart"/>
            <w:vAlign w:val="center"/>
          </w:tcPr>
          <w:p w:rsidR="00C76734" w:rsidRDefault="00316AB5">
            <w:pPr>
              <w:spacing w:line="240" w:lineRule="exact"/>
              <w:jc w:val="center"/>
              <w:rPr>
                <w:rFonts w:ascii="宋体"/>
                <w:szCs w:val="24"/>
              </w:rPr>
            </w:pPr>
            <w:r>
              <w:rPr>
                <w:rFonts w:ascii="宋体" w:hAnsi="宋体" w:cs="宋体" w:hint="eastAsia"/>
                <w:szCs w:val="24"/>
              </w:rPr>
              <w:lastRenderedPageBreak/>
              <w:t>过</w:t>
            </w:r>
          </w:p>
          <w:p w:rsidR="00C76734" w:rsidRDefault="00316AB5">
            <w:pPr>
              <w:spacing w:line="240" w:lineRule="exact"/>
              <w:jc w:val="center"/>
              <w:rPr>
                <w:rFonts w:ascii="宋体"/>
                <w:szCs w:val="24"/>
              </w:rPr>
            </w:pPr>
            <w:r>
              <w:rPr>
                <w:rFonts w:ascii="宋体" w:hAnsi="宋体" w:cs="宋体" w:hint="eastAsia"/>
                <w:szCs w:val="24"/>
              </w:rPr>
              <w:t>程（</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预算</w:t>
            </w:r>
            <w:r>
              <w:rPr>
                <w:rFonts w:ascii="宋体"/>
                <w:szCs w:val="24"/>
              </w:rPr>
              <w:br/>
            </w:r>
            <w:r>
              <w:rPr>
                <w:rFonts w:ascii="宋体" w:hAnsi="宋体" w:cs="宋体" w:hint="eastAsia"/>
                <w:szCs w:val="24"/>
              </w:rPr>
              <w:t>管理（</w:t>
            </w:r>
            <w:r>
              <w:rPr>
                <w:rFonts w:ascii="宋体" w:hAnsi="宋体" w:cs="宋体"/>
                <w:szCs w:val="24"/>
              </w:rPr>
              <w:t>5</w:t>
            </w:r>
            <w:r>
              <w:rPr>
                <w:rFonts w:ascii="宋体" w:hAnsi="宋体" w:cs="宋体" w:hint="eastAsia"/>
                <w:szCs w:val="24"/>
              </w:rPr>
              <w:t>分）</w:t>
            </w:r>
          </w:p>
          <w:p w:rsidR="00C76734" w:rsidRDefault="00316AB5">
            <w:pPr>
              <w:spacing w:line="240" w:lineRule="exact"/>
              <w:jc w:val="center"/>
              <w:rPr>
                <w:rFonts w:ascii="宋体"/>
                <w:szCs w:val="24"/>
              </w:rPr>
            </w:pPr>
            <w:r>
              <w:rPr>
                <w:rFonts w:ascii="宋体" w:hAnsi="宋体" w:cs="宋体" w:hint="eastAsia"/>
                <w:szCs w:val="24"/>
              </w:rPr>
              <w:t>）</w:t>
            </w: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管理制度</w:t>
            </w:r>
          </w:p>
          <w:p w:rsidR="00C76734" w:rsidRDefault="00316AB5">
            <w:pPr>
              <w:spacing w:line="240" w:lineRule="exact"/>
              <w:jc w:val="center"/>
              <w:rPr>
                <w:rFonts w:ascii="宋体"/>
                <w:szCs w:val="24"/>
              </w:rPr>
            </w:pPr>
            <w:r>
              <w:rPr>
                <w:rFonts w:ascii="宋体" w:hAnsi="宋体" w:cs="宋体" w:hint="eastAsia"/>
                <w:szCs w:val="24"/>
              </w:rPr>
              <w:t>健全性（</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评价要点：</w:t>
            </w:r>
            <w:r>
              <w:rPr>
                <w:rFonts w:ascii="宋体"/>
                <w:szCs w:val="24"/>
              </w:rPr>
              <w:br/>
            </w:r>
            <w:r>
              <w:rPr>
                <w:rFonts w:ascii="宋体" w:hAnsi="宋体" w:cs="宋体" w:hint="eastAsia"/>
                <w:szCs w:val="24"/>
              </w:rPr>
              <w:t>①是否已制定或具有预算资金管理办法、内部财务管理制度、会计核算制度等管理制度；</w:t>
            </w:r>
            <w:r>
              <w:rPr>
                <w:rFonts w:ascii="宋体"/>
                <w:szCs w:val="24"/>
              </w:rPr>
              <w:br/>
            </w:r>
            <w:r>
              <w:rPr>
                <w:rFonts w:ascii="宋体" w:hAnsi="宋体" w:cs="宋体" w:hint="eastAsia"/>
                <w:szCs w:val="24"/>
              </w:rPr>
              <w:t>②相关管理制度是否合法、合规、完整；</w:t>
            </w:r>
            <w:r>
              <w:rPr>
                <w:rFonts w:ascii="宋体"/>
                <w:szCs w:val="24"/>
              </w:rPr>
              <w:br/>
            </w:r>
            <w:r>
              <w:rPr>
                <w:rFonts w:ascii="宋体" w:hAnsi="宋体" w:cs="宋体" w:hint="eastAsia"/>
                <w:szCs w:val="24"/>
              </w:rPr>
              <w:t>③相关管理制度是否得到有效执行。</w:t>
            </w:r>
          </w:p>
        </w:tc>
      </w:tr>
      <w:tr w:rsidR="00C76734" w:rsidTr="009D0833">
        <w:trPr>
          <w:trHeight w:val="2084"/>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jc w:val="center"/>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资金使用</w:t>
            </w:r>
          </w:p>
          <w:p w:rsidR="00C76734" w:rsidRDefault="00316AB5">
            <w:pPr>
              <w:spacing w:line="240" w:lineRule="exact"/>
              <w:jc w:val="center"/>
              <w:rPr>
                <w:rFonts w:ascii="宋体"/>
                <w:szCs w:val="24"/>
              </w:rPr>
            </w:pPr>
            <w:r>
              <w:rPr>
                <w:rFonts w:ascii="宋体" w:hAnsi="宋体" w:cs="宋体" w:hint="eastAsia"/>
                <w:szCs w:val="24"/>
              </w:rPr>
              <w:t>合规性（</w:t>
            </w:r>
            <w:r>
              <w:rPr>
                <w:rFonts w:ascii="宋体" w:hAnsi="宋体" w:cs="宋体"/>
                <w:szCs w:val="24"/>
              </w:rPr>
              <w:t>1</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评价要点：</w:t>
            </w:r>
            <w:r>
              <w:rPr>
                <w:rFonts w:ascii="宋体"/>
                <w:szCs w:val="24"/>
              </w:rPr>
              <w:br/>
            </w:r>
            <w:r>
              <w:rPr>
                <w:rFonts w:ascii="宋体" w:hAnsi="宋体" w:cs="宋体" w:hint="eastAsia"/>
                <w:szCs w:val="24"/>
              </w:rPr>
              <w:t>①是否符合国家财经法规和财务管理制度规定以及有关预算支出管理办法的规定；</w:t>
            </w:r>
            <w:r>
              <w:rPr>
                <w:rFonts w:ascii="宋体"/>
                <w:szCs w:val="24"/>
              </w:rPr>
              <w:br/>
            </w:r>
            <w:r>
              <w:rPr>
                <w:rFonts w:ascii="宋体" w:hAnsi="宋体" w:cs="宋体" w:hint="eastAsia"/>
                <w:szCs w:val="24"/>
              </w:rPr>
              <w:t>②资金的拨付是否有完整的审批程序和手续；</w:t>
            </w:r>
            <w:r>
              <w:rPr>
                <w:rFonts w:ascii="宋体"/>
                <w:szCs w:val="24"/>
              </w:rPr>
              <w:br/>
            </w:r>
            <w:r>
              <w:rPr>
                <w:rFonts w:ascii="宋体" w:hAnsi="宋体" w:cs="宋体" w:hint="eastAsia"/>
                <w:szCs w:val="24"/>
              </w:rPr>
              <w:t>③预算支出的重大开支是否经过评估论证；</w:t>
            </w:r>
            <w:r>
              <w:rPr>
                <w:rFonts w:ascii="宋体"/>
                <w:szCs w:val="24"/>
              </w:rPr>
              <w:br/>
            </w:r>
            <w:r>
              <w:rPr>
                <w:rFonts w:ascii="宋体" w:hAnsi="宋体" w:cs="宋体" w:hint="eastAsia"/>
                <w:szCs w:val="24"/>
              </w:rPr>
              <w:t>④是否符合部门预算批复的用途；</w:t>
            </w:r>
            <w:r>
              <w:rPr>
                <w:rFonts w:ascii="宋体"/>
                <w:szCs w:val="24"/>
              </w:rPr>
              <w:br/>
            </w:r>
            <w:r>
              <w:rPr>
                <w:rFonts w:ascii="宋体" w:hAnsi="宋体" w:cs="宋体" w:hint="eastAsia"/>
                <w:szCs w:val="24"/>
              </w:rPr>
              <w:t>⑤是否存在截留、挤占、挪用、虚列支出等情况。</w:t>
            </w:r>
          </w:p>
        </w:tc>
      </w:tr>
      <w:tr w:rsidR="00C76734" w:rsidTr="009D0833">
        <w:trPr>
          <w:trHeight w:val="817"/>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预决算信</w:t>
            </w:r>
          </w:p>
          <w:p w:rsidR="00C76734" w:rsidRDefault="00316AB5">
            <w:pPr>
              <w:spacing w:line="240" w:lineRule="exact"/>
              <w:jc w:val="center"/>
              <w:rPr>
                <w:rFonts w:ascii="宋体"/>
                <w:szCs w:val="24"/>
              </w:rPr>
            </w:pPr>
            <w:r>
              <w:rPr>
                <w:rFonts w:ascii="宋体" w:hAnsi="宋体" w:cs="宋体" w:hint="eastAsia"/>
                <w:szCs w:val="24"/>
              </w:rPr>
              <w:t>息公开性（</w:t>
            </w:r>
            <w:r>
              <w:rPr>
                <w:rFonts w:ascii="宋体" w:hAnsi="宋体" w:cs="宋体"/>
                <w:szCs w:val="24"/>
              </w:rPr>
              <w:t>1</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评价要点：</w:t>
            </w:r>
            <w:r>
              <w:rPr>
                <w:rFonts w:ascii="宋体"/>
                <w:szCs w:val="24"/>
              </w:rPr>
              <w:br/>
            </w:r>
            <w:r>
              <w:rPr>
                <w:rFonts w:ascii="宋体" w:hAnsi="宋体" w:cs="宋体" w:hint="eastAsia"/>
                <w:szCs w:val="24"/>
              </w:rPr>
              <w:t>①是否按规定内容公开预决算信息；</w:t>
            </w:r>
            <w:r>
              <w:rPr>
                <w:rFonts w:ascii="宋体"/>
                <w:szCs w:val="24"/>
              </w:rPr>
              <w:br/>
            </w:r>
            <w:r>
              <w:rPr>
                <w:rFonts w:ascii="宋体" w:hAnsi="宋体" w:cs="宋体" w:hint="eastAsia"/>
                <w:szCs w:val="24"/>
              </w:rPr>
              <w:t>②是否按规定时限公开预决算信息。</w:t>
            </w:r>
            <w:r>
              <w:rPr>
                <w:rFonts w:ascii="宋体"/>
                <w:szCs w:val="24"/>
              </w:rPr>
              <w:br/>
            </w:r>
            <w:r>
              <w:rPr>
                <w:rFonts w:ascii="宋体" w:hAnsi="宋体" w:cs="宋体" w:hint="eastAsia"/>
                <w:szCs w:val="24"/>
              </w:rPr>
              <w:t>预决算信息是指与部门预算、执行、决算、监督、绩效等管理相关的信息。</w:t>
            </w:r>
          </w:p>
        </w:tc>
      </w:tr>
      <w:tr w:rsidR="00C76734" w:rsidTr="009D0833">
        <w:trPr>
          <w:trHeight w:val="1232"/>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jc w:val="center"/>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基础信息</w:t>
            </w:r>
          </w:p>
          <w:p w:rsidR="00C76734" w:rsidRDefault="00316AB5">
            <w:pPr>
              <w:spacing w:line="240" w:lineRule="exact"/>
              <w:jc w:val="center"/>
              <w:rPr>
                <w:rFonts w:ascii="宋体"/>
                <w:szCs w:val="24"/>
              </w:rPr>
            </w:pPr>
            <w:r>
              <w:rPr>
                <w:rFonts w:ascii="宋体" w:hAnsi="宋体" w:cs="宋体" w:hint="eastAsia"/>
                <w:szCs w:val="24"/>
              </w:rPr>
              <w:t>完善性（</w:t>
            </w:r>
            <w:r>
              <w:rPr>
                <w:rFonts w:ascii="宋体" w:hAnsi="宋体" w:cs="宋体"/>
                <w:szCs w:val="24"/>
              </w:rPr>
              <w:t>1</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评价要点：</w:t>
            </w:r>
            <w:r>
              <w:rPr>
                <w:rFonts w:ascii="宋体"/>
                <w:szCs w:val="24"/>
              </w:rPr>
              <w:br/>
            </w:r>
            <w:r>
              <w:rPr>
                <w:rFonts w:ascii="宋体" w:hAnsi="宋体" w:cs="宋体" w:hint="eastAsia"/>
                <w:szCs w:val="24"/>
              </w:rPr>
              <w:t>①基础数据信息和会计信息资料是否真实；</w:t>
            </w:r>
            <w:r>
              <w:rPr>
                <w:rFonts w:ascii="宋体"/>
                <w:szCs w:val="24"/>
              </w:rPr>
              <w:br/>
            </w:r>
            <w:r>
              <w:rPr>
                <w:rFonts w:ascii="宋体" w:hAnsi="宋体" w:cs="宋体" w:hint="eastAsia"/>
                <w:szCs w:val="24"/>
              </w:rPr>
              <w:t>②基础数据信息和会计信息资料是否完整；</w:t>
            </w:r>
            <w:r>
              <w:rPr>
                <w:rFonts w:ascii="宋体"/>
                <w:szCs w:val="24"/>
              </w:rPr>
              <w:br/>
            </w:r>
            <w:r>
              <w:rPr>
                <w:rFonts w:ascii="宋体" w:hAnsi="宋体" w:cs="宋体" w:hint="eastAsia"/>
                <w:szCs w:val="24"/>
              </w:rPr>
              <w:t>③基础数据信息和会计信息资料是否准确。</w:t>
            </w:r>
          </w:p>
        </w:tc>
      </w:tr>
      <w:tr w:rsidR="00C76734" w:rsidTr="009D0833">
        <w:trPr>
          <w:trHeight w:val="888"/>
          <w:jc w:val="center"/>
        </w:trPr>
        <w:tc>
          <w:tcPr>
            <w:tcW w:w="307" w:type="pct"/>
            <w:vMerge/>
            <w:noWrap/>
            <w:tcMar>
              <w:top w:w="10" w:type="dxa"/>
              <w:left w:w="10" w:type="dxa"/>
              <w:bottom w:w="0" w:type="dxa"/>
              <w:right w:w="10" w:type="dxa"/>
            </w:tcMar>
            <w:textDirection w:val="tbRlV"/>
            <w:vAlign w:val="center"/>
          </w:tcPr>
          <w:p w:rsidR="00C76734" w:rsidRDefault="00C76734">
            <w:pPr>
              <w:spacing w:line="240" w:lineRule="exact"/>
              <w:jc w:val="center"/>
              <w:rPr>
                <w:rFonts w:ascii="宋体"/>
                <w:szCs w:val="24"/>
              </w:rPr>
            </w:pPr>
          </w:p>
        </w:tc>
        <w:tc>
          <w:tcPr>
            <w:tcW w:w="375" w:type="pct"/>
            <w:vMerge w:val="restar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资产</w:t>
            </w:r>
            <w:r>
              <w:rPr>
                <w:rFonts w:ascii="宋体"/>
                <w:szCs w:val="24"/>
              </w:rPr>
              <w:br/>
            </w:r>
            <w:r>
              <w:rPr>
                <w:rFonts w:ascii="宋体" w:hAnsi="宋体" w:cs="宋体" w:hint="eastAsia"/>
                <w:szCs w:val="24"/>
              </w:rPr>
              <w:t>管理（</w:t>
            </w:r>
            <w:r>
              <w:rPr>
                <w:rFonts w:ascii="宋体" w:hAnsi="宋体" w:cs="宋体"/>
                <w:szCs w:val="24"/>
              </w:rPr>
              <w:t>5</w:t>
            </w:r>
            <w:r>
              <w:rPr>
                <w:rFonts w:ascii="宋体" w:hAnsi="宋体" w:cs="宋体" w:hint="eastAsia"/>
                <w:szCs w:val="24"/>
              </w:rPr>
              <w:t>分）</w:t>
            </w: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管理制度</w:t>
            </w:r>
          </w:p>
          <w:p w:rsidR="00C76734" w:rsidRDefault="00316AB5">
            <w:pPr>
              <w:spacing w:line="240" w:lineRule="exact"/>
              <w:jc w:val="center"/>
              <w:rPr>
                <w:rFonts w:ascii="宋体"/>
                <w:szCs w:val="24"/>
              </w:rPr>
            </w:pPr>
            <w:r>
              <w:rPr>
                <w:rFonts w:ascii="宋体" w:hAnsi="宋体" w:cs="宋体" w:hint="eastAsia"/>
                <w:szCs w:val="24"/>
              </w:rPr>
              <w:t>健全性（</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rsidR="00C76734" w:rsidRPr="009D0833" w:rsidRDefault="00316AB5">
            <w:pPr>
              <w:tabs>
                <w:tab w:val="left" w:pos="2604"/>
              </w:tabs>
              <w:spacing w:line="240" w:lineRule="exact"/>
              <w:ind w:leftChars="50" w:left="105" w:rightChars="50" w:right="105" w:firstLineChars="46" w:firstLine="89"/>
              <w:rPr>
                <w:rFonts w:ascii="宋体"/>
                <w:spacing w:val="-8"/>
                <w:szCs w:val="24"/>
              </w:rPr>
            </w:pPr>
            <w:r w:rsidRPr="009D0833">
              <w:rPr>
                <w:rFonts w:ascii="宋体" w:hAnsi="宋体" w:cs="宋体" w:hint="eastAsia"/>
                <w:spacing w:val="-8"/>
                <w:szCs w:val="24"/>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C76734" w:rsidRPr="009D0833" w:rsidRDefault="00316AB5" w:rsidP="009D0833">
            <w:pPr>
              <w:spacing w:line="220" w:lineRule="exact"/>
              <w:ind w:leftChars="50" w:left="105" w:rightChars="50" w:right="105"/>
              <w:rPr>
                <w:rFonts w:ascii="宋体"/>
                <w:spacing w:val="-8"/>
                <w:szCs w:val="24"/>
              </w:rPr>
            </w:pPr>
            <w:r w:rsidRPr="009D0833">
              <w:rPr>
                <w:rFonts w:ascii="宋体" w:hAnsi="宋体" w:cs="宋体" w:hint="eastAsia"/>
                <w:spacing w:val="-8"/>
                <w:szCs w:val="24"/>
              </w:rPr>
              <w:t>评价要点：</w:t>
            </w:r>
            <w:r w:rsidRPr="009D0833">
              <w:rPr>
                <w:rFonts w:ascii="宋体"/>
                <w:spacing w:val="-8"/>
                <w:szCs w:val="24"/>
              </w:rPr>
              <w:br/>
            </w:r>
            <w:r w:rsidRPr="009D0833">
              <w:rPr>
                <w:rFonts w:ascii="宋体" w:hAnsi="宋体" w:cs="宋体" w:hint="eastAsia"/>
                <w:spacing w:val="-8"/>
                <w:szCs w:val="24"/>
              </w:rPr>
              <w:t>①是否已制定或具有资产管理制度；</w:t>
            </w:r>
            <w:r w:rsidRPr="009D0833">
              <w:rPr>
                <w:rFonts w:ascii="宋体" w:hAnsi="宋体" w:cs="宋体"/>
                <w:spacing w:val="-8"/>
                <w:szCs w:val="24"/>
              </w:rPr>
              <w:t xml:space="preserve">           </w:t>
            </w:r>
            <w:r w:rsidRPr="009D0833">
              <w:rPr>
                <w:rFonts w:ascii="宋体" w:hAnsi="宋体" w:cs="宋体" w:hint="eastAsia"/>
                <w:spacing w:val="-8"/>
                <w:szCs w:val="24"/>
              </w:rPr>
              <w:t>②相关资金管理制度是否合法、合规、完整；</w:t>
            </w:r>
            <w:r w:rsidRPr="009D0833">
              <w:rPr>
                <w:rFonts w:ascii="宋体"/>
                <w:spacing w:val="-8"/>
                <w:szCs w:val="24"/>
              </w:rPr>
              <w:br/>
            </w:r>
            <w:r w:rsidRPr="009D0833">
              <w:rPr>
                <w:rFonts w:ascii="宋体" w:hAnsi="宋体" w:cs="宋体" w:hint="eastAsia"/>
                <w:spacing w:val="-8"/>
                <w:szCs w:val="24"/>
              </w:rPr>
              <w:t>③相关资产管理制度是否得到有效执行。</w:t>
            </w:r>
          </w:p>
        </w:tc>
      </w:tr>
      <w:tr w:rsidR="00C76734">
        <w:trPr>
          <w:trHeight w:val="1887"/>
          <w:jc w:val="center"/>
        </w:trPr>
        <w:tc>
          <w:tcPr>
            <w:tcW w:w="307" w:type="pct"/>
            <w:vMerge/>
            <w:vAlign w:val="center"/>
          </w:tcPr>
          <w:p w:rsidR="00C76734" w:rsidRDefault="00C76734">
            <w:pPr>
              <w:spacing w:line="240" w:lineRule="exact"/>
              <w:jc w:val="center"/>
              <w:rPr>
                <w:rFonts w:ascii="宋体"/>
                <w:szCs w:val="24"/>
              </w:rPr>
            </w:pPr>
          </w:p>
        </w:tc>
        <w:tc>
          <w:tcPr>
            <w:tcW w:w="375" w:type="pct"/>
            <w:vMerge/>
            <w:vAlign w:val="center"/>
          </w:tcPr>
          <w:p w:rsidR="00C76734" w:rsidRDefault="00C76734">
            <w:pPr>
              <w:spacing w:line="240" w:lineRule="exact"/>
              <w:jc w:val="center"/>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资产管理</w:t>
            </w:r>
          </w:p>
          <w:p w:rsidR="00C76734" w:rsidRDefault="00316AB5">
            <w:pPr>
              <w:spacing w:line="240" w:lineRule="exact"/>
              <w:jc w:val="center"/>
              <w:rPr>
                <w:rFonts w:ascii="宋体"/>
                <w:szCs w:val="24"/>
              </w:rPr>
            </w:pPr>
            <w:r>
              <w:rPr>
                <w:rFonts w:ascii="宋体" w:hAnsi="宋体" w:cs="宋体" w:hint="eastAsia"/>
                <w:szCs w:val="24"/>
              </w:rPr>
              <w:t>安全性（</w:t>
            </w:r>
            <w:r>
              <w:rPr>
                <w:rFonts w:ascii="宋体" w:hAnsi="宋体" w:cs="宋体"/>
                <w:szCs w:val="24"/>
              </w:rPr>
              <w:t>2</w:t>
            </w:r>
            <w:r>
              <w:rPr>
                <w:rFonts w:ascii="宋体" w:hAnsi="宋体" w:cs="宋体" w:hint="eastAsia"/>
                <w:szCs w:val="24"/>
              </w:rPr>
              <w:t>分）</w:t>
            </w:r>
          </w:p>
        </w:tc>
        <w:tc>
          <w:tcPr>
            <w:tcW w:w="375" w:type="pct"/>
            <w:vAlign w:val="center"/>
          </w:tcPr>
          <w:p w:rsidR="00C76734" w:rsidRDefault="00316AB5">
            <w:pPr>
              <w:tabs>
                <w:tab w:val="left" w:pos="761"/>
                <w:tab w:val="left" w:pos="2604"/>
              </w:tabs>
              <w:spacing w:line="240" w:lineRule="exact"/>
              <w:ind w:leftChars="50" w:left="105" w:rightChars="50" w:right="105" w:firstLineChars="46" w:firstLine="97"/>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rsidR="00C76734" w:rsidRDefault="00316AB5">
            <w:pPr>
              <w:tabs>
                <w:tab w:val="left" w:pos="761"/>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C76734" w:rsidRDefault="00316AB5" w:rsidP="009D0833">
            <w:pPr>
              <w:spacing w:line="220" w:lineRule="exact"/>
              <w:ind w:leftChars="50" w:left="105" w:rightChars="50" w:right="105"/>
              <w:rPr>
                <w:rFonts w:ascii="宋体"/>
                <w:szCs w:val="24"/>
              </w:rPr>
            </w:pPr>
            <w:r>
              <w:rPr>
                <w:rFonts w:ascii="宋体" w:hAnsi="宋体" w:cs="宋体" w:hint="eastAsia"/>
                <w:szCs w:val="24"/>
              </w:rPr>
              <w:t>评价要点：</w:t>
            </w:r>
            <w:r>
              <w:rPr>
                <w:rFonts w:ascii="宋体"/>
                <w:szCs w:val="24"/>
              </w:rPr>
              <w:br/>
            </w:r>
            <w:r>
              <w:rPr>
                <w:rFonts w:ascii="宋体" w:hAnsi="宋体" w:cs="宋体" w:hint="eastAsia"/>
                <w:szCs w:val="24"/>
              </w:rPr>
              <w:t>①资产保存是否完整；</w:t>
            </w:r>
            <w:r>
              <w:rPr>
                <w:rFonts w:ascii="宋体"/>
                <w:szCs w:val="24"/>
              </w:rPr>
              <w:br/>
            </w:r>
            <w:r>
              <w:rPr>
                <w:rFonts w:ascii="宋体" w:hAnsi="宋体" w:cs="宋体" w:hint="eastAsia"/>
                <w:szCs w:val="24"/>
              </w:rPr>
              <w:t>②资产配置是否合理；</w:t>
            </w:r>
            <w:r>
              <w:rPr>
                <w:rFonts w:ascii="宋体"/>
                <w:szCs w:val="24"/>
              </w:rPr>
              <w:br/>
            </w:r>
            <w:r>
              <w:rPr>
                <w:rFonts w:ascii="宋体" w:hAnsi="宋体" w:cs="宋体" w:hint="eastAsia"/>
                <w:szCs w:val="24"/>
              </w:rPr>
              <w:t>③资产处置是否规范；</w:t>
            </w:r>
            <w:r>
              <w:rPr>
                <w:rFonts w:ascii="宋体"/>
                <w:szCs w:val="24"/>
              </w:rPr>
              <w:br/>
            </w:r>
            <w:r>
              <w:rPr>
                <w:rFonts w:ascii="宋体" w:hAnsi="宋体" w:cs="宋体" w:hint="eastAsia"/>
                <w:szCs w:val="24"/>
              </w:rPr>
              <w:t>④资产账务管理是否合规，是否帐实相符；</w:t>
            </w:r>
            <w:r>
              <w:rPr>
                <w:rFonts w:ascii="宋体"/>
                <w:szCs w:val="24"/>
              </w:rPr>
              <w:br/>
            </w:r>
            <w:r>
              <w:rPr>
                <w:rFonts w:ascii="宋体" w:hAnsi="宋体" w:cs="宋体" w:hint="eastAsia"/>
                <w:szCs w:val="24"/>
              </w:rPr>
              <w:t>⑤资产是否有偿使用及处置收入及时足额上缴。</w:t>
            </w:r>
          </w:p>
        </w:tc>
      </w:tr>
      <w:tr w:rsidR="00C76734">
        <w:trPr>
          <w:trHeight w:val="895"/>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固定资产</w:t>
            </w:r>
          </w:p>
          <w:p w:rsidR="00C76734" w:rsidRDefault="00316AB5">
            <w:pPr>
              <w:spacing w:line="240" w:lineRule="exact"/>
              <w:jc w:val="center"/>
              <w:rPr>
                <w:rFonts w:ascii="宋体"/>
                <w:szCs w:val="24"/>
              </w:rPr>
            </w:pPr>
            <w:r>
              <w:rPr>
                <w:rFonts w:ascii="宋体" w:hAnsi="宋体" w:cs="宋体" w:hint="eastAsia"/>
                <w:szCs w:val="24"/>
              </w:rPr>
              <w:t>利用率（</w:t>
            </w:r>
            <w:r>
              <w:rPr>
                <w:rFonts w:ascii="宋体" w:hAnsi="宋体" w:cs="宋体"/>
                <w:szCs w:val="24"/>
              </w:rPr>
              <w:t>1</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C76734" w:rsidRDefault="00316AB5">
            <w:pPr>
              <w:spacing w:line="240" w:lineRule="exact"/>
              <w:ind w:leftChars="50" w:left="105" w:rightChars="50" w:right="105"/>
              <w:rPr>
                <w:rFonts w:ascii="宋体"/>
                <w:szCs w:val="24"/>
              </w:rPr>
            </w:pPr>
            <w:r>
              <w:rPr>
                <w:rFonts w:ascii="宋体" w:hAnsi="宋体" w:cs="宋体" w:hint="eastAsia"/>
                <w:szCs w:val="24"/>
              </w:rPr>
              <w:t>固定资产利用率</w:t>
            </w:r>
            <w:r>
              <w:rPr>
                <w:rFonts w:ascii="宋体" w:hAnsi="宋体" w:cs="宋体"/>
                <w:szCs w:val="24"/>
              </w:rPr>
              <w:t>=</w:t>
            </w:r>
            <w:r>
              <w:rPr>
                <w:rFonts w:ascii="宋体" w:hAnsi="宋体" w:cs="宋体" w:hint="eastAsia"/>
                <w:szCs w:val="24"/>
              </w:rPr>
              <w:t>（实际在用固定资产总额</w:t>
            </w:r>
            <w:r>
              <w:rPr>
                <w:rFonts w:ascii="宋体" w:hAnsi="宋体" w:cs="宋体"/>
                <w:szCs w:val="24"/>
              </w:rPr>
              <w:t>/</w:t>
            </w:r>
            <w:r>
              <w:rPr>
                <w:rFonts w:ascii="宋体" w:hAnsi="宋体" w:cs="宋体" w:hint="eastAsia"/>
                <w:szCs w:val="24"/>
              </w:rPr>
              <w:t>所有固定资产总额）×</w:t>
            </w:r>
            <w:r>
              <w:rPr>
                <w:rFonts w:ascii="宋体" w:hAnsi="宋体" w:cs="宋体"/>
                <w:szCs w:val="24"/>
              </w:rPr>
              <w:t>100%</w:t>
            </w:r>
            <w:r>
              <w:rPr>
                <w:rFonts w:ascii="宋体" w:hAnsi="宋体" w:cs="宋体" w:hint="eastAsia"/>
                <w:szCs w:val="24"/>
              </w:rPr>
              <w:t>。</w:t>
            </w:r>
          </w:p>
        </w:tc>
      </w:tr>
      <w:tr w:rsidR="00C76734">
        <w:trPr>
          <w:trHeight w:val="2171"/>
          <w:jc w:val="center"/>
        </w:trPr>
        <w:tc>
          <w:tcPr>
            <w:tcW w:w="307" w:type="pct"/>
            <w:vMerge w:val="restart"/>
            <w:noWrap/>
            <w:tcMar>
              <w:top w:w="10" w:type="dxa"/>
              <w:left w:w="10" w:type="dxa"/>
              <w:bottom w:w="0" w:type="dxa"/>
              <w:right w:w="10" w:type="dxa"/>
            </w:tcMar>
            <w:textDirection w:val="tbRlV"/>
            <w:vAlign w:val="center"/>
          </w:tcPr>
          <w:p w:rsidR="00C76734" w:rsidRDefault="00316AB5">
            <w:pPr>
              <w:spacing w:line="240" w:lineRule="exact"/>
              <w:jc w:val="center"/>
              <w:rPr>
                <w:rFonts w:ascii="宋体"/>
                <w:szCs w:val="24"/>
              </w:rPr>
            </w:pPr>
            <w:r>
              <w:rPr>
                <w:rFonts w:ascii="宋体" w:hAnsi="宋体" w:cs="宋体" w:hint="eastAsia"/>
                <w:szCs w:val="24"/>
              </w:rPr>
              <w:lastRenderedPageBreak/>
              <w:t>产</w:t>
            </w:r>
            <w:r>
              <w:rPr>
                <w:rFonts w:ascii="宋体" w:hAnsi="宋体" w:cs="宋体"/>
                <w:szCs w:val="24"/>
              </w:rPr>
              <w:t xml:space="preserve">   </w:t>
            </w:r>
            <w:r>
              <w:rPr>
                <w:rFonts w:ascii="宋体" w:hAnsi="宋体" w:cs="宋体" w:hint="eastAsia"/>
                <w:szCs w:val="24"/>
              </w:rPr>
              <w:t>出（</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职责</w:t>
            </w:r>
            <w:r>
              <w:rPr>
                <w:rFonts w:ascii="宋体"/>
                <w:szCs w:val="24"/>
              </w:rPr>
              <w:br/>
            </w:r>
            <w:r>
              <w:rPr>
                <w:rFonts w:ascii="宋体" w:hAnsi="宋体" w:cs="宋体" w:hint="eastAsia"/>
                <w:szCs w:val="24"/>
              </w:rPr>
              <w:t>履行（</w:t>
            </w:r>
            <w:r>
              <w:rPr>
                <w:rFonts w:ascii="宋体" w:hAnsi="宋体" w:cs="宋体"/>
                <w:szCs w:val="24"/>
              </w:rPr>
              <w:t>30</w:t>
            </w:r>
            <w:r>
              <w:rPr>
                <w:rFonts w:ascii="宋体" w:hAnsi="宋体" w:cs="宋体" w:hint="eastAsia"/>
                <w:szCs w:val="24"/>
              </w:rPr>
              <w:t>分）</w:t>
            </w: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实际</w:t>
            </w:r>
          </w:p>
          <w:p w:rsidR="00C76734" w:rsidRDefault="00316AB5">
            <w:pPr>
              <w:spacing w:line="240" w:lineRule="exact"/>
              <w:jc w:val="center"/>
              <w:rPr>
                <w:rFonts w:ascii="宋体"/>
                <w:szCs w:val="24"/>
              </w:rPr>
            </w:pPr>
            <w:r>
              <w:rPr>
                <w:rFonts w:ascii="宋体" w:hAnsi="宋体" w:cs="宋体" w:hint="eastAsia"/>
                <w:szCs w:val="24"/>
              </w:rPr>
              <w:t>完成率（</w:t>
            </w:r>
            <w:r>
              <w:rPr>
                <w:rFonts w:ascii="宋体" w:hAnsi="宋体" w:cs="宋体"/>
                <w:szCs w:val="24"/>
              </w:rPr>
              <w:t>8</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8</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C76734" w:rsidRDefault="00316AB5">
            <w:pPr>
              <w:spacing w:line="240" w:lineRule="exact"/>
              <w:ind w:leftChars="50" w:left="105" w:rightChars="50" w:right="105"/>
              <w:rPr>
                <w:rFonts w:ascii="宋体"/>
                <w:szCs w:val="24"/>
              </w:rPr>
            </w:pPr>
            <w:r>
              <w:rPr>
                <w:rFonts w:ascii="宋体" w:hAnsi="宋体" w:cs="宋体" w:hint="eastAsia"/>
                <w:szCs w:val="24"/>
              </w:rPr>
              <w:t>实际完成率</w:t>
            </w:r>
            <w:r>
              <w:rPr>
                <w:rFonts w:ascii="宋体" w:hAnsi="宋体" w:cs="宋体"/>
                <w:szCs w:val="24"/>
              </w:rPr>
              <w:t>=</w:t>
            </w:r>
            <w:r>
              <w:rPr>
                <w:rFonts w:ascii="宋体" w:hAnsi="宋体" w:cs="宋体" w:hint="eastAsia"/>
                <w:szCs w:val="24"/>
              </w:rPr>
              <w:t>（实际完成工作数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实际完成工作数：一定时期（年度或规划期）内部门实际完成工作任务的数量。</w:t>
            </w:r>
            <w:r>
              <w:rPr>
                <w:rFonts w:ascii="宋体"/>
                <w:szCs w:val="24"/>
              </w:rPr>
              <w:br/>
            </w:r>
            <w:r>
              <w:rPr>
                <w:rFonts w:ascii="宋体" w:hAnsi="宋体" w:cs="宋体" w:hint="eastAsia"/>
                <w:szCs w:val="24"/>
              </w:rPr>
              <w:t>计划工作数：部门整体绩效目标确定的一定时期（年度或规划期）内预计完成工作任务的数量。</w:t>
            </w:r>
          </w:p>
        </w:tc>
      </w:tr>
      <w:tr w:rsidR="00C76734">
        <w:trPr>
          <w:trHeight w:val="1393"/>
          <w:jc w:val="center"/>
        </w:trPr>
        <w:tc>
          <w:tcPr>
            <w:tcW w:w="307" w:type="pct"/>
            <w:vMerge/>
            <w:textDirection w:val="tbRlV"/>
            <w:vAlign w:val="center"/>
          </w:tcPr>
          <w:p w:rsidR="00C76734" w:rsidRDefault="00C76734">
            <w:pPr>
              <w:spacing w:line="240" w:lineRule="exact"/>
              <w:ind w:left="113"/>
              <w:jc w:val="center"/>
              <w:rPr>
                <w:rFonts w:ascii="宋体"/>
                <w:szCs w:val="24"/>
              </w:rPr>
            </w:pPr>
          </w:p>
        </w:tc>
        <w:tc>
          <w:tcPr>
            <w:tcW w:w="375" w:type="pct"/>
            <w:vMerge/>
            <w:vAlign w:val="center"/>
          </w:tcPr>
          <w:p w:rsidR="00C76734" w:rsidRDefault="00C76734">
            <w:pPr>
              <w:spacing w:line="240" w:lineRule="exact"/>
              <w:jc w:val="center"/>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完成</w:t>
            </w:r>
          </w:p>
          <w:p w:rsidR="00C76734" w:rsidRDefault="00316AB5">
            <w:pPr>
              <w:spacing w:line="240" w:lineRule="exact"/>
              <w:jc w:val="center"/>
              <w:rPr>
                <w:rFonts w:ascii="宋体"/>
                <w:szCs w:val="24"/>
              </w:rPr>
            </w:pPr>
            <w:r>
              <w:rPr>
                <w:rFonts w:ascii="宋体" w:hAnsi="宋体" w:cs="宋体" w:hint="eastAsia"/>
                <w:szCs w:val="24"/>
              </w:rPr>
              <w:t>及时率（</w:t>
            </w:r>
            <w:r>
              <w:rPr>
                <w:rFonts w:ascii="宋体" w:hAnsi="宋体" w:cs="宋体"/>
                <w:szCs w:val="24"/>
              </w:rPr>
              <w:t>4</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4</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部门在规定时限内及时完成的实际工作数与计划工作数的比率</w:t>
            </w:r>
            <w:r>
              <w:rPr>
                <w:rFonts w:ascii="宋体" w:cs="宋体"/>
                <w:szCs w:val="24"/>
              </w:rPr>
              <w:t>,</w:t>
            </w:r>
            <w:r>
              <w:rPr>
                <w:rFonts w:ascii="宋体" w:hAnsi="宋体" w:cs="宋体" w:hint="eastAsia"/>
                <w:szCs w:val="24"/>
              </w:rPr>
              <w:t>用以反映和考核部门履职时效目标的实现程度。</w:t>
            </w:r>
          </w:p>
        </w:tc>
        <w:tc>
          <w:tcPr>
            <w:tcW w:w="1867" w:type="pct"/>
            <w:tcMar>
              <w:top w:w="10" w:type="dxa"/>
              <w:left w:w="10" w:type="dxa"/>
              <w:bottom w:w="0" w:type="dxa"/>
              <w:right w:w="10" w:type="dxa"/>
            </w:tcMar>
            <w:vAlign w:val="center"/>
          </w:tcPr>
          <w:p w:rsidR="00C76734" w:rsidRDefault="00316AB5">
            <w:pPr>
              <w:spacing w:line="240" w:lineRule="exact"/>
              <w:ind w:leftChars="50" w:left="105" w:rightChars="50" w:right="105"/>
              <w:rPr>
                <w:rFonts w:ascii="宋体"/>
                <w:szCs w:val="24"/>
              </w:rPr>
            </w:pPr>
            <w:r>
              <w:rPr>
                <w:rFonts w:ascii="宋体" w:hAnsi="宋体" w:cs="宋体" w:hint="eastAsia"/>
                <w:szCs w:val="24"/>
              </w:rPr>
              <w:t>完成及时率</w:t>
            </w:r>
            <w:r>
              <w:rPr>
                <w:rFonts w:ascii="宋体" w:hAnsi="宋体" w:cs="宋体"/>
                <w:szCs w:val="24"/>
              </w:rPr>
              <w:t>=</w:t>
            </w:r>
            <w:r>
              <w:rPr>
                <w:rFonts w:ascii="宋体" w:hAnsi="宋体" w:cs="宋体" w:hint="eastAsia"/>
                <w:szCs w:val="24"/>
              </w:rPr>
              <w:t>（及时完成实际工作数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及时完成实际工作数：部门按照整体绩效目标确定的时限实际完成的工作任务数量。</w:t>
            </w:r>
          </w:p>
        </w:tc>
      </w:tr>
      <w:tr w:rsidR="00C76734">
        <w:trPr>
          <w:trHeight w:val="1675"/>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质量</w:t>
            </w:r>
          </w:p>
          <w:p w:rsidR="00C76734" w:rsidRDefault="00316AB5">
            <w:pPr>
              <w:spacing w:line="240" w:lineRule="exact"/>
              <w:jc w:val="center"/>
              <w:rPr>
                <w:rFonts w:ascii="宋体"/>
                <w:szCs w:val="24"/>
              </w:rPr>
            </w:pPr>
            <w:r>
              <w:rPr>
                <w:rFonts w:ascii="宋体" w:hAnsi="宋体" w:cs="宋体" w:hint="eastAsia"/>
                <w:szCs w:val="24"/>
              </w:rPr>
              <w:t>达标率（</w:t>
            </w:r>
            <w:r>
              <w:rPr>
                <w:rFonts w:ascii="宋体" w:hAnsi="宋体" w:cs="宋体"/>
                <w:szCs w:val="24"/>
              </w:rPr>
              <w:t>8</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8</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达到质量标准（绩效标准值）的实际工作数与计划工作数的比率</w:t>
            </w:r>
            <w:r>
              <w:rPr>
                <w:rFonts w:ascii="宋体" w:cs="宋体"/>
                <w:szCs w:val="24"/>
              </w:rPr>
              <w:t>,</w:t>
            </w:r>
            <w:r>
              <w:rPr>
                <w:rFonts w:ascii="宋体" w:hAnsi="宋体" w:cs="宋体" w:hint="eastAsia"/>
                <w:szCs w:val="24"/>
              </w:rPr>
              <w:t>用以反映和考核部门履职质量目标的实现程度。</w:t>
            </w:r>
          </w:p>
        </w:tc>
        <w:tc>
          <w:tcPr>
            <w:tcW w:w="1867" w:type="pct"/>
            <w:tcMar>
              <w:top w:w="10" w:type="dxa"/>
              <w:left w:w="10" w:type="dxa"/>
              <w:bottom w:w="0" w:type="dxa"/>
              <w:right w:w="10" w:type="dxa"/>
            </w:tcMar>
            <w:vAlign w:val="center"/>
          </w:tcPr>
          <w:p w:rsidR="00C76734" w:rsidRDefault="00316AB5">
            <w:pPr>
              <w:spacing w:line="240" w:lineRule="exact"/>
              <w:ind w:leftChars="50" w:left="105" w:rightChars="50" w:right="105"/>
              <w:rPr>
                <w:rFonts w:ascii="宋体"/>
                <w:szCs w:val="24"/>
              </w:rPr>
            </w:pPr>
            <w:r>
              <w:rPr>
                <w:rFonts w:ascii="宋体" w:hAnsi="宋体" w:cs="宋体" w:hint="eastAsia"/>
                <w:szCs w:val="24"/>
              </w:rPr>
              <w:t>质量达标率</w:t>
            </w:r>
            <w:r>
              <w:rPr>
                <w:rFonts w:ascii="宋体" w:hAnsi="宋体" w:cs="宋体"/>
                <w:szCs w:val="24"/>
              </w:rPr>
              <w:t>=</w:t>
            </w:r>
            <w:r>
              <w:rPr>
                <w:rFonts w:ascii="宋体" w:hAnsi="宋体" w:cs="宋体" w:hint="eastAsia"/>
                <w:szCs w:val="24"/>
              </w:rPr>
              <w:t>（质量达标实际工作数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质量达标实际工作数：一定时期（年度或规划期）内部门实际完成工作数中达到部门绩效目标要求（绩效标准值）的工作任务数量。</w:t>
            </w:r>
          </w:p>
        </w:tc>
      </w:tr>
      <w:tr w:rsidR="00C76734">
        <w:trPr>
          <w:trHeight w:val="1125"/>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重点工作</w:t>
            </w:r>
          </w:p>
          <w:p w:rsidR="00C76734" w:rsidRDefault="00316AB5">
            <w:pPr>
              <w:spacing w:line="240" w:lineRule="exact"/>
              <w:jc w:val="center"/>
              <w:rPr>
                <w:rFonts w:ascii="宋体"/>
                <w:szCs w:val="24"/>
              </w:rPr>
            </w:pPr>
            <w:r>
              <w:rPr>
                <w:rFonts w:ascii="宋体" w:hAnsi="宋体" w:cs="宋体" w:hint="eastAsia"/>
                <w:szCs w:val="24"/>
              </w:rPr>
              <w:t>办结率（</w:t>
            </w:r>
            <w:r>
              <w:rPr>
                <w:rFonts w:ascii="宋体" w:hAnsi="宋体" w:cs="宋体"/>
                <w:szCs w:val="24"/>
              </w:rPr>
              <w:t>10</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10</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C76734" w:rsidRDefault="00316AB5">
            <w:pPr>
              <w:spacing w:line="240" w:lineRule="exact"/>
              <w:ind w:leftChars="50" w:left="105" w:rightChars="50" w:right="105"/>
              <w:rPr>
                <w:rFonts w:ascii="宋体"/>
                <w:szCs w:val="24"/>
              </w:rPr>
            </w:pPr>
            <w:r>
              <w:rPr>
                <w:rFonts w:ascii="宋体" w:hAnsi="宋体" w:cs="宋体" w:hint="eastAsia"/>
                <w:szCs w:val="24"/>
              </w:rPr>
              <w:t>重点工作办结率</w:t>
            </w:r>
            <w:r>
              <w:rPr>
                <w:rFonts w:ascii="宋体" w:hAnsi="宋体" w:cs="宋体"/>
                <w:szCs w:val="24"/>
              </w:rPr>
              <w:t>=</w:t>
            </w:r>
            <w:r>
              <w:rPr>
                <w:rFonts w:ascii="宋体" w:hAnsi="宋体" w:cs="宋体" w:hint="eastAsia"/>
                <w:szCs w:val="24"/>
              </w:rPr>
              <w:t>（重点工作实际完成数</w:t>
            </w:r>
            <w:r>
              <w:rPr>
                <w:rFonts w:ascii="宋体" w:hAnsi="宋体" w:cs="宋体"/>
                <w:szCs w:val="24"/>
              </w:rPr>
              <w:t>/</w:t>
            </w:r>
            <w:r>
              <w:rPr>
                <w:rFonts w:ascii="宋体" w:hAnsi="宋体" w:cs="宋体" w:hint="eastAsia"/>
                <w:szCs w:val="24"/>
              </w:rPr>
              <w:t>交办或下达数）×</w:t>
            </w:r>
            <w:r>
              <w:rPr>
                <w:rFonts w:ascii="宋体" w:hAnsi="宋体" w:cs="宋体"/>
                <w:szCs w:val="24"/>
              </w:rPr>
              <w:t>100%</w:t>
            </w:r>
            <w:r>
              <w:rPr>
                <w:rFonts w:ascii="宋体" w:hAnsi="宋体" w:cs="宋体" w:hint="eastAsia"/>
                <w:szCs w:val="24"/>
              </w:rPr>
              <w:t>。</w:t>
            </w:r>
            <w:r>
              <w:rPr>
                <w:rFonts w:ascii="宋体"/>
                <w:szCs w:val="24"/>
              </w:rPr>
              <w:br/>
            </w:r>
            <w:r>
              <w:rPr>
                <w:rFonts w:ascii="宋体" w:hAnsi="宋体" w:cs="宋体" w:hint="eastAsia"/>
                <w:szCs w:val="24"/>
              </w:rPr>
              <w:t>重点工作是指党委、政府、人大、相关部门交办或下达的工作任务。</w:t>
            </w:r>
          </w:p>
        </w:tc>
      </w:tr>
      <w:tr w:rsidR="00C76734">
        <w:trPr>
          <w:trHeight w:val="709"/>
          <w:jc w:val="center"/>
        </w:trPr>
        <w:tc>
          <w:tcPr>
            <w:tcW w:w="307" w:type="pct"/>
            <w:vMerge w:val="restart"/>
            <w:noWrap/>
            <w:tcMar>
              <w:top w:w="10" w:type="dxa"/>
              <w:left w:w="10" w:type="dxa"/>
              <w:bottom w:w="0" w:type="dxa"/>
              <w:right w:w="10" w:type="dxa"/>
            </w:tcMar>
            <w:textDirection w:val="tbRlV"/>
            <w:vAlign w:val="center"/>
          </w:tcPr>
          <w:p w:rsidR="00C76734" w:rsidRDefault="00316AB5">
            <w:pPr>
              <w:spacing w:line="240" w:lineRule="exact"/>
              <w:jc w:val="center"/>
              <w:rPr>
                <w:rFonts w:ascii="宋体"/>
                <w:szCs w:val="24"/>
              </w:rPr>
            </w:pPr>
            <w:r>
              <w:rPr>
                <w:rFonts w:ascii="宋体" w:hAnsi="宋体" w:cs="宋体" w:hint="eastAsia"/>
                <w:szCs w:val="24"/>
              </w:rPr>
              <w:t>效</w:t>
            </w:r>
            <w:r>
              <w:rPr>
                <w:rFonts w:ascii="宋体" w:hAnsi="宋体" w:cs="宋体"/>
                <w:szCs w:val="24"/>
              </w:rPr>
              <w:t xml:space="preserve">   </w:t>
            </w:r>
            <w:r>
              <w:rPr>
                <w:rFonts w:ascii="宋体" w:hAnsi="宋体" w:cs="宋体" w:hint="eastAsia"/>
                <w:szCs w:val="24"/>
              </w:rPr>
              <w:t>果（</w:t>
            </w:r>
            <w:r>
              <w:rPr>
                <w:rFonts w:ascii="宋体" w:hAnsi="宋体" w:cs="宋体"/>
                <w:szCs w:val="24"/>
              </w:rPr>
              <w:t>20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履职</w:t>
            </w:r>
            <w:r>
              <w:rPr>
                <w:rFonts w:ascii="宋体"/>
                <w:szCs w:val="24"/>
              </w:rPr>
              <w:br/>
            </w:r>
            <w:r>
              <w:rPr>
                <w:rFonts w:ascii="宋体" w:hAnsi="宋体" w:cs="宋体" w:hint="eastAsia"/>
                <w:szCs w:val="24"/>
              </w:rPr>
              <w:t>效益（</w:t>
            </w:r>
            <w:r>
              <w:rPr>
                <w:rFonts w:ascii="宋体" w:hAnsi="宋体" w:cs="宋体"/>
                <w:szCs w:val="24"/>
              </w:rPr>
              <w:t>20</w:t>
            </w:r>
            <w:r>
              <w:rPr>
                <w:rFonts w:ascii="宋体" w:hAnsi="宋体" w:cs="宋体" w:hint="eastAsia"/>
                <w:szCs w:val="24"/>
              </w:rPr>
              <w:t>分）</w:t>
            </w: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经济效益（</w:t>
            </w:r>
            <w:r>
              <w:rPr>
                <w:rFonts w:ascii="宋体" w:hAnsi="宋体" w:cs="宋体"/>
                <w:szCs w:val="24"/>
              </w:rPr>
              <w:t>5</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部门履行职责对经济发展所带来的直接或间接影响。</w:t>
            </w:r>
          </w:p>
        </w:tc>
        <w:tc>
          <w:tcPr>
            <w:tcW w:w="1867" w:type="pct"/>
            <w:vMerge w:val="restart"/>
            <w:tcMar>
              <w:top w:w="10" w:type="dxa"/>
              <w:left w:w="10" w:type="dxa"/>
              <w:bottom w:w="0" w:type="dxa"/>
              <w:right w:w="10" w:type="dxa"/>
            </w:tcMar>
            <w:vAlign w:val="center"/>
          </w:tcPr>
          <w:p w:rsidR="00C76734" w:rsidRDefault="00316AB5">
            <w:pPr>
              <w:spacing w:line="240" w:lineRule="exact"/>
              <w:ind w:leftChars="50" w:left="105" w:rightChars="50" w:right="105"/>
              <w:rPr>
                <w:rFonts w:ascii="宋体"/>
                <w:szCs w:val="24"/>
              </w:rPr>
            </w:pPr>
            <w:r>
              <w:rPr>
                <w:rFonts w:ascii="宋体" w:hAnsi="宋体" w:cs="宋体" w:hint="eastAsia"/>
                <w:szCs w:val="24"/>
              </w:rPr>
              <w:t>此三项指标为设置部门整体支出绩效评价指标时必须考虑的共性要素，可根据部门实际并结合部门整体支出绩效目标设立情况有选择的进行设置，并将其细化为相应的个性化指标。</w:t>
            </w:r>
          </w:p>
        </w:tc>
      </w:tr>
      <w:tr w:rsidR="00C76734">
        <w:trPr>
          <w:trHeight w:val="709"/>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社会效益（</w:t>
            </w:r>
            <w:r>
              <w:rPr>
                <w:rFonts w:ascii="宋体" w:hAnsi="宋体" w:cs="宋体"/>
                <w:szCs w:val="24"/>
              </w:rPr>
              <w:t>5</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部门履行职责对社会发展所带来的直接或间接影响。</w:t>
            </w:r>
          </w:p>
        </w:tc>
        <w:tc>
          <w:tcPr>
            <w:tcW w:w="1867" w:type="pct"/>
            <w:vMerge/>
            <w:vAlign w:val="center"/>
          </w:tcPr>
          <w:p w:rsidR="00C76734" w:rsidRDefault="00C76734">
            <w:pPr>
              <w:spacing w:line="240" w:lineRule="exact"/>
              <w:ind w:leftChars="50" w:left="105" w:rightChars="50" w:right="105"/>
              <w:rPr>
                <w:rFonts w:ascii="宋体"/>
                <w:szCs w:val="24"/>
              </w:rPr>
            </w:pPr>
          </w:p>
        </w:tc>
      </w:tr>
      <w:tr w:rsidR="00C76734">
        <w:trPr>
          <w:trHeight w:val="709"/>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生态效益（</w:t>
            </w:r>
            <w:r>
              <w:rPr>
                <w:rFonts w:ascii="宋体" w:hAnsi="宋体" w:cs="宋体"/>
                <w:szCs w:val="24"/>
              </w:rPr>
              <w:t>5</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部门履行职责对生态环境所带来的直接或间接影响。</w:t>
            </w:r>
          </w:p>
        </w:tc>
        <w:tc>
          <w:tcPr>
            <w:tcW w:w="1867" w:type="pct"/>
            <w:vMerge/>
            <w:vAlign w:val="center"/>
          </w:tcPr>
          <w:p w:rsidR="00C76734" w:rsidRDefault="00C76734">
            <w:pPr>
              <w:spacing w:line="240" w:lineRule="exact"/>
              <w:ind w:leftChars="50" w:left="105" w:rightChars="50" w:right="105"/>
              <w:rPr>
                <w:rFonts w:ascii="宋体"/>
                <w:szCs w:val="24"/>
              </w:rPr>
            </w:pPr>
          </w:p>
        </w:tc>
      </w:tr>
      <w:tr w:rsidR="00C76734">
        <w:trPr>
          <w:trHeight w:val="1063"/>
          <w:jc w:val="center"/>
        </w:trPr>
        <w:tc>
          <w:tcPr>
            <w:tcW w:w="307" w:type="pct"/>
            <w:vMerge/>
            <w:vAlign w:val="center"/>
          </w:tcPr>
          <w:p w:rsidR="00C76734" w:rsidRDefault="00C76734">
            <w:pPr>
              <w:spacing w:line="240" w:lineRule="exact"/>
              <w:rPr>
                <w:rFonts w:ascii="宋体"/>
                <w:szCs w:val="24"/>
              </w:rPr>
            </w:pPr>
          </w:p>
        </w:tc>
        <w:tc>
          <w:tcPr>
            <w:tcW w:w="375" w:type="pct"/>
            <w:vMerge/>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316AB5">
            <w:pPr>
              <w:spacing w:line="240" w:lineRule="exact"/>
              <w:jc w:val="center"/>
              <w:rPr>
                <w:rFonts w:ascii="宋体"/>
                <w:szCs w:val="24"/>
              </w:rPr>
            </w:pPr>
            <w:r>
              <w:rPr>
                <w:rFonts w:ascii="宋体" w:hAnsi="宋体" w:cs="宋体" w:hint="eastAsia"/>
                <w:szCs w:val="24"/>
              </w:rPr>
              <w:t>社会公众</w:t>
            </w:r>
          </w:p>
          <w:p w:rsidR="00C76734" w:rsidRDefault="00316AB5">
            <w:pPr>
              <w:spacing w:line="240" w:lineRule="exact"/>
              <w:jc w:val="center"/>
              <w:rPr>
                <w:rFonts w:ascii="宋体"/>
                <w:szCs w:val="24"/>
              </w:rPr>
            </w:pPr>
            <w:r>
              <w:rPr>
                <w:rFonts w:ascii="宋体" w:hAnsi="宋体" w:cs="宋体" w:hint="eastAsia"/>
                <w:szCs w:val="24"/>
              </w:rPr>
              <w:t>或服务对</w:t>
            </w:r>
          </w:p>
          <w:p w:rsidR="00C76734" w:rsidRDefault="00316AB5">
            <w:pPr>
              <w:spacing w:line="240" w:lineRule="exact"/>
              <w:jc w:val="center"/>
              <w:rPr>
                <w:rFonts w:ascii="宋体"/>
                <w:szCs w:val="24"/>
              </w:rPr>
            </w:pPr>
            <w:r>
              <w:rPr>
                <w:rFonts w:ascii="宋体" w:hAnsi="宋体" w:cs="宋体" w:hint="eastAsia"/>
                <w:szCs w:val="24"/>
              </w:rPr>
              <w:t>象满意度（</w:t>
            </w:r>
            <w:r>
              <w:rPr>
                <w:rFonts w:ascii="宋体" w:hAnsi="宋体" w:cs="宋体"/>
                <w:szCs w:val="24"/>
              </w:rPr>
              <w:t>5</w:t>
            </w:r>
            <w:r>
              <w:rPr>
                <w:rFonts w:ascii="宋体" w:hAnsi="宋体" w:cs="宋体" w:hint="eastAsia"/>
                <w:szCs w:val="24"/>
              </w:rPr>
              <w:t>分）</w:t>
            </w: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rsidR="00C76734" w:rsidRDefault="00316AB5">
            <w:pPr>
              <w:tabs>
                <w:tab w:val="left" w:pos="2604"/>
              </w:tabs>
              <w:spacing w:line="240" w:lineRule="exact"/>
              <w:ind w:leftChars="50" w:left="105" w:rightChars="50" w:right="105" w:firstLineChars="46" w:firstLine="97"/>
              <w:rPr>
                <w:rFonts w:ascii="宋体"/>
                <w:szCs w:val="24"/>
              </w:rPr>
            </w:pPr>
            <w:r>
              <w:rPr>
                <w:rFonts w:ascii="宋体" w:hAnsi="宋体" w:cs="宋体" w:hint="eastAsia"/>
                <w:szCs w:val="24"/>
              </w:rPr>
              <w:t>社会公众或部门的服务对象对部门履职效果的满意程</w:t>
            </w:r>
            <w:bookmarkStart w:id="0" w:name="_GoBack"/>
            <w:bookmarkEnd w:id="0"/>
            <w:r>
              <w:rPr>
                <w:rFonts w:ascii="宋体" w:hAnsi="宋体" w:cs="宋体" w:hint="eastAsia"/>
                <w:szCs w:val="24"/>
              </w:rPr>
              <w:t>度。</w:t>
            </w:r>
          </w:p>
        </w:tc>
        <w:tc>
          <w:tcPr>
            <w:tcW w:w="1867" w:type="pct"/>
            <w:tcMar>
              <w:top w:w="10" w:type="dxa"/>
              <w:left w:w="10" w:type="dxa"/>
              <w:bottom w:w="0" w:type="dxa"/>
              <w:right w:w="10" w:type="dxa"/>
            </w:tcMar>
            <w:vAlign w:val="center"/>
          </w:tcPr>
          <w:p w:rsidR="00C76734" w:rsidRDefault="00316AB5">
            <w:pPr>
              <w:spacing w:line="240" w:lineRule="exact"/>
              <w:ind w:leftChars="50" w:left="105" w:rightChars="50" w:right="105"/>
              <w:rPr>
                <w:rFonts w:ascii="宋体"/>
                <w:szCs w:val="24"/>
              </w:rPr>
            </w:pPr>
            <w:r>
              <w:rPr>
                <w:rFonts w:ascii="宋体" w:hAnsi="宋体" w:cs="宋体" w:hint="eastAsia"/>
                <w:szCs w:val="24"/>
              </w:rPr>
              <w:t>社会公众或服务对象是指部门履行职责而影响到的部门、群体或个人。一般采取社会调查的方式。</w:t>
            </w:r>
          </w:p>
        </w:tc>
      </w:tr>
      <w:tr w:rsidR="00C76734">
        <w:trPr>
          <w:trHeight w:val="692"/>
          <w:jc w:val="center"/>
        </w:trPr>
        <w:tc>
          <w:tcPr>
            <w:tcW w:w="307" w:type="pct"/>
            <w:vAlign w:val="center"/>
          </w:tcPr>
          <w:p w:rsidR="00C76734" w:rsidRDefault="00316AB5">
            <w:pPr>
              <w:spacing w:line="240" w:lineRule="exact"/>
              <w:rPr>
                <w:rFonts w:ascii="宋体"/>
                <w:szCs w:val="24"/>
              </w:rPr>
            </w:pPr>
            <w:r>
              <w:rPr>
                <w:rFonts w:ascii="宋体" w:hAnsi="宋体" w:cs="宋体" w:hint="eastAsia"/>
                <w:szCs w:val="24"/>
              </w:rPr>
              <w:t>总分</w:t>
            </w:r>
          </w:p>
        </w:tc>
        <w:tc>
          <w:tcPr>
            <w:tcW w:w="375" w:type="pct"/>
            <w:vAlign w:val="center"/>
          </w:tcPr>
          <w:p w:rsidR="00C76734" w:rsidRDefault="00C76734">
            <w:pPr>
              <w:spacing w:line="240" w:lineRule="exact"/>
              <w:rPr>
                <w:rFonts w:ascii="宋体"/>
                <w:szCs w:val="24"/>
              </w:rPr>
            </w:pPr>
          </w:p>
        </w:tc>
        <w:tc>
          <w:tcPr>
            <w:tcW w:w="500" w:type="pct"/>
            <w:tcMar>
              <w:top w:w="10" w:type="dxa"/>
              <w:left w:w="10" w:type="dxa"/>
              <w:bottom w:w="0" w:type="dxa"/>
              <w:right w:w="10" w:type="dxa"/>
            </w:tcMar>
            <w:vAlign w:val="center"/>
          </w:tcPr>
          <w:p w:rsidR="00C76734" w:rsidRDefault="00C76734">
            <w:pPr>
              <w:spacing w:line="240" w:lineRule="exact"/>
              <w:jc w:val="center"/>
              <w:rPr>
                <w:rFonts w:ascii="宋体"/>
                <w:color w:val="000000"/>
                <w:szCs w:val="24"/>
              </w:rPr>
            </w:pPr>
          </w:p>
        </w:tc>
        <w:tc>
          <w:tcPr>
            <w:tcW w:w="375" w:type="pct"/>
            <w:vAlign w:val="center"/>
          </w:tcPr>
          <w:p w:rsidR="00C76734" w:rsidRDefault="00316AB5">
            <w:pPr>
              <w:tabs>
                <w:tab w:val="left" w:pos="2604"/>
              </w:tabs>
              <w:spacing w:line="240" w:lineRule="exact"/>
              <w:ind w:leftChars="50" w:left="105" w:rightChars="50" w:right="105" w:firstLineChars="46" w:firstLine="97"/>
              <w:jc w:val="center"/>
              <w:rPr>
                <w:rFonts w:ascii="宋体"/>
                <w:b/>
                <w:color w:val="000000"/>
                <w:szCs w:val="24"/>
              </w:rPr>
            </w:pPr>
            <w:r>
              <w:rPr>
                <w:rFonts w:ascii="宋体"/>
                <w:b/>
                <w:color w:val="000000"/>
                <w:szCs w:val="24"/>
              </w:rPr>
              <w:t>93</w:t>
            </w:r>
          </w:p>
        </w:tc>
        <w:tc>
          <w:tcPr>
            <w:tcW w:w="1576" w:type="pct"/>
            <w:tcMar>
              <w:top w:w="10" w:type="dxa"/>
              <w:left w:w="10" w:type="dxa"/>
              <w:bottom w:w="0" w:type="dxa"/>
              <w:right w:w="10" w:type="dxa"/>
            </w:tcMar>
            <w:vAlign w:val="center"/>
          </w:tcPr>
          <w:p w:rsidR="00C76734" w:rsidRDefault="00C76734">
            <w:pPr>
              <w:tabs>
                <w:tab w:val="left" w:pos="2604"/>
              </w:tabs>
              <w:spacing w:line="240" w:lineRule="exact"/>
              <w:ind w:leftChars="50" w:left="105" w:rightChars="50" w:right="105" w:firstLineChars="46" w:firstLine="97"/>
              <w:rPr>
                <w:rFonts w:ascii="宋体"/>
                <w:szCs w:val="24"/>
              </w:rPr>
            </w:pPr>
          </w:p>
        </w:tc>
        <w:tc>
          <w:tcPr>
            <w:tcW w:w="1867" w:type="pct"/>
            <w:tcMar>
              <w:top w:w="10" w:type="dxa"/>
              <w:left w:w="10" w:type="dxa"/>
              <w:bottom w:w="0" w:type="dxa"/>
              <w:right w:w="10" w:type="dxa"/>
            </w:tcMar>
            <w:vAlign w:val="center"/>
          </w:tcPr>
          <w:p w:rsidR="00C76734" w:rsidRDefault="00C76734">
            <w:pPr>
              <w:spacing w:line="240" w:lineRule="exact"/>
              <w:ind w:leftChars="50" w:left="105" w:rightChars="50" w:right="105"/>
              <w:rPr>
                <w:rFonts w:ascii="宋体"/>
                <w:szCs w:val="24"/>
              </w:rPr>
            </w:pPr>
          </w:p>
        </w:tc>
      </w:tr>
    </w:tbl>
    <w:p w:rsidR="00C76734" w:rsidRDefault="00C76734">
      <w:pPr>
        <w:widowControl w:val="0"/>
        <w:spacing w:line="560" w:lineRule="exact"/>
        <w:ind w:firstLineChars="200" w:firstLine="880"/>
        <w:jc w:val="center"/>
        <w:rPr>
          <w:rFonts w:ascii="方正小标宋简体" w:eastAsia="方正小标宋简体" w:hAnsi="方正小标宋简体" w:cs="方正小标宋简体"/>
          <w:sz w:val="44"/>
          <w:szCs w:val="44"/>
          <w:lang w:val="zh-CN"/>
        </w:rPr>
      </w:pPr>
    </w:p>
    <w:sectPr w:rsidR="00C76734" w:rsidSect="00E229B7">
      <w:footerReference w:type="default" r:id="rId8"/>
      <w:pgSz w:w="12240" w:h="15840" w:code="1"/>
      <w:pgMar w:top="2098" w:right="1474" w:bottom="1985" w:left="1588" w:header="720" w:footer="17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1A9" w:rsidRDefault="00E941A9">
      <w:r>
        <w:separator/>
      </w:r>
    </w:p>
  </w:endnote>
  <w:endnote w:type="continuationSeparator" w:id="0">
    <w:p w:rsidR="00E941A9" w:rsidRDefault="00E941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572116"/>
      <w:docPartObj>
        <w:docPartGallery w:val="Page Numbers (Bottom of Page)"/>
        <w:docPartUnique/>
      </w:docPartObj>
    </w:sdtPr>
    <w:sdtContent>
      <w:p w:rsidR="00E229B7" w:rsidRDefault="003C0A20">
        <w:pPr>
          <w:pStyle w:val="a3"/>
          <w:jc w:val="center"/>
        </w:pPr>
        <w:r>
          <w:fldChar w:fldCharType="begin"/>
        </w:r>
        <w:r w:rsidR="00E229B7">
          <w:instrText>PAGE   \* MERGEFORMAT</w:instrText>
        </w:r>
        <w:r>
          <w:fldChar w:fldCharType="separate"/>
        </w:r>
        <w:r w:rsidR="002772A9" w:rsidRPr="002772A9">
          <w:rPr>
            <w:noProof/>
            <w:lang w:val="zh-CN"/>
          </w:rPr>
          <w:t>28</w:t>
        </w:r>
        <w:r>
          <w:fldChar w:fldCharType="end"/>
        </w:r>
      </w:p>
    </w:sdtContent>
  </w:sdt>
  <w:p w:rsidR="00C76734" w:rsidRDefault="00C7673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1A9" w:rsidRDefault="00E941A9">
      <w:r>
        <w:separator/>
      </w:r>
    </w:p>
  </w:footnote>
  <w:footnote w:type="continuationSeparator" w:id="0">
    <w:p w:rsidR="00E941A9" w:rsidRDefault="00E941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FF7139"/>
    <w:multiLevelType w:val="multilevel"/>
    <w:tmpl w:val="F8FF7139"/>
    <w:lvl w:ilvl="0">
      <w:start w:val="2"/>
      <w:numFmt w:val="chineseCounting"/>
      <w:suff w:val="nothing"/>
      <w:lvlText w:val="%1、"/>
      <w:lvlJc w:val="left"/>
      <w:pPr>
        <w:ind w:left="-33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FFFFFF7C"/>
    <w:multiLevelType w:val="singleLevel"/>
    <w:tmpl w:val="70ACF1A8"/>
    <w:lvl w:ilvl="0">
      <w:start w:val="1"/>
      <w:numFmt w:val="decimal"/>
      <w:lvlText w:val="%1."/>
      <w:lvlJc w:val="left"/>
      <w:pPr>
        <w:tabs>
          <w:tab w:val="num" w:pos="2040"/>
        </w:tabs>
        <w:ind w:leftChars="800" w:left="2040" w:hangingChars="200" w:hanging="360"/>
      </w:pPr>
    </w:lvl>
  </w:abstractNum>
  <w:abstractNum w:abstractNumId="2">
    <w:nsid w:val="FFFFFF7D"/>
    <w:multiLevelType w:val="singleLevel"/>
    <w:tmpl w:val="48A07712"/>
    <w:lvl w:ilvl="0">
      <w:start w:val="1"/>
      <w:numFmt w:val="decimal"/>
      <w:lvlText w:val="%1."/>
      <w:lvlJc w:val="left"/>
      <w:pPr>
        <w:tabs>
          <w:tab w:val="num" w:pos="1620"/>
        </w:tabs>
        <w:ind w:leftChars="600" w:left="1620" w:hangingChars="200" w:hanging="360"/>
      </w:pPr>
    </w:lvl>
  </w:abstractNum>
  <w:abstractNum w:abstractNumId="3">
    <w:nsid w:val="FFFFFF7E"/>
    <w:multiLevelType w:val="singleLevel"/>
    <w:tmpl w:val="8F40FCFE"/>
    <w:lvl w:ilvl="0">
      <w:start w:val="1"/>
      <w:numFmt w:val="decimal"/>
      <w:lvlText w:val="%1."/>
      <w:lvlJc w:val="left"/>
      <w:pPr>
        <w:tabs>
          <w:tab w:val="num" w:pos="1200"/>
        </w:tabs>
        <w:ind w:leftChars="400" w:left="1200" w:hangingChars="200" w:hanging="360"/>
      </w:pPr>
    </w:lvl>
  </w:abstractNum>
  <w:abstractNum w:abstractNumId="4">
    <w:nsid w:val="FFFFFF7F"/>
    <w:multiLevelType w:val="singleLevel"/>
    <w:tmpl w:val="E9CA72DA"/>
    <w:lvl w:ilvl="0">
      <w:start w:val="1"/>
      <w:numFmt w:val="decimal"/>
      <w:lvlText w:val="%1."/>
      <w:lvlJc w:val="left"/>
      <w:pPr>
        <w:tabs>
          <w:tab w:val="num" w:pos="780"/>
        </w:tabs>
        <w:ind w:leftChars="200" w:left="780" w:hangingChars="200" w:hanging="360"/>
      </w:pPr>
    </w:lvl>
  </w:abstractNum>
  <w:abstractNum w:abstractNumId="5">
    <w:nsid w:val="FFFFFF80"/>
    <w:multiLevelType w:val="singleLevel"/>
    <w:tmpl w:val="9DA690D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DAE4079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1DEEB79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FDD22EF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7D42C58A"/>
    <w:lvl w:ilvl="0">
      <w:start w:val="1"/>
      <w:numFmt w:val="decimal"/>
      <w:lvlText w:val="%1."/>
      <w:lvlJc w:val="left"/>
      <w:pPr>
        <w:tabs>
          <w:tab w:val="num" w:pos="360"/>
        </w:tabs>
        <w:ind w:left="360" w:hangingChars="200" w:hanging="360"/>
      </w:pPr>
    </w:lvl>
  </w:abstractNum>
  <w:abstractNum w:abstractNumId="10">
    <w:nsid w:val="FFFFFF89"/>
    <w:multiLevelType w:val="singleLevel"/>
    <w:tmpl w:val="6C6C047A"/>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2A32A6C"/>
    <w:multiLevelType w:val="multilevel"/>
    <w:tmpl w:val="02A32A6C"/>
    <w:lvl w:ilvl="0">
      <w:start w:val="2"/>
      <w:numFmt w:val="chineseCounting"/>
      <w:suff w:val="space"/>
      <w:lvlText w:val="第%1部分"/>
      <w:lvlJc w:val="left"/>
    </w:lvl>
    <w:lvl w:ilvl="1">
      <w:start w:val="1"/>
      <w:numFmt w:val="decimal"/>
      <w:lvlText w:val="第部分"/>
      <w:lvlJc w:val="left"/>
    </w:lvl>
    <w:lvl w:ilvl="2">
      <w:start w:val="1"/>
      <w:numFmt w:val="decimal"/>
      <w:lvlText w:val="第部分"/>
      <w:lvlJc w:val="left"/>
    </w:lvl>
    <w:lvl w:ilvl="3">
      <w:start w:val="1"/>
      <w:numFmt w:val="decimal"/>
      <w:lvlText w:val="第部分"/>
      <w:lvlJc w:val="left"/>
    </w:lvl>
    <w:lvl w:ilvl="4">
      <w:start w:val="1"/>
      <w:numFmt w:val="decimal"/>
      <w:lvlText w:val="第部分"/>
      <w:lvlJc w:val="left"/>
    </w:lvl>
    <w:lvl w:ilvl="5">
      <w:start w:val="1"/>
      <w:numFmt w:val="decimal"/>
      <w:lvlText w:val="第部分"/>
      <w:lvlJc w:val="left"/>
    </w:lvl>
    <w:lvl w:ilvl="6">
      <w:start w:val="1"/>
      <w:numFmt w:val="decimal"/>
      <w:lvlText w:val="第部分"/>
      <w:lvlJc w:val="left"/>
    </w:lvl>
    <w:lvl w:ilvl="7">
      <w:start w:val="1"/>
      <w:numFmt w:val="decimal"/>
      <w:lvlText w:val="第部分"/>
      <w:lvlJc w:val="left"/>
    </w:lvl>
    <w:lvl w:ilvl="8">
      <w:start w:val="1"/>
      <w:numFmt w:val="decimal"/>
      <w:lvlText w:val="第部分"/>
      <w:lvlJc w:val="left"/>
    </w:lvl>
  </w:abstractNum>
  <w:num w:numId="1">
    <w:abstractNumId w:val="11"/>
  </w:num>
  <w:num w:numId="2">
    <w:abstractNumId w:val="0"/>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noLineBreaksAfter w:lang="zh-CN" w:val="([{·‘“〈《「『【〔〖（．［｛￡￥"/>
  <w:noLineBreaksBefore w:lang="zh-CN" w:val="!),.:;?]}¨·ˇˉ―‖’”…∶、。〃々〉》」』】〕〗！＂＇），．：；？］｀｜｝～￠"/>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253E"/>
    <w:rsid w:val="001C1FBE"/>
    <w:rsid w:val="002772A9"/>
    <w:rsid w:val="002F5E93"/>
    <w:rsid w:val="00316AB5"/>
    <w:rsid w:val="00382270"/>
    <w:rsid w:val="003C0A20"/>
    <w:rsid w:val="003D26A4"/>
    <w:rsid w:val="004E4157"/>
    <w:rsid w:val="008C253E"/>
    <w:rsid w:val="009D0833"/>
    <w:rsid w:val="00A543DF"/>
    <w:rsid w:val="00AB1985"/>
    <w:rsid w:val="00B638A7"/>
    <w:rsid w:val="00C76734"/>
    <w:rsid w:val="00E229B7"/>
    <w:rsid w:val="00E31F3C"/>
    <w:rsid w:val="00E941A9"/>
    <w:rsid w:val="08ED2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unhideWhenUsed="1"/>
    <w:lsdException w:name="header" w:unhideWhenUsed="1"/>
    <w:lsdException w:name="footer" w:unhideWhenUsed="1"/>
    <w:lsdException w:name="caption" w:semiHidden="1" w:unhideWhenUsed="1"/>
    <w:lsdException w:name="page number" w:unhideWhenUsed="1" w:qFormat="0"/>
    <w:lsdException w:name="Default Paragraph Font" w:semiHidden="1" w:uiPriority="1" w:unhideWhenUsed="1" w:qFormat="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qFormat="0"/>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rsid w:val="003C0A20"/>
    <w:pPr>
      <w:jc w:val="both"/>
    </w:pPr>
    <w:rPr>
      <w:rFonts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3C0A20"/>
    <w:rPr>
      <w:szCs w:val="24"/>
    </w:rPr>
  </w:style>
  <w:style w:type="paragraph" w:styleId="a3">
    <w:name w:val="footer"/>
    <w:basedOn w:val="a"/>
    <w:link w:val="Char"/>
    <w:uiPriority w:val="99"/>
    <w:unhideWhenUsed/>
    <w:qFormat/>
    <w:rsid w:val="003C0A20"/>
    <w:pPr>
      <w:tabs>
        <w:tab w:val="center" w:pos="4153"/>
        <w:tab w:val="right" w:pos="8306"/>
      </w:tabs>
      <w:snapToGrid w:val="0"/>
      <w:jc w:val="left"/>
    </w:pPr>
    <w:rPr>
      <w:sz w:val="18"/>
      <w:szCs w:val="24"/>
    </w:rPr>
  </w:style>
  <w:style w:type="paragraph" w:styleId="a4">
    <w:name w:val="header"/>
    <w:basedOn w:val="a"/>
    <w:link w:val="Char0"/>
    <w:uiPriority w:val="99"/>
    <w:unhideWhenUsed/>
    <w:qFormat/>
    <w:rsid w:val="003C0A20"/>
    <w:pPr>
      <w:tabs>
        <w:tab w:val="center" w:pos="4153"/>
        <w:tab w:val="right" w:pos="8306"/>
      </w:tabs>
      <w:snapToGrid w:val="0"/>
    </w:pPr>
    <w:rPr>
      <w:sz w:val="18"/>
      <w:szCs w:val="24"/>
    </w:rPr>
  </w:style>
  <w:style w:type="paragraph" w:styleId="a5">
    <w:name w:val="Normal (Web)"/>
    <w:basedOn w:val="a"/>
    <w:uiPriority w:val="99"/>
    <w:unhideWhenUsed/>
    <w:qFormat/>
    <w:rsid w:val="003C0A20"/>
    <w:pPr>
      <w:spacing w:before="100" w:beforeAutospacing="1" w:after="100" w:afterAutospacing="1"/>
      <w:jc w:val="left"/>
    </w:pPr>
    <w:rPr>
      <w:kern w:val="0"/>
      <w:sz w:val="24"/>
      <w:szCs w:val="24"/>
    </w:rPr>
  </w:style>
  <w:style w:type="character" w:styleId="a6">
    <w:name w:val="page number"/>
    <w:basedOn w:val="a0"/>
    <w:uiPriority w:val="99"/>
    <w:unhideWhenUsed/>
    <w:rsid w:val="003C0A20"/>
  </w:style>
  <w:style w:type="character" w:customStyle="1" w:styleId="Char0">
    <w:name w:val="页眉 Char"/>
    <w:basedOn w:val="a0"/>
    <w:link w:val="a4"/>
    <w:uiPriority w:val="99"/>
    <w:semiHidden/>
    <w:rsid w:val="003C0A20"/>
    <w:rPr>
      <w:rFonts w:cs="Times New Roman"/>
      <w:sz w:val="18"/>
      <w:szCs w:val="18"/>
    </w:rPr>
  </w:style>
  <w:style w:type="character" w:customStyle="1" w:styleId="Char">
    <w:name w:val="页脚 Char"/>
    <w:basedOn w:val="a0"/>
    <w:link w:val="a3"/>
    <w:uiPriority w:val="99"/>
    <w:rsid w:val="003C0A20"/>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2022-03-21T02:03:00Z</dcterms:created>
  <dcterms:modified xsi:type="dcterms:W3CDTF">2022-05-29T03:46:00Z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73E210D16411468987E78A2A2A59B52A</vt:lpwstr>
  </property>
</Properties>
</file>