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4F1" w:rsidRDefault="00D834F1" w:rsidP="00D834F1">
      <w:pPr>
        <w:widowControl w:val="0"/>
        <w:spacing w:line="560" w:lineRule="exact"/>
        <w:rPr>
          <w:rFonts w:ascii="仿宋_GB2312" w:eastAsia="仿宋_GB2312"/>
          <w:sz w:val="32"/>
          <w:szCs w:val="32"/>
          <w:highlight w:val="white"/>
        </w:rPr>
      </w:pPr>
    </w:p>
    <w:p w:rsidR="00B66FB7" w:rsidRPr="00D834F1" w:rsidRDefault="00211D18" w:rsidP="00D834F1">
      <w:pPr>
        <w:widowControl w:val="0"/>
        <w:spacing w:line="560" w:lineRule="exact"/>
        <w:jc w:val="center"/>
        <w:rPr>
          <w:rFonts w:ascii="方正小标宋简体" w:eastAsia="方正小标宋简体" w:hint="eastAsia"/>
          <w:sz w:val="42"/>
          <w:szCs w:val="42"/>
          <w:highlight w:val="white"/>
        </w:rPr>
      </w:pPr>
      <w:r w:rsidRPr="00D834F1">
        <w:rPr>
          <w:rFonts w:ascii="方正小标宋简体" w:eastAsia="方正小标宋简体" w:hint="eastAsia"/>
          <w:sz w:val="42"/>
          <w:szCs w:val="42"/>
          <w:highlight w:val="white"/>
        </w:rPr>
        <w:t>2020年度益阳市泉交河镇人民政府部门决算</w:t>
      </w:r>
    </w:p>
    <w:p w:rsidR="00B66FB7" w:rsidRPr="00D834F1" w:rsidRDefault="00B66FB7" w:rsidP="00D834F1">
      <w:pPr>
        <w:widowControl w:val="0"/>
        <w:spacing w:line="560" w:lineRule="exact"/>
        <w:ind w:firstLineChars="200" w:firstLine="640"/>
        <w:rPr>
          <w:rFonts w:ascii="仿宋_GB2312" w:eastAsia="仿宋_GB2312" w:hint="eastAsia"/>
          <w:sz w:val="32"/>
          <w:szCs w:val="32"/>
          <w:highlight w:val="white"/>
        </w:rPr>
      </w:pPr>
    </w:p>
    <w:p w:rsidR="00B66FB7" w:rsidRPr="00D834F1" w:rsidRDefault="00211D18" w:rsidP="00D834F1">
      <w:pPr>
        <w:widowControl w:val="0"/>
        <w:spacing w:line="560" w:lineRule="exact"/>
        <w:jc w:val="center"/>
        <w:rPr>
          <w:rFonts w:ascii="黑体" w:eastAsia="黑体" w:hAnsi="黑体" w:hint="eastAsia"/>
          <w:sz w:val="32"/>
          <w:szCs w:val="32"/>
          <w:highlight w:val="white"/>
        </w:rPr>
      </w:pPr>
      <w:r w:rsidRPr="00D834F1">
        <w:rPr>
          <w:rFonts w:ascii="黑体" w:eastAsia="黑体" w:hAnsi="黑体" w:hint="eastAsia"/>
          <w:sz w:val="32"/>
          <w:szCs w:val="32"/>
          <w:highlight w:val="white"/>
        </w:rPr>
        <w:t>目 录</w:t>
      </w:r>
    </w:p>
    <w:p w:rsidR="00B66FB7" w:rsidRPr="00D834F1" w:rsidRDefault="00211D18" w:rsidP="00D834F1">
      <w:pPr>
        <w:widowControl w:val="0"/>
        <w:spacing w:line="560" w:lineRule="exact"/>
        <w:ind w:firstLineChars="200" w:firstLine="640"/>
        <w:rPr>
          <w:rFonts w:ascii="黑体" w:eastAsia="黑体" w:hAnsi="黑体" w:hint="eastAsia"/>
          <w:sz w:val="32"/>
          <w:szCs w:val="32"/>
          <w:highlight w:val="white"/>
        </w:rPr>
      </w:pPr>
      <w:r w:rsidRPr="00D834F1">
        <w:rPr>
          <w:rFonts w:ascii="黑体" w:eastAsia="黑体" w:hAnsi="黑体" w:hint="eastAsia"/>
          <w:sz w:val="32"/>
          <w:szCs w:val="32"/>
          <w:highlight w:val="white"/>
        </w:rPr>
        <w:t>第一部分 益阳市泉交河镇人民政府概况</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一、部门职责</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二、机构设置</w:t>
      </w:r>
    </w:p>
    <w:p w:rsidR="00B66FB7" w:rsidRPr="00D834F1" w:rsidRDefault="00211D18" w:rsidP="00D834F1">
      <w:pPr>
        <w:widowControl w:val="0"/>
        <w:spacing w:line="560" w:lineRule="exact"/>
        <w:ind w:firstLineChars="200" w:firstLine="640"/>
        <w:rPr>
          <w:rFonts w:ascii="黑体" w:eastAsia="黑体" w:hAnsi="黑体" w:hint="eastAsia"/>
          <w:sz w:val="32"/>
          <w:szCs w:val="32"/>
          <w:highlight w:val="white"/>
        </w:rPr>
      </w:pPr>
      <w:r w:rsidRPr="00D834F1">
        <w:rPr>
          <w:rFonts w:ascii="黑体" w:eastAsia="黑体" w:hAnsi="黑体" w:hint="eastAsia"/>
          <w:sz w:val="32"/>
          <w:szCs w:val="32"/>
          <w:highlight w:val="white"/>
        </w:rPr>
        <w:t>第二部分 益阳市泉交河镇人民政府2020年度部门决算表</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一、收入支出决算总表</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二、收入决算表</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三、支出决算表</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四、财政拨款收入支出决算总表</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五、一般公共预算财政拨款支出决算表</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六、一般公共预算财政拨款基本支出决算表</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七、一般公共预算财政拨款“三公”经费支出决算表</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八、政府性基金预算财政拨款收入支出决算表</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九、国有资本经营预算财政拨款收入支出决算表</w:t>
      </w:r>
    </w:p>
    <w:p w:rsidR="00B66FB7" w:rsidRPr="00D834F1" w:rsidRDefault="00211D18" w:rsidP="00D834F1">
      <w:pPr>
        <w:widowControl w:val="0"/>
        <w:spacing w:line="560" w:lineRule="exact"/>
        <w:ind w:firstLineChars="200" w:firstLine="640"/>
        <w:rPr>
          <w:rFonts w:ascii="黑体" w:eastAsia="黑体" w:hAnsi="黑体" w:hint="eastAsia"/>
          <w:sz w:val="32"/>
          <w:szCs w:val="32"/>
          <w:highlight w:val="white"/>
        </w:rPr>
      </w:pPr>
      <w:r w:rsidRPr="00D834F1">
        <w:rPr>
          <w:rFonts w:ascii="黑体" w:eastAsia="黑体" w:hAnsi="黑体" w:hint="eastAsia"/>
          <w:sz w:val="32"/>
          <w:szCs w:val="32"/>
          <w:highlight w:val="white"/>
        </w:rPr>
        <w:t>第三部分 益阳市泉交河镇人民政府2020年度部门决算情况说明</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一、收入支出决算总体情况说明</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二、收入决算情况说明</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三、支出决算情况说明</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lastRenderedPageBreak/>
        <w:t>四、财政拨款收入支出决算总体情况说明</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五、一般公共预算财政拨款支出决算情况说明</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六、一般公共预算财政拨款基本支出决算情况说明</w:t>
      </w:r>
    </w:p>
    <w:p w:rsidR="00B66FB7" w:rsidRPr="00D834F1" w:rsidRDefault="00211D18" w:rsidP="00D834F1">
      <w:pPr>
        <w:widowControl w:val="0"/>
        <w:spacing w:line="560" w:lineRule="exact"/>
        <w:ind w:firstLineChars="200" w:firstLine="640"/>
        <w:rPr>
          <w:rFonts w:ascii="仿宋_GB2312" w:eastAsia="仿宋_GB2312" w:hint="eastAsia"/>
          <w:sz w:val="32"/>
          <w:szCs w:val="32"/>
        </w:rPr>
      </w:pPr>
      <w:r w:rsidRPr="00D834F1">
        <w:rPr>
          <w:rFonts w:ascii="仿宋_GB2312" w:eastAsia="仿宋_GB2312" w:hint="eastAsia"/>
          <w:sz w:val="32"/>
          <w:szCs w:val="32"/>
        </w:rPr>
        <w:t>七、一般公共预算财政拨款三公经费支出决算情况说明</w:t>
      </w:r>
    </w:p>
    <w:p w:rsidR="00B66FB7" w:rsidRPr="00D834F1" w:rsidRDefault="00211D18" w:rsidP="00D834F1">
      <w:pPr>
        <w:widowControl w:val="0"/>
        <w:spacing w:line="560" w:lineRule="exact"/>
        <w:ind w:firstLineChars="200" w:firstLine="640"/>
        <w:rPr>
          <w:rFonts w:ascii="仿宋_GB2312" w:eastAsia="仿宋_GB2312" w:hint="eastAsia"/>
          <w:sz w:val="32"/>
          <w:szCs w:val="32"/>
        </w:rPr>
      </w:pPr>
      <w:r w:rsidRPr="00D834F1">
        <w:rPr>
          <w:rFonts w:ascii="仿宋_GB2312" w:eastAsia="仿宋_GB2312" w:hint="eastAsia"/>
          <w:sz w:val="32"/>
          <w:szCs w:val="32"/>
        </w:rPr>
        <w:t>八、政府性基金预算收入支出决算情况</w:t>
      </w:r>
    </w:p>
    <w:p w:rsidR="00B66FB7" w:rsidRPr="00D834F1" w:rsidRDefault="00211D18" w:rsidP="00D834F1">
      <w:pPr>
        <w:widowControl w:val="0"/>
        <w:spacing w:line="560" w:lineRule="exact"/>
        <w:ind w:firstLineChars="200" w:firstLine="640"/>
        <w:rPr>
          <w:rFonts w:ascii="仿宋_GB2312" w:eastAsia="仿宋_GB2312" w:hint="eastAsia"/>
          <w:sz w:val="32"/>
          <w:szCs w:val="32"/>
        </w:rPr>
      </w:pPr>
      <w:r w:rsidRPr="00D834F1">
        <w:rPr>
          <w:rFonts w:ascii="仿宋_GB2312" w:eastAsia="仿宋_GB2312" w:hint="eastAsia"/>
          <w:sz w:val="32"/>
          <w:szCs w:val="32"/>
        </w:rPr>
        <w:t>九、国有资本经营预算财政拨款支出决算情况</w:t>
      </w:r>
    </w:p>
    <w:p w:rsidR="00B66FB7" w:rsidRPr="00D834F1" w:rsidRDefault="00211D18" w:rsidP="00D834F1">
      <w:pPr>
        <w:widowControl w:val="0"/>
        <w:spacing w:line="560" w:lineRule="exact"/>
        <w:ind w:firstLineChars="200" w:firstLine="640"/>
        <w:rPr>
          <w:rFonts w:ascii="仿宋_GB2312" w:eastAsia="仿宋_GB2312" w:hint="eastAsia"/>
          <w:sz w:val="32"/>
          <w:szCs w:val="32"/>
        </w:rPr>
      </w:pPr>
      <w:r w:rsidRPr="00D834F1">
        <w:rPr>
          <w:rFonts w:ascii="仿宋_GB2312" w:eastAsia="仿宋_GB2312" w:hint="eastAsia"/>
          <w:sz w:val="32"/>
          <w:szCs w:val="32"/>
        </w:rPr>
        <w:t>十、关于机关运行经费支出说明</w:t>
      </w:r>
    </w:p>
    <w:p w:rsidR="00B66FB7" w:rsidRPr="00D834F1" w:rsidRDefault="00211D18" w:rsidP="00D834F1">
      <w:pPr>
        <w:widowControl w:val="0"/>
        <w:spacing w:line="560" w:lineRule="exact"/>
        <w:ind w:firstLineChars="200" w:firstLine="640"/>
        <w:rPr>
          <w:rFonts w:ascii="仿宋_GB2312" w:eastAsia="仿宋_GB2312" w:hint="eastAsia"/>
          <w:sz w:val="32"/>
          <w:szCs w:val="32"/>
        </w:rPr>
      </w:pPr>
      <w:r w:rsidRPr="00D834F1">
        <w:rPr>
          <w:rFonts w:ascii="仿宋_GB2312" w:eastAsia="仿宋_GB2312" w:hint="eastAsia"/>
          <w:sz w:val="32"/>
          <w:szCs w:val="32"/>
        </w:rPr>
        <w:t>十一、一般性支出情况</w:t>
      </w:r>
    </w:p>
    <w:p w:rsidR="00B66FB7" w:rsidRPr="00D834F1" w:rsidRDefault="00211D18" w:rsidP="00D834F1">
      <w:pPr>
        <w:widowControl w:val="0"/>
        <w:spacing w:line="560" w:lineRule="exact"/>
        <w:ind w:firstLineChars="200" w:firstLine="640"/>
        <w:rPr>
          <w:rFonts w:ascii="仿宋_GB2312" w:eastAsia="仿宋_GB2312" w:hint="eastAsia"/>
          <w:sz w:val="32"/>
          <w:szCs w:val="32"/>
        </w:rPr>
      </w:pPr>
      <w:r w:rsidRPr="00D834F1">
        <w:rPr>
          <w:rFonts w:ascii="仿宋_GB2312" w:eastAsia="仿宋_GB2312" w:hint="eastAsia"/>
          <w:sz w:val="32"/>
          <w:szCs w:val="32"/>
        </w:rPr>
        <w:t>十二、关于政府采购支出说明</w:t>
      </w:r>
    </w:p>
    <w:p w:rsidR="00B66FB7" w:rsidRPr="00D834F1" w:rsidRDefault="00211D18" w:rsidP="00D834F1">
      <w:pPr>
        <w:widowControl w:val="0"/>
        <w:spacing w:line="560" w:lineRule="exact"/>
        <w:ind w:firstLineChars="200" w:firstLine="640"/>
        <w:rPr>
          <w:rFonts w:ascii="仿宋_GB2312" w:eastAsia="仿宋_GB2312" w:hint="eastAsia"/>
          <w:sz w:val="32"/>
          <w:szCs w:val="32"/>
        </w:rPr>
      </w:pPr>
      <w:r w:rsidRPr="00D834F1">
        <w:rPr>
          <w:rFonts w:ascii="仿宋_GB2312" w:eastAsia="仿宋_GB2312" w:hint="eastAsia"/>
          <w:sz w:val="32"/>
          <w:szCs w:val="32"/>
        </w:rPr>
        <w:t>十三、关于国有资产占用情况说明</w:t>
      </w:r>
    </w:p>
    <w:p w:rsidR="00B66FB7" w:rsidRPr="00D834F1" w:rsidRDefault="00211D18" w:rsidP="00D834F1">
      <w:pPr>
        <w:widowControl w:val="0"/>
        <w:spacing w:line="560" w:lineRule="exact"/>
        <w:ind w:firstLineChars="200" w:firstLine="640"/>
        <w:rPr>
          <w:rFonts w:ascii="仿宋_GB2312" w:eastAsia="仿宋_GB2312" w:hint="eastAsia"/>
          <w:sz w:val="32"/>
          <w:szCs w:val="32"/>
        </w:rPr>
      </w:pPr>
      <w:r w:rsidRPr="00D834F1">
        <w:rPr>
          <w:rFonts w:ascii="仿宋_GB2312" w:eastAsia="仿宋_GB2312" w:hint="eastAsia"/>
          <w:sz w:val="32"/>
          <w:szCs w:val="32"/>
        </w:rPr>
        <w:t>十四、关于2020年度预算绩效情况的说明</w:t>
      </w:r>
    </w:p>
    <w:p w:rsidR="00B66FB7" w:rsidRPr="00D834F1" w:rsidRDefault="00211D18" w:rsidP="00D834F1">
      <w:pPr>
        <w:widowControl w:val="0"/>
        <w:spacing w:line="560" w:lineRule="exact"/>
        <w:ind w:firstLineChars="200" w:firstLine="640"/>
        <w:rPr>
          <w:rFonts w:ascii="黑体" w:eastAsia="黑体" w:hAnsi="黑体" w:hint="eastAsia"/>
          <w:sz w:val="32"/>
          <w:szCs w:val="32"/>
          <w:highlight w:val="white"/>
        </w:rPr>
      </w:pPr>
      <w:r w:rsidRPr="00D834F1">
        <w:rPr>
          <w:rFonts w:ascii="黑体" w:eastAsia="黑体" w:hAnsi="黑体" w:hint="eastAsia"/>
          <w:sz w:val="32"/>
          <w:szCs w:val="32"/>
          <w:highlight w:val="white"/>
        </w:rPr>
        <w:t>第四部分 名词解释</w:t>
      </w:r>
    </w:p>
    <w:p w:rsidR="00B66FB7" w:rsidRPr="00D834F1" w:rsidRDefault="00211D18" w:rsidP="00D834F1">
      <w:pPr>
        <w:widowControl w:val="0"/>
        <w:spacing w:line="560" w:lineRule="exact"/>
        <w:ind w:firstLineChars="200" w:firstLine="640"/>
        <w:rPr>
          <w:rFonts w:ascii="黑体" w:eastAsia="黑体" w:hAnsi="黑体" w:hint="eastAsia"/>
          <w:sz w:val="32"/>
          <w:szCs w:val="32"/>
          <w:highlight w:val="white"/>
        </w:rPr>
      </w:pPr>
      <w:r w:rsidRPr="00D834F1">
        <w:rPr>
          <w:rFonts w:ascii="黑体" w:eastAsia="黑体" w:hAnsi="黑体" w:hint="eastAsia"/>
          <w:sz w:val="32"/>
          <w:szCs w:val="32"/>
          <w:highlight w:val="white"/>
        </w:rPr>
        <w:t>第五部分 附件</w:t>
      </w:r>
    </w:p>
    <w:p w:rsidR="00B66FB7" w:rsidRPr="00D834F1" w:rsidRDefault="00B66FB7" w:rsidP="00D834F1">
      <w:pPr>
        <w:widowControl w:val="0"/>
        <w:spacing w:line="560" w:lineRule="exact"/>
        <w:ind w:firstLineChars="200" w:firstLine="640"/>
        <w:rPr>
          <w:rFonts w:ascii="仿宋_GB2312" w:eastAsia="仿宋_GB2312" w:hint="eastAsia"/>
          <w:sz w:val="32"/>
          <w:szCs w:val="32"/>
          <w:highlight w:val="white"/>
        </w:rPr>
      </w:pPr>
    </w:p>
    <w:p w:rsidR="00B66FB7" w:rsidRPr="00D834F1" w:rsidRDefault="00B66FB7" w:rsidP="00D834F1">
      <w:pPr>
        <w:widowControl w:val="0"/>
        <w:spacing w:line="560" w:lineRule="exact"/>
        <w:ind w:firstLineChars="200" w:firstLine="640"/>
        <w:rPr>
          <w:rFonts w:ascii="仿宋_GB2312" w:eastAsia="仿宋_GB2312" w:hint="eastAsia"/>
          <w:sz w:val="32"/>
          <w:szCs w:val="32"/>
          <w:highlight w:val="white"/>
        </w:rPr>
      </w:pPr>
    </w:p>
    <w:p w:rsidR="00405402" w:rsidRDefault="00405402">
      <w:pPr>
        <w:jc w:val="left"/>
        <w:rPr>
          <w:rFonts w:ascii="仿宋_GB2312" w:eastAsia="仿宋_GB2312"/>
          <w:sz w:val="32"/>
          <w:szCs w:val="32"/>
          <w:highlight w:val="white"/>
        </w:rPr>
      </w:pPr>
      <w:r>
        <w:rPr>
          <w:rFonts w:ascii="仿宋_GB2312" w:eastAsia="仿宋_GB2312"/>
          <w:sz w:val="32"/>
          <w:szCs w:val="32"/>
          <w:highlight w:val="white"/>
        </w:rPr>
        <w:br w:type="page"/>
      </w:r>
    </w:p>
    <w:p w:rsidR="00405402" w:rsidRPr="00405402" w:rsidRDefault="00211D18" w:rsidP="00405402">
      <w:pPr>
        <w:widowControl w:val="0"/>
        <w:spacing w:line="560" w:lineRule="exact"/>
        <w:rPr>
          <w:rFonts w:ascii="黑体" w:eastAsia="黑体" w:hAnsi="黑体"/>
          <w:sz w:val="32"/>
          <w:szCs w:val="32"/>
          <w:highlight w:val="white"/>
        </w:rPr>
      </w:pPr>
      <w:r w:rsidRPr="00405402">
        <w:rPr>
          <w:rFonts w:ascii="黑体" w:eastAsia="黑体" w:hAnsi="黑体" w:hint="eastAsia"/>
          <w:sz w:val="32"/>
          <w:szCs w:val="32"/>
          <w:highlight w:val="white"/>
        </w:rPr>
        <w:lastRenderedPageBreak/>
        <w:t>第一部分</w:t>
      </w:r>
      <w:r w:rsidR="00405402" w:rsidRPr="00405402">
        <w:rPr>
          <w:rFonts w:ascii="黑体" w:eastAsia="黑体" w:hAnsi="黑体" w:hint="eastAsia"/>
          <w:sz w:val="32"/>
          <w:szCs w:val="32"/>
          <w:highlight w:val="white"/>
        </w:rPr>
        <w:t>：</w:t>
      </w:r>
    </w:p>
    <w:p w:rsidR="00B66FB7" w:rsidRPr="00405402" w:rsidRDefault="00211D18" w:rsidP="00405402">
      <w:pPr>
        <w:widowControl w:val="0"/>
        <w:spacing w:line="560" w:lineRule="exact"/>
        <w:jc w:val="center"/>
        <w:rPr>
          <w:rFonts w:ascii="方正小标宋简体" w:eastAsia="方正小标宋简体" w:hint="eastAsia"/>
          <w:sz w:val="42"/>
          <w:szCs w:val="42"/>
          <w:highlight w:val="white"/>
        </w:rPr>
      </w:pPr>
      <w:r w:rsidRPr="00405402">
        <w:rPr>
          <w:rFonts w:ascii="方正小标宋简体" w:eastAsia="方正小标宋简体" w:hint="eastAsia"/>
          <w:sz w:val="42"/>
          <w:szCs w:val="42"/>
          <w:highlight w:val="white"/>
        </w:rPr>
        <w:t>益阳市泉交河镇人民政府概况</w:t>
      </w:r>
    </w:p>
    <w:p w:rsidR="00405402" w:rsidRDefault="00405402" w:rsidP="00D834F1">
      <w:pPr>
        <w:widowControl w:val="0"/>
        <w:spacing w:line="560" w:lineRule="exact"/>
        <w:ind w:firstLineChars="200" w:firstLine="640"/>
        <w:rPr>
          <w:rFonts w:ascii="仿宋_GB2312" w:eastAsia="仿宋_GB2312"/>
          <w:sz w:val="32"/>
          <w:szCs w:val="32"/>
          <w:highlight w:val="white"/>
        </w:rPr>
      </w:pPr>
    </w:p>
    <w:p w:rsidR="00B66FB7" w:rsidRPr="00405402" w:rsidRDefault="00211D18" w:rsidP="00D834F1">
      <w:pPr>
        <w:widowControl w:val="0"/>
        <w:spacing w:line="560" w:lineRule="exact"/>
        <w:ind w:firstLineChars="200" w:firstLine="640"/>
        <w:rPr>
          <w:rFonts w:ascii="黑体" w:eastAsia="黑体" w:hAnsi="黑体" w:hint="eastAsia"/>
          <w:sz w:val="32"/>
          <w:szCs w:val="32"/>
          <w:highlight w:val="white"/>
        </w:rPr>
      </w:pPr>
      <w:r w:rsidRPr="00405402">
        <w:rPr>
          <w:rFonts w:ascii="黑体" w:eastAsia="黑体" w:hAnsi="黑体" w:hint="eastAsia"/>
          <w:sz w:val="32"/>
          <w:szCs w:val="32"/>
          <w:highlight w:val="white"/>
        </w:rPr>
        <w:t>一、部门职责</w:t>
      </w:r>
    </w:p>
    <w:p w:rsidR="00B66FB7" w:rsidRPr="00D834F1" w:rsidRDefault="00211D18" w:rsidP="00D834F1">
      <w:pPr>
        <w:widowControl w:val="0"/>
        <w:spacing w:line="560" w:lineRule="exact"/>
        <w:ind w:firstLineChars="200" w:firstLine="640"/>
        <w:rPr>
          <w:rFonts w:ascii="仿宋_GB2312" w:eastAsia="仿宋_GB2312" w:hint="eastAsia"/>
          <w:sz w:val="32"/>
          <w:szCs w:val="32"/>
        </w:rPr>
      </w:pPr>
      <w:r w:rsidRPr="00D834F1">
        <w:rPr>
          <w:rFonts w:ascii="仿宋_GB2312" w:eastAsia="仿宋_GB2312" w:hint="eastAsia"/>
          <w:sz w:val="32"/>
          <w:szCs w:val="32"/>
        </w:rPr>
        <w:t>益阳市赫山区泉交河人民政府系正科级行政机关。单位办公地址位于赫山区泉交河镇莲花路和泉交河镇武圣路。根据赫山区机构编制委员会办公室《关于印发赫山区乡镇机关职能配置、内设机构和人员编制规定的通知》文件精神，我镇设置党政机构7个，均为正股级。</w:t>
      </w:r>
    </w:p>
    <w:p w:rsidR="00B66FB7" w:rsidRPr="00D834F1" w:rsidRDefault="00211D18" w:rsidP="00D834F1">
      <w:pPr>
        <w:widowControl w:val="0"/>
        <w:spacing w:line="560" w:lineRule="exact"/>
        <w:ind w:firstLineChars="200" w:firstLine="640"/>
        <w:rPr>
          <w:rFonts w:ascii="仿宋_GB2312" w:eastAsia="仿宋_GB2312" w:hint="eastAsia"/>
          <w:sz w:val="32"/>
          <w:szCs w:val="32"/>
        </w:rPr>
      </w:pPr>
      <w:r w:rsidRPr="00D834F1">
        <w:rPr>
          <w:rFonts w:ascii="仿宋_GB2312" w:eastAsia="仿宋_GB2312" w:hint="eastAsia"/>
          <w:sz w:val="32"/>
          <w:szCs w:val="32"/>
        </w:rPr>
        <w:t>（一）党政办公室。协助乡镇（街道）领导处理党委、人大、政府日常事务和政协委员联络事务；负责党委、人大、政府工作的综合协调和督查督办；负责机关文电、重要文稿、综合调研、信息、机要、保密、档案、会务、接待、行政后勤等工作；负责综合协调、督查督办、综合考核等工作。</w:t>
      </w:r>
    </w:p>
    <w:p w:rsidR="00B66FB7" w:rsidRPr="00D834F1" w:rsidRDefault="00211D18" w:rsidP="00D834F1">
      <w:pPr>
        <w:widowControl w:val="0"/>
        <w:spacing w:line="560" w:lineRule="exact"/>
        <w:ind w:firstLineChars="200" w:firstLine="640"/>
        <w:rPr>
          <w:rFonts w:ascii="仿宋_GB2312" w:eastAsia="仿宋_GB2312" w:hint="eastAsia"/>
          <w:sz w:val="32"/>
          <w:szCs w:val="32"/>
        </w:rPr>
      </w:pPr>
      <w:r w:rsidRPr="00D834F1">
        <w:rPr>
          <w:rFonts w:ascii="仿宋_GB2312" w:eastAsia="仿宋_GB2312" w:hint="eastAsia"/>
          <w:sz w:val="32"/>
          <w:szCs w:val="32"/>
        </w:rPr>
        <w:t>（二）党建办公室。负责基层党组织建设和党员队伍建设工作；负责机关纪检监察工作；负责干部人事、宣传、统战、武装、机构编制工作；负责离退休干部管理服务工作；负责工会、共青团、妇联等群团组织的日常工作。</w:t>
      </w:r>
    </w:p>
    <w:p w:rsidR="00B66FB7" w:rsidRPr="00D834F1" w:rsidRDefault="00211D18" w:rsidP="00D834F1">
      <w:pPr>
        <w:widowControl w:val="0"/>
        <w:spacing w:line="560" w:lineRule="exact"/>
        <w:ind w:firstLineChars="200" w:firstLine="640"/>
        <w:rPr>
          <w:rFonts w:ascii="仿宋_GB2312" w:eastAsia="仿宋_GB2312" w:hint="eastAsia"/>
          <w:sz w:val="32"/>
          <w:szCs w:val="32"/>
        </w:rPr>
      </w:pPr>
      <w:r w:rsidRPr="00D834F1">
        <w:rPr>
          <w:rFonts w:ascii="仿宋_GB2312" w:eastAsia="仿宋_GB2312" w:hint="eastAsia"/>
          <w:sz w:val="32"/>
          <w:szCs w:val="32"/>
        </w:rPr>
        <w:t>（三）经济发展办公室（挂农业农村和扶贫办公室牌子）。负责编制经济社会发展规划和年度计划，负责协调推进工业经济、乡村振兴、农业产业发展、农村集体经济与农民专业合作社发展、乡村人居环境整治等工作；负责招商引资工作；负责</w:t>
      </w:r>
      <w:r w:rsidRPr="00D834F1">
        <w:rPr>
          <w:rFonts w:ascii="仿宋_GB2312" w:eastAsia="仿宋_GB2312" w:hint="eastAsia"/>
          <w:sz w:val="32"/>
          <w:szCs w:val="32"/>
        </w:rPr>
        <w:lastRenderedPageBreak/>
        <w:t>交通公路、农业、水利、移民、扶贫等重点项目建设管理工作；负责经济社会调查统计工作；负责脱贫攻坚、农业农村、农业机械、畜牧兽医水产渔政、水利、移民开发、农民负担监督等方面的综合行政管理工作。</w:t>
      </w:r>
    </w:p>
    <w:p w:rsidR="00B66FB7" w:rsidRPr="00D834F1" w:rsidRDefault="00211D18" w:rsidP="00D834F1">
      <w:pPr>
        <w:widowControl w:val="0"/>
        <w:spacing w:line="560" w:lineRule="exact"/>
        <w:ind w:firstLineChars="200" w:firstLine="640"/>
        <w:rPr>
          <w:rFonts w:ascii="仿宋_GB2312" w:eastAsia="仿宋_GB2312" w:hint="eastAsia"/>
          <w:sz w:val="32"/>
          <w:szCs w:val="32"/>
        </w:rPr>
      </w:pPr>
      <w:r w:rsidRPr="00D834F1">
        <w:rPr>
          <w:rFonts w:ascii="仿宋_GB2312" w:eastAsia="仿宋_GB2312" w:hint="eastAsia"/>
          <w:sz w:val="32"/>
          <w:szCs w:val="32"/>
        </w:rPr>
        <w:t>（四）社会事务办公室。负责科技、教育、人力资源与社会保障、民政、社会救助、社区建设、医疗保障、卫生健康与计划生育、文化旅游广电体育、民族宗教、侨务、退役军人事务等方面的综合行政管理工作。</w:t>
      </w:r>
    </w:p>
    <w:p w:rsidR="00B66FB7" w:rsidRPr="00D834F1" w:rsidRDefault="00211D18" w:rsidP="00D834F1">
      <w:pPr>
        <w:widowControl w:val="0"/>
        <w:spacing w:line="560" w:lineRule="exact"/>
        <w:ind w:firstLineChars="200" w:firstLine="640"/>
        <w:rPr>
          <w:rFonts w:ascii="仿宋_GB2312" w:eastAsia="仿宋_GB2312" w:hint="eastAsia"/>
          <w:sz w:val="32"/>
          <w:szCs w:val="32"/>
        </w:rPr>
      </w:pPr>
      <w:r w:rsidRPr="00D834F1">
        <w:rPr>
          <w:rFonts w:ascii="仿宋_GB2312" w:eastAsia="仿宋_GB2312" w:hint="eastAsia"/>
          <w:sz w:val="32"/>
          <w:szCs w:val="32"/>
        </w:rPr>
        <w:t>（五）自然资源和生态环境办公室（挂村镇规划建设和管理办公室牌子）。负责自然资源（含林政资源）、生态环境保护、村镇规划、村镇建设、城市（村镇）管理等方面的综合行政管理工作，负责生态环境、地质灾害隐患排查，突发环境污染事件的应急管理与处置。</w:t>
      </w:r>
    </w:p>
    <w:p w:rsidR="00B66FB7" w:rsidRPr="00D834F1" w:rsidRDefault="00211D18" w:rsidP="00D834F1">
      <w:pPr>
        <w:widowControl w:val="0"/>
        <w:spacing w:line="560" w:lineRule="exact"/>
        <w:ind w:firstLineChars="200" w:firstLine="640"/>
        <w:rPr>
          <w:rFonts w:ascii="仿宋_GB2312" w:eastAsia="仿宋_GB2312" w:hint="eastAsia"/>
          <w:sz w:val="32"/>
          <w:szCs w:val="32"/>
        </w:rPr>
      </w:pPr>
      <w:r w:rsidRPr="00D834F1">
        <w:rPr>
          <w:rFonts w:ascii="仿宋_GB2312" w:eastAsia="仿宋_GB2312" w:hint="eastAsia"/>
          <w:sz w:val="32"/>
          <w:szCs w:val="32"/>
        </w:rPr>
        <w:t>（六）社会治安和应急管理办公室。负责社会治安综合治理、维护稳定、信访、防范邪教、平安建设等工作；负责综治中心平台建设管理；协调公安派出所、公安交警中队、司法所、基层法庭工作。负责突发公共事件（含防汛抗旱、地质灾害、森林防火、消防安全、抗震救灾、防灾减灾、社会安全等）应急管理与处置、安全生产监督管理工作。</w:t>
      </w:r>
    </w:p>
    <w:p w:rsidR="00B66FB7" w:rsidRPr="00D834F1" w:rsidRDefault="00211D18" w:rsidP="00D834F1">
      <w:pPr>
        <w:widowControl w:val="0"/>
        <w:spacing w:line="560" w:lineRule="exact"/>
        <w:ind w:firstLineChars="200" w:firstLine="640"/>
        <w:rPr>
          <w:rFonts w:ascii="仿宋_GB2312" w:eastAsia="仿宋_GB2312" w:hint="eastAsia"/>
          <w:sz w:val="32"/>
          <w:szCs w:val="32"/>
        </w:rPr>
      </w:pPr>
      <w:r w:rsidRPr="00D834F1">
        <w:rPr>
          <w:rFonts w:ascii="仿宋_GB2312" w:eastAsia="仿宋_GB2312" w:hint="eastAsia"/>
          <w:sz w:val="32"/>
          <w:szCs w:val="32"/>
        </w:rPr>
        <w:t>（七）财政财务管理办公室。负责财政预算编制、居民补贴资金发放、财政性资金监督管理、国有资产管理、债权债务管理；组织协调收入征收；负责机关和直属单位财务管理和政</w:t>
      </w:r>
      <w:r w:rsidRPr="00D834F1">
        <w:rPr>
          <w:rFonts w:ascii="仿宋_GB2312" w:eastAsia="仿宋_GB2312" w:hint="eastAsia"/>
          <w:sz w:val="32"/>
          <w:szCs w:val="32"/>
        </w:rPr>
        <w:lastRenderedPageBreak/>
        <w:t>府采购等工作；负责村级财务监督，推行村级账务政府购买服务。</w:t>
      </w:r>
    </w:p>
    <w:p w:rsidR="00B66FB7" w:rsidRPr="00405402" w:rsidRDefault="00211D18" w:rsidP="00D834F1">
      <w:pPr>
        <w:widowControl w:val="0"/>
        <w:spacing w:line="560" w:lineRule="exact"/>
        <w:ind w:firstLineChars="200" w:firstLine="640"/>
        <w:rPr>
          <w:rFonts w:ascii="黑体" w:eastAsia="黑体" w:hAnsi="黑体" w:hint="eastAsia"/>
          <w:sz w:val="32"/>
          <w:szCs w:val="32"/>
          <w:highlight w:val="white"/>
        </w:rPr>
      </w:pPr>
      <w:r w:rsidRPr="00405402">
        <w:rPr>
          <w:rFonts w:ascii="黑体" w:eastAsia="黑体" w:hAnsi="黑体" w:hint="eastAsia"/>
          <w:sz w:val="32"/>
          <w:szCs w:val="32"/>
          <w:highlight w:val="white"/>
        </w:rPr>
        <w:t xml:space="preserve"> 二、机构设置</w:t>
      </w:r>
    </w:p>
    <w:p w:rsidR="00B66FB7" w:rsidRPr="00D834F1" w:rsidRDefault="00211D18" w:rsidP="00D834F1">
      <w:pPr>
        <w:widowControl w:val="0"/>
        <w:spacing w:line="560" w:lineRule="exact"/>
        <w:ind w:firstLineChars="200" w:firstLine="640"/>
        <w:rPr>
          <w:rFonts w:ascii="仿宋_GB2312" w:eastAsia="仿宋_GB2312" w:hint="eastAsia"/>
          <w:sz w:val="32"/>
          <w:szCs w:val="32"/>
        </w:rPr>
      </w:pPr>
      <w:r w:rsidRPr="00D834F1">
        <w:rPr>
          <w:rFonts w:ascii="仿宋_GB2312" w:eastAsia="仿宋_GB2312" w:hint="eastAsia"/>
          <w:sz w:val="32"/>
          <w:szCs w:val="32"/>
        </w:rPr>
        <w:t>（一）内部机构设置</w:t>
      </w:r>
    </w:p>
    <w:p w:rsidR="00B66FB7" w:rsidRPr="00D834F1" w:rsidRDefault="00211D18" w:rsidP="00D834F1">
      <w:pPr>
        <w:widowControl w:val="0"/>
        <w:spacing w:line="560" w:lineRule="exact"/>
        <w:ind w:firstLineChars="200" w:firstLine="640"/>
        <w:rPr>
          <w:rFonts w:ascii="仿宋_GB2312" w:eastAsia="仿宋_GB2312" w:hint="eastAsia"/>
          <w:sz w:val="32"/>
          <w:szCs w:val="32"/>
        </w:rPr>
      </w:pPr>
      <w:r w:rsidRPr="00D834F1">
        <w:rPr>
          <w:rFonts w:ascii="仿宋_GB2312" w:eastAsia="仿宋_GB2312" w:hint="eastAsia"/>
          <w:sz w:val="32"/>
          <w:szCs w:val="32"/>
        </w:rPr>
        <w:t>益阳市泉交河镇人民政府单位内设机构包括：党政办公室、党建办公室、经济发展办公室、社会事务办公室、自然资源和生态环境办公室、社会治安和应急管理办公室、财政财务管理办公室等。截止2020年12月31日单位经区编核定的编制人数为98人,其中行政编制35、事业编制63人、目前实有在职行政编制人员25人，在职事业编制人员60人，其中：在职自收自支人员8人、离退休人员80人。</w:t>
      </w:r>
    </w:p>
    <w:p w:rsidR="00B66FB7" w:rsidRPr="00D834F1" w:rsidRDefault="00211D18" w:rsidP="00D834F1">
      <w:pPr>
        <w:widowControl w:val="0"/>
        <w:spacing w:line="560" w:lineRule="exact"/>
        <w:ind w:firstLineChars="200" w:firstLine="640"/>
        <w:rPr>
          <w:rFonts w:ascii="仿宋_GB2312" w:eastAsia="仿宋_GB2312" w:hint="eastAsia"/>
          <w:sz w:val="32"/>
          <w:szCs w:val="32"/>
        </w:rPr>
      </w:pPr>
      <w:r w:rsidRPr="00D834F1">
        <w:rPr>
          <w:rFonts w:ascii="仿宋_GB2312" w:eastAsia="仿宋_GB2312" w:hint="eastAsia"/>
          <w:sz w:val="32"/>
          <w:szCs w:val="32"/>
        </w:rPr>
        <w:t>（二）决算单位构成</w:t>
      </w:r>
    </w:p>
    <w:p w:rsidR="00B66FB7" w:rsidRPr="00D834F1" w:rsidRDefault="00211D18" w:rsidP="00D834F1">
      <w:pPr>
        <w:widowControl w:val="0"/>
        <w:spacing w:line="560" w:lineRule="exact"/>
        <w:ind w:firstLineChars="200" w:firstLine="640"/>
        <w:rPr>
          <w:rFonts w:ascii="仿宋_GB2312" w:eastAsia="仿宋_GB2312" w:hint="eastAsia"/>
          <w:sz w:val="32"/>
          <w:szCs w:val="32"/>
        </w:rPr>
      </w:pPr>
      <w:r w:rsidRPr="00D834F1">
        <w:rPr>
          <w:rFonts w:ascii="仿宋_GB2312" w:eastAsia="仿宋_GB2312" w:hint="eastAsia"/>
          <w:sz w:val="32"/>
          <w:szCs w:val="32"/>
        </w:rPr>
        <w:t>泉交河镇只有本级，没有其他二级决算单位，因此，纳入2020年部门决算编制范围只有泉交河镇本级。</w:t>
      </w:r>
    </w:p>
    <w:p w:rsidR="00B66FB7" w:rsidRPr="00D834F1" w:rsidRDefault="00B66FB7" w:rsidP="00D834F1">
      <w:pPr>
        <w:widowControl w:val="0"/>
        <w:spacing w:line="560" w:lineRule="exact"/>
        <w:ind w:firstLineChars="200" w:firstLine="640"/>
        <w:rPr>
          <w:rFonts w:ascii="仿宋_GB2312" w:eastAsia="仿宋_GB2312" w:hint="eastAsia"/>
          <w:sz w:val="32"/>
          <w:szCs w:val="32"/>
        </w:rPr>
      </w:pPr>
    </w:p>
    <w:p w:rsidR="00405402" w:rsidRPr="00405402" w:rsidRDefault="00211D18" w:rsidP="00405402">
      <w:pPr>
        <w:widowControl w:val="0"/>
        <w:spacing w:line="560" w:lineRule="exact"/>
        <w:rPr>
          <w:rFonts w:ascii="黑体" w:eastAsia="黑体" w:hAnsi="黑体"/>
          <w:sz w:val="32"/>
          <w:szCs w:val="32"/>
          <w:highlight w:val="white"/>
        </w:rPr>
      </w:pPr>
      <w:r w:rsidRPr="00405402">
        <w:rPr>
          <w:rFonts w:ascii="黑体" w:eastAsia="黑体" w:hAnsi="黑体" w:hint="eastAsia"/>
          <w:sz w:val="32"/>
          <w:szCs w:val="32"/>
          <w:highlight w:val="white"/>
        </w:rPr>
        <w:t>第二部分</w:t>
      </w:r>
      <w:r w:rsidR="00405402" w:rsidRPr="00405402">
        <w:rPr>
          <w:rFonts w:ascii="黑体" w:eastAsia="黑体" w:hAnsi="黑体" w:hint="eastAsia"/>
          <w:sz w:val="32"/>
          <w:szCs w:val="32"/>
          <w:highlight w:val="white"/>
        </w:rPr>
        <w:t>：</w:t>
      </w:r>
    </w:p>
    <w:p w:rsidR="00405402" w:rsidRDefault="00211D18" w:rsidP="00405402">
      <w:pPr>
        <w:widowControl w:val="0"/>
        <w:spacing w:line="560" w:lineRule="exact"/>
        <w:jc w:val="center"/>
        <w:rPr>
          <w:rFonts w:ascii="方正小标宋简体" w:eastAsia="方正小标宋简体"/>
          <w:sz w:val="42"/>
          <w:szCs w:val="42"/>
          <w:highlight w:val="white"/>
        </w:rPr>
      </w:pPr>
      <w:r w:rsidRPr="00405402">
        <w:rPr>
          <w:rFonts w:ascii="方正小标宋简体" w:eastAsia="方正小标宋简体" w:hint="eastAsia"/>
          <w:sz w:val="42"/>
          <w:szCs w:val="42"/>
          <w:highlight w:val="white"/>
        </w:rPr>
        <w:t>益阳市泉交河镇人民政府</w:t>
      </w:r>
    </w:p>
    <w:p w:rsidR="00B66FB7" w:rsidRPr="00405402" w:rsidRDefault="00211D18" w:rsidP="00405402">
      <w:pPr>
        <w:widowControl w:val="0"/>
        <w:spacing w:line="560" w:lineRule="exact"/>
        <w:jc w:val="center"/>
        <w:rPr>
          <w:rFonts w:ascii="方正小标宋简体" w:eastAsia="方正小标宋简体" w:hint="eastAsia"/>
          <w:sz w:val="42"/>
          <w:szCs w:val="42"/>
          <w:highlight w:val="white"/>
        </w:rPr>
      </w:pPr>
      <w:r w:rsidRPr="00405402">
        <w:rPr>
          <w:rFonts w:ascii="方正小标宋简体" w:eastAsia="方正小标宋简体" w:hint="eastAsia"/>
          <w:sz w:val="42"/>
          <w:szCs w:val="42"/>
          <w:highlight w:val="white"/>
        </w:rPr>
        <w:t>2020年度部门决算表（见附表）</w:t>
      </w:r>
    </w:p>
    <w:p w:rsidR="00B66FB7" w:rsidRPr="00D834F1" w:rsidRDefault="00B66FB7" w:rsidP="00D834F1">
      <w:pPr>
        <w:widowControl w:val="0"/>
        <w:spacing w:line="560" w:lineRule="exact"/>
        <w:ind w:firstLineChars="200" w:firstLine="640"/>
        <w:rPr>
          <w:rFonts w:ascii="仿宋_GB2312" w:eastAsia="仿宋_GB2312" w:hint="eastAsia"/>
          <w:sz w:val="32"/>
          <w:szCs w:val="32"/>
          <w:highlight w:val="white"/>
        </w:rPr>
      </w:pPr>
    </w:p>
    <w:p w:rsidR="00405402" w:rsidRPr="00405402" w:rsidRDefault="00211D18" w:rsidP="00405402">
      <w:pPr>
        <w:widowControl w:val="0"/>
        <w:spacing w:line="560" w:lineRule="exact"/>
        <w:rPr>
          <w:rFonts w:ascii="黑体" w:eastAsia="黑体" w:hAnsi="黑体"/>
          <w:sz w:val="32"/>
          <w:szCs w:val="32"/>
          <w:highlight w:val="white"/>
        </w:rPr>
      </w:pPr>
      <w:r w:rsidRPr="00405402">
        <w:rPr>
          <w:rFonts w:ascii="黑体" w:eastAsia="黑体" w:hAnsi="黑体" w:hint="eastAsia"/>
          <w:sz w:val="32"/>
          <w:szCs w:val="32"/>
          <w:highlight w:val="white"/>
        </w:rPr>
        <w:t>第三部分</w:t>
      </w:r>
      <w:r w:rsidR="00405402" w:rsidRPr="00405402">
        <w:rPr>
          <w:rFonts w:ascii="黑体" w:eastAsia="黑体" w:hAnsi="黑体" w:hint="eastAsia"/>
          <w:sz w:val="32"/>
          <w:szCs w:val="32"/>
          <w:highlight w:val="white"/>
        </w:rPr>
        <w:t>：</w:t>
      </w:r>
    </w:p>
    <w:p w:rsidR="00405402" w:rsidRDefault="00211D18" w:rsidP="00405402">
      <w:pPr>
        <w:widowControl w:val="0"/>
        <w:spacing w:line="560" w:lineRule="exact"/>
        <w:jc w:val="center"/>
        <w:rPr>
          <w:rFonts w:ascii="方正小标宋简体" w:eastAsia="方正小标宋简体"/>
          <w:sz w:val="42"/>
          <w:szCs w:val="42"/>
          <w:highlight w:val="white"/>
        </w:rPr>
      </w:pPr>
      <w:r w:rsidRPr="00405402">
        <w:rPr>
          <w:rFonts w:ascii="方正小标宋简体" w:eastAsia="方正小标宋简体" w:hint="eastAsia"/>
          <w:sz w:val="42"/>
          <w:szCs w:val="42"/>
          <w:highlight w:val="white"/>
        </w:rPr>
        <w:t>益阳市泉交河镇人民政府</w:t>
      </w:r>
    </w:p>
    <w:p w:rsidR="00B66FB7" w:rsidRPr="00405402" w:rsidRDefault="00211D18" w:rsidP="00405402">
      <w:pPr>
        <w:widowControl w:val="0"/>
        <w:spacing w:line="560" w:lineRule="exact"/>
        <w:jc w:val="center"/>
        <w:rPr>
          <w:rFonts w:ascii="方正小标宋简体" w:eastAsia="方正小标宋简体" w:hint="eastAsia"/>
          <w:sz w:val="42"/>
          <w:szCs w:val="42"/>
          <w:highlight w:val="white"/>
        </w:rPr>
      </w:pPr>
      <w:r w:rsidRPr="00405402">
        <w:rPr>
          <w:rFonts w:ascii="方正小标宋简体" w:eastAsia="方正小标宋简体" w:hint="eastAsia"/>
          <w:sz w:val="42"/>
          <w:szCs w:val="42"/>
          <w:highlight w:val="white"/>
        </w:rPr>
        <w:t>2020年度部门决算情况说明</w:t>
      </w:r>
    </w:p>
    <w:p w:rsidR="00405402" w:rsidRDefault="00405402" w:rsidP="00D834F1">
      <w:pPr>
        <w:widowControl w:val="0"/>
        <w:spacing w:line="560" w:lineRule="exact"/>
        <w:ind w:firstLineChars="200" w:firstLine="640"/>
        <w:rPr>
          <w:rFonts w:ascii="黑体" w:eastAsia="黑体" w:hAnsi="黑体"/>
          <w:sz w:val="32"/>
          <w:szCs w:val="32"/>
          <w:highlight w:val="white"/>
        </w:rPr>
      </w:pPr>
    </w:p>
    <w:p w:rsidR="00B66FB7" w:rsidRPr="00405402" w:rsidRDefault="00211D18" w:rsidP="00D834F1">
      <w:pPr>
        <w:widowControl w:val="0"/>
        <w:spacing w:line="560" w:lineRule="exact"/>
        <w:ind w:firstLineChars="200" w:firstLine="640"/>
        <w:rPr>
          <w:rFonts w:ascii="黑体" w:eastAsia="黑体" w:hAnsi="黑体" w:hint="eastAsia"/>
          <w:sz w:val="32"/>
          <w:szCs w:val="32"/>
          <w:highlight w:val="white"/>
        </w:rPr>
      </w:pPr>
      <w:r w:rsidRPr="00405402">
        <w:rPr>
          <w:rFonts w:ascii="黑体" w:eastAsia="黑体" w:hAnsi="黑体" w:hint="eastAsia"/>
          <w:sz w:val="32"/>
          <w:szCs w:val="32"/>
          <w:highlight w:val="white"/>
        </w:rPr>
        <w:t>一、收入支出决算总体情况说明</w:t>
      </w:r>
    </w:p>
    <w:p w:rsidR="00B66FB7" w:rsidRPr="00D834F1" w:rsidRDefault="00211D18" w:rsidP="00D834F1">
      <w:pPr>
        <w:widowControl w:val="0"/>
        <w:spacing w:line="560" w:lineRule="exact"/>
        <w:ind w:firstLineChars="200" w:firstLine="640"/>
        <w:rPr>
          <w:rFonts w:ascii="仿宋_GB2312" w:eastAsia="仿宋_GB2312" w:hint="eastAsia"/>
          <w:sz w:val="32"/>
          <w:szCs w:val="32"/>
        </w:rPr>
      </w:pPr>
      <w:r w:rsidRPr="00D834F1">
        <w:rPr>
          <w:rFonts w:ascii="仿宋_GB2312" w:eastAsia="仿宋_GB2312" w:hint="eastAsia"/>
          <w:sz w:val="32"/>
          <w:szCs w:val="32"/>
        </w:rPr>
        <w:t>2020年度收入15483.94万元，年初结转和结余2709.59万元，总计18193.54万元，与2019年收入（14973.78万元）相比，增加510.16万元，增长3.41%，主要原因是：一般公共服务支出增加，人员增加经费增加。</w:t>
      </w:r>
    </w:p>
    <w:p w:rsidR="00B66FB7" w:rsidRPr="00D834F1" w:rsidRDefault="00211D18" w:rsidP="00D834F1">
      <w:pPr>
        <w:widowControl w:val="0"/>
        <w:spacing w:line="560" w:lineRule="exact"/>
        <w:ind w:firstLineChars="200" w:firstLine="640"/>
        <w:rPr>
          <w:rFonts w:ascii="仿宋_GB2312" w:eastAsia="仿宋_GB2312" w:hint="eastAsia"/>
          <w:sz w:val="32"/>
          <w:szCs w:val="32"/>
        </w:rPr>
      </w:pPr>
      <w:r w:rsidRPr="00D834F1">
        <w:rPr>
          <w:rFonts w:ascii="仿宋_GB2312" w:eastAsia="仿宋_GB2312" w:hint="eastAsia"/>
          <w:sz w:val="32"/>
          <w:szCs w:val="32"/>
        </w:rPr>
        <w:t>2020年度支出13995.40万元，年末结转和结余4198.14万元，总计18193.54万元，与2019年支出（12809.41万元）相比，增加了1185.99万元，增长9.26%，主要原因是：把综改项目以及其他项目资金和其他各单位拨付的其他资金全部计算到收支总额里面，所以导致比2020年增加。</w:t>
      </w:r>
    </w:p>
    <w:p w:rsidR="00B66FB7" w:rsidRPr="00405402" w:rsidRDefault="00211D18" w:rsidP="00D834F1">
      <w:pPr>
        <w:widowControl w:val="0"/>
        <w:spacing w:line="560" w:lineRule="exact"/>
        <w:ind w:firstLineChars="200" w:firstLine="640"/>
        <w:rPr>
          <w:rFonts w:ascii="黑体" w:eastAsia="黑体" w:hAnsi="黑体" w:hint="eastAsia"/>
          <w:sz w:val="32"/>
          <w:szCs w:val="32"/>
          <w:highlight w:val="white"/>
        </w:rPr>
      </w:pPr>
      <w:r w:rsidRPr="00405402">
        <w:rPr>
          <w:rFonts w:ascii="黑体" w:eastAsia="黑体" w:hAnsi="黑体" w:hint="eastAsia"/>
          <w:sz w:val="32"/>
          <w:szCs w:val="32"/>
          <w:highlight w:val="white"/>
        </w:rPr>
        <w:t>二、收入决算情况说明</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本年收入合计15483.94万元，其中：一般公共预算财政拨款收入5521.92万元，占35.66%；政府性基金预算财政拨款收入219.00万元，占1.41%；其他收入9743.03万元，占62.92%。</w:t>
      </w:r>
    </w:p>
    <w:p w:rsidR="00B66FB7" w:rsidRPr="00405402" w:rsidRDefault="00211D18" w:rsidP="00D834F1">
      <w:pPr>
        <w:widowControl w:val="0"/>
        <w:spacing w:line="560" w:lineRule="exact"/>
        <w:ind w:firstLineChars="200" w:firstLine="640"/>
        <w:rPr>
          <w:rFonts w:ascii="黑体" w:eastAsia="黑体" w:hAnsi="黑体" w:hint="eastAsia"/>
          <w:sz w:val="32"/>
          <w:szCs w:val="32"/>
          <w:highlight w:val="white"/>
        </w:rPr>
      </w:pPr>
      <w:r w:rsidRPr="00405402">
        <w:rPr>
          <w:rFonts w:ascii="黑体" w:eastAsia="黑体" w:hAnsi="黑体" w:hint="eastAsia"/>
          <w:sz w:val="32"/>
          <w:szCs w:val="32"/>
          <w:highlight w:val="white"/>
        </w:rPr>
        <w:t>三、支出决算情况说明</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本年支出合计13995.40万元，其中：基本支出2,345.61万元，占16.76%；项目支出11649.79万元，占83.24%。</w:t>
      </w:r>
    </w:p>
    <w:p w:rsidR="00B66FB7" w:rsidRPr="00405402" w:rsidRDefault="00211D18" w:rsidP="00D834F1">
      <w:pPr>
        <w:widowControl w:val="0"/>
        <w:spacing w:line="560" w:lineRule="exact"/>
        <w:ind w:firstLineChars="200" w:firstLine="640"/>
        <w:rPr>
          <w:rFonts w:ascii="黑体" w:eastAsia="黑体" w:hAnsi="黑体" w:hint="eastAsia"/>
          <w:sz w:val="32"/>
          <w:szCs w:val="32"/>
          <w:highlight w:val="white"/>
        </w:rPr>
      </w:pPr>
      <w:r w:rsidRPr="00405402">
        <w:rPr>
          <w:rFonts w:ascii="黑体" w:eastAsia="黑体" w:hAnsi="黑体" w:hint="eastAsia"/>
          <w:sz w:val="32"/>
          <w:szCs w:val="32"/>
          <w:highlight w:val="white"/>
        </w:rPr>
        <w:t xml:space="preserve">四、财政拨款收入支出决算总体情况说明 </w:t>
      </w:r>
    </w:p>
    <w:p w:rsidR="00B66FB7" w:rsidRPr="00D834F1" w:rsidRDefault="00211D18" w:rsidP="00D834F1">
      <w:pPr>
        <w:widowControl w:val="0"/>
        <w:spacing w:line="560" w:lineRule="exact"/>
        <w:ind w:firstLineChars="200" w:firstLine="640"/>
        <w:rPr>
          <w:rFonts w:ascii="仿宋_GB2312" w:eastAsia="仿宋_GB2312" w:hint="eastAsia"/>
          <w:sz w:val="32"/>
          <w:szCs w:val="32"/>
        </w:rPr>
      </w:pPr>
      <w:r w:rsidRPr="00D834F1">
        <w:rPr>
          <w:rFonts w:ascii="仿宋_GB2312" w:eastAsia="仿宋_GB2312" w:hint="eastAsia"/>
          <w:sz w:val="32"/>
          <w:szCs w:val="32"/>
        </w:rPr>
        <w:t>2020年度财政拨款收入5740.92万元，年初财政拨款结转和结余421.75万元，总计6162.67万元，与2019年财政拨款收入（6541.71万元）相比，减少800.79万元，下降12.24%,</w:t>
      </w:r>
      <w:r w:rsidRPr="00D834F1">
        <w:rPr>
          <w:rFonts w:ascii="仿宋_GB2312" w:eastAsia="仿宋_GB2312" w:hint="eastAsia"/>
          <w:sz w:val="32"/>
          <w:szCs w:val="32"/>
        </w:rPr>
        <w:lastRenderedPageBreak/>
        <w:t>主要原因是：项目资金减少，严格控制开支，减少不必要的开支。</w:t>
      </w:r>
    </w:p>
    <w:p w:rsidR="00B66FB7" w:rsidRPr="00D834F1" w:rsidRDefault="00211D18" w:rsidP="00D834F1">
      <w:pPr>
        <w:widowControl w:val="0"/>
        <w:spacing w:line="560" w:lineRule="exact"/>
        <w:ind w:firstLineChars="200" w:firstLine="640"/>
        <w:rPr>
          <w:rFonts w:ascii="仿宋_GB2312" w:eastAsia="仿宋_GB2312" w:hint="eastAsia"/>
          <w:sz w:val="32"/>
          <w:szCs w:val="32"/>
        </w:rPr>
      </w:pPr>
      <w:r w:rsidRPr="00D834F1">
        <w:rPr>
          <w:rFonts w:ascii="仿宋_GB2312" w:eastAsia="仿宋_GB2312" w:hint="eastAsia"/>
          <w:sz w:val="32"/>
          <w:szCs w:val="32"/>
        </w:rPr>
        <w:t>2020年度财政拨款支出4627.79万元，年末财政拨款结转和结余1534.88万元，总计6162.67万元，与2019年财政拨款支出（6665.18万元）相比，减少2037.39万元，下降30.57%。主要是因为项目资金减少，严格控制开支。</w:t>
      </w:r>
    </w:p>
    <w:p w:rsidR="00B66FB7" w:rsidRPr="00405402" w:rsidRDefault="00211D18" w:rsidP="00D834F1">
      <w:pPr>
        <w:widowControl w:val="0"/>
        <w:spacing w:line="560" w:lineRule="exact"/>
        <w:ind w:firstLineChars="200" w:firstLine="640"/>
        <w:rPr>
          <w:rFonts w:ascii="黑体" w:eastAsia="黑体" w:hAnsi="黑体" w:hint="eastAsia"/>
          <w:sz w:val="32"/>
          <w:szCs w:val="32"/>
          <w:highlight w:val="white"/>
        </w:rPr>
      </w:pPr>
      <w:r w:rsidRPr="00405402">
        <w:rPr>
          <w:rFonts w:ascii="黑体" w:eastAsia="黑体" w:hAnsi="黑体" w:hint="eastAsia"/>
          <w:sz w:val="32"/>
          <w:szCs w:val="32"/>
          <w:highlight w:val="white"/>
        </w:rPr>
        <w:t>五、一般公共预算财政拨款支出决算情况说明</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（一）一般公共预算财政拨款支出决算总体情况</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2020年度一般公共预算财政拨款支出4429.79万元，占本年支出合计的31.65%。与2019年度(6588.18万元）相比，减少2158.39万元，减少32.76%,主要是因为一般公共服务支出减少，人员经费有所减少。</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（二）一般公共预算财政拨款支出决算结构情况</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2020年度一般公共预算财政拨款支出4429.79万元，主要用于以下方面：一般公共服务（类）支出1559.63万元，占35.21%；科学技术（类）支出6.72万元，占0.15%；文化旅游体育与传媒（类）支出226.19万元，占5.11%；社会保障和就业（类）支出106.04万元，占2.39%；卫生健康（类）支出129.53万元，占2.92%；节能环保（类）支出1462.78万元，占33.02%；农林水（类）支出880.71万元，占19.88%；住房保障（类）支出58.19万元，占1.31%；</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（三）一般公共预算财政拨款支出决算具体情况</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lastRenderedPageBreak/>
        <w:t>2020年度一般公共预算财政拨款支出年初预算数为1619.59万元，支出决算数为4429.77万元，完成年初预算的273.51%，其中：</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1</w:t>
      </w:r>
      <w:r w:rsidR="00405402">
        <w:rPr>
          <w:rFonts w:ascii="仿宋_GB2312" w:eastAsia="仿宋_GB2312" w:hint="eastAsia"/>
          <w:sz w:val="32"/>
          <w:szCs w:val="32"/>
          <w:highlight w:val="white"/>
        </w:rPr>
        <w:t>.</w:t>
      </w:r>
      <w:r w:rsidRPr="00D834F1">
        <w:rPr>
          <w:rFonts w:ascii="仿宋_GB2312" w:eastAsia="仿宋_GB2312" w:hint="eastAsia"/>
          <w:sz w:val="32"/>
          <w:szCs w:val="32"/>
          <w:highlight w:val="white"/>
        </w:rPr>
        <w:t>一般公共服务（类）政府办公厅（室）及相关机构事务（款）行政运行（项）</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年初预算为1619.59万元，支出决算为1559.62万元，完成年初预算的96.29%，决算数小于年初预算数的主要原因是：严控开支，减少了不必要支出。</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2</w:t>
      </w:r>
      <w:r w:rsidR="00405402">
        <w:rPr>
          <w:rFonts w:ascii="仿宋_GB2312" w:eastAsia="仿宋_GB2312" w:hint="eastAsia"/>
          <w:sz w:val="32"/>
          <w:szCs w:val="32"/>
          <w:highlight w:val="white"/>
        </w:rPr>
        <w:t>.</w:t>
      </w:r>
      <w:r w:rsidRPr="00D834F1">
        <w:rPr>
          <w:rFonts w:ascii="仿宋_GB2312" w:eastAsia="仿宋_GB2312" w:hint="eastAsia"/>
          <w:sz w:val="32"/>
          <w:szCs w:val="32"/>
          <w:highlight w:val="white"/>
        </w:rPr>
        <w:t>科学技术（类）科学技术管理事务（款）其他科学技术管理事务支出（项）</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年初预算为0万元，支出决算为4万元，决算数大于年初预算数的主要原因是：调整追加预算数。</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3</w:t>
      </w:r>
      <w:r w:rsidR="00405402">
        <w:rPr>
          <w:rFonts w:ascii="仿宋_GB2312" w:eastAsia="仿宋_GB2312" w:hint="eastAsia"/>
          <w:sz w:val="32"/>
          <w:szCs w:val="32"/>
          <w:highlight w:val="white"/>
        </w:rPr>
        <w:t>.</w:t>
      </w:r>
      <w:r w:rsidRPr="00D834F1">
        <w:rPr>
          <w:rFonts w:ascii="仿宋_GB2312" w:eastAsia="仿宋_GB2312" w:hint="eastAsia"/>
          <w:sz w:val="32"/>
          <w:szCs w:val="32"/>
          <w:highlight w:val="white"/>
        </w:rPr>
        <w:t>科学技术（类）其他科学技术支出（款）其他科学技术支出（项）</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年初预算为0万元，支出决算为2.72万元，决算数大于年初预算数的主要原因是：调整追加预算数。</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4</w:t>
      </w:r>
      <w:r w:rsidR="00405402">
        <w:rPr>
          <w:rFonts w:ascii="仿宋_GB2312" w:eastAsia="仿宋_GB2312" w:hint="eastAsia"/>
          <w:sz w:val="32"/>
          <w:szCs w:val="32"/>
          <w:highlight w:val="white"/>
        </w:rPr>
        <w:t>.</w:t>
      </w:r>
      <w:r w:rsidRPr="00D834F1">
        <w:rPr>
          <w:rFonts w:ascii="仿宋_GB2312" w:eastAsia="仿宋_GB2312" w:hint="eastAsia"/>
          <w:sz w:val="32"/>
          <w:szCs w:val="32"/>
          <w:highlight w:val="white"/>
        </w:rPr>
        <w:t>文化旅游体育与传媒支出（类）文化和旅游（款）行政运行（项）</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年初预算为0万元，支出决算为226.19万元，决算数大于年初预算数的主要原因是：调整追加预算数。</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5</w:t>
      </w:r>
      <w:r w:rsidR="00405402">
        <w:rPr>
          <w:rFonts w:ascii="仿宋_GB2312" w:eastAsia="仿宋_GB2312" w:hint="eastAsia"/>
          <w:sz w:val="32"/>
          <w:szCs w:val="32"/>
          <w:highlight w:val="white"/>
        </w:rPr>
        <w:t>.</w:t>
      </w:r>
      <w:r w:rsidRPr="00D834F1">
        <w:rPr>
          <w:rFonts w:ascii="仿宋_GB2312" w:eastAsia="仿宋_GB2312" w:hint="eastAsia"/>
          <w:sz w:val="32"/>
          <w:szCs w:val="32"/>
          <w:highlight w:val="white"/>
        </w:rPr>
        <w:t>社会保障和就业支出（类）行政事业单位养老支出（款）机关事业单位基本养老保险缴费支出（项）</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lastRenderedPageBreak/>
        <w:t>年初预算为0万元，支出决算为78.80万元，决算数大于年初预算数的主要原因是：调整追加预算数。</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6</w:t>
      </w:r>
      <w:r w:rsidR="00405402">
        <w:rPr>
          <w:rFonts w:ascii="仿宋_GB2312" w:eastAsia="仿宋_GB2312" w:hint="eastAsia"/>
          <w:sz w:val="32"/>
          <w:szCs w:val="32"/>
          <w:highlight w:val="white"/>
        </w:rPr>
        <w:t>.</w:t>
      </w:r>
      <w:r w:rsidRPr="00D834F1">
        <w:rPr>
          <w:rFonts w:ascii="仿宋_GB2312" w:eastAsia="仿宋_GB2312" w:hint="eastAsia"/>
          <w:sz w:val="32"/>
          <w:szCs w:val="32"/>
          <w:highlight w:val="white"/>
        </w:rPr>
        <w:t>社会保障和就业支出（类）抚恤（款）死亡抚恤（项）</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年初预算为0万元，支出决算为27.24万元，决算数大于年初预算数的主要原因是：调整追加预算数。</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7</w:t>
      </w:r>
      <w:r w:rsidR="00405402">
        <w:rPr>
          <w:rFonts w:ascii="仿宋_GB2312" w:eastAsia="仿宋_GB2312" w:hint="eastAsia"/>
          <w:sz w:val="32"/>
          <w:szCs w:val="32"/>
          <w:highlight w:val="white"/>
        </w:rPr>
        <w:t>.</w:t>
      </w:r>
      <w:r w:rsidRPr="00D834F1">
        <w:rPr>
          <w:rFonts w:ascii="仿宋_GB2312" w:eastAsia="仿宋_GB2312" w:hint="eastAsia"/>
          <w:sz w:val="32"/>
          <w:szCs w:val="32"/>
          <w:highlight w:val="white"/>
        </w:rPr>
        <w:t>卫生健康支出（类）公共卫生（款）突发公共卫生事件应急处理（项）</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年初预算为0万元，支出决算为62.09万元，决算数大于年初预算数的主要原因是：调整追加预算数。</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8</w:t>
      </w:r>
      <w:r w:rsidR="00405402">
        <w:rPr>
          <w:rFonts w:ascii="仿宋_GB2312" w:eastAsia="仿宋_GB2312" w:hint="eastAsia"/>
          <w:sz w:val="32"/>
          <w:szCs w:val="32"/>
          <w:highlight w:val="white"/>
        </w:rPr>
        <w:t>.</w:t>
      </w:r>
      <w:r w:rsidRPr="00D834F1">
        <w:rPr>
          <w:rFonts w:ascii="仿宋_GB2312" w:eastAsia="仿宋_GB2312" w:hint="eastAsia"/>
          <w:sz w:val="32"/>
          <w:szCs w:val="32"/>
          <w:highlight w:val="white"/>
        </w:rPr>
        <w:t>卫生健康支出（类）行政事业单位医疗（款）行政单位医疗（项）</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年初预算为0万元，支出决算为67.44万元，决算数大于年初预算数的主要原因是：调整追加预算数。</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9</w:t>
      </w:r>
      <w:r w:rsidR="00405402">
        <w:rPr>
          <w:rFonts w:ascii="仿宋_GB2312" w:eastAsia="仿宋_GB2312" w:hint="eastAsia"/>
          <w:sz w:val="32"/>
          <w:szCs w:val="32"/>
          <w:highlight w:val="white"/>
        </w:rPr>
        <w:t>.</w:t>
      </w:r>
      <w:r w:rsidRPr="00D834F1">
        <w:rPr>
          <w:rFonts w:ascii="仿宋_GB2312" w:eastAsia="仿宋_GB2312" w:hint="eastAsia"/>
          <w:sz w:val="32"/>
          <w:szCs w:val="32"/>
          <w:highlight w:val="white"/>
        </w:rPr>
        <w:t>节能环保支出（类）污染防治（款）水体（项）</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年初预算为0万元，支出决算为1415.00万元，决算数大于年初预算数的主要原因是：调整追加预算数。</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10</w:t>
      </w:r>
      <w:r w:rsidR="00405402">
        <w:rPr>
          <w:rFonts w:ascii="仿宋_GB2312" w:eastAsia="仿宋_GB2312" w:hint="eastAsia"/>
          <w:sz w:val="32"/>
          <w:szCs w:val="32"/>
          <w:highlight w:val="white"/>
        </w:rPr>
        <w:t>.</w:t>
      </w:r>
      <w:r w:rsidRPr="00D834F1">
        <w:rPr>
          <w:rFonts w:ascii="仿宋_GB2312" w:eastAsia="仿宋_GB2312" w:hint="eastAsia"/>
          <w:sz w:val="32"/>
          <w:szCs w:val="32"/>
          <w:highlight w:val="white"/>
        </w:rPr>
        <w:t>节能环保支出（类）自然生态保护（款）农村环境保护（项）</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年初预算为0万元，支出决算为27.78万元，决算数大于年初预算数的主要原因是：调整追加预算数。</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11</w:t>
      </w:r>
      <w:r w:rsidR="00405402">
        <w:rPr>
          <w:rFonts w:ascii="仿宋_GB2312" w:eastAsia="仿宋_GB2312" w:hint="eastAsia"/>
          <w:sz w:val="32"/>
          <w:szCs w:val="32"/>
          <w:highlight w:val="white"/>
        </w:rPr>
        <w:t>.</w:t>
      </w:r>
      <w:r w:rsidRPr="00D834F1">
        <w:rPr>
          <w:rFonts w:ascii="仿宋_GB2312" w:eastAsia="仿宋_GB2312" w:hint="eastAsia"/>
          <w:sz w:val="32"/>
          <w:szCs w:val="32"/>
          <w:highlight w:val="white"/>
        </w:rPr>
        <w:t>节能环保支出（类）其他节能环保支出（款）其他节能环保支出（项）</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lastRenderedPageBreak/>
        <w:t>年初预算为0万元，支出决算为20.00万元，决算数大于年初预算数的主要原因是：调整追加预算数。</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12</w:t>
      </w:r>
      <w:r w:rsidR="00405402">
        <w:rPr>
          <w:rFonts w:ascii="仿宋_GB2312" w:eastAsia="仿宋_GB2312" w:hint="eastAsia"/>
          <w:sz w:val="32"/>
          <w:szCs w:val="32"/>
          <w:highlight w:val="white"/>
        </w:rPr>
        <w:t>.</w:t>
      </w:r>
      <w:r w:rsidRPr="00D834F1">
        <w:rPr>
          <w:rFonts w:ascii="仿宋_GB2312" w:eastAsia="仿宋_GB2312" w:hint="eastAsia"/>
          <w:sz w:val="32"/>
          <w:szCs w:val="32"/>
          <w:highlight w:val="white"/>
        </w:rPr>
        <w:t>农林水支出（类）农业农村（款）农业生产发展（项）</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年初预算为0万元，支出决算为734.06万元，决算数大于年初预算数的主要原因是：调整追加预算数。</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13</w:t>
      </w:r>
      <w:r w:rsidR="00405402">
        <w:rPr>
          <w:rFonts w:ascii="仿宋_GB2312" w:eastAsia="仿宋_GB2312" w:hint="eastAsia"/>
          <w:sz w:val="32"/>
          <w:szCs w:val="32"/>
          <w:highlight w:val="white"/>
        </w:rPr>
        <w:t>.</w:t>
      </w:r>
      <w:r w:rsidRPr="00D834F1">
        <w:rPr>
          <w:rFonts w:ascii="仿宋_GB2312" w:eastAsia="仿宋_GB2312" w:hint="eastAsia"/>
          <w:sz w:val="32"/>
          <w:szCs w:val="32"/>
          <w:highlight w:val="white"/>
        </w:rPr>
        <w:t>农林水支出（类）农业农村（款）其他农业农村支出（项）</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年初预算为0万元，支出决算为5.8万元，决算数大于年初预算数的主要原因是：调整追加预算数。</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14</w:t>
      </w:r>
      <w:r w:rsidR="00405402">
        <w:rPr>
          <w:rFonts w:ascii="仿宋_GB2312" w:eastAsia="仿宋_GB2312" w:hint="eastAsia"/>
          <w:sz w:val="32"/>
          <w:szCs w:val="32"/>
          <w:highlight w:val="white"/>
        </w:rPr>
        <w:t>.</w:t>
      </w:r>
      <w:r w:rsidRPr="00D834F1">
        <w:rPr>
          <w:rFonts w:ascii="仿宋_GB2312" w:eastAsia="仿宋_GB2312" w:hint="eastAsia"/>
          <w:sz w:val="32"/>
          <w:szCs w:val="32"/>
          <w:highlight w:val="white"/>
        </w:rPr>
        <w:t>农林水支出（类）农村综合改革（款）对村民委员会和村党支部的补助（项）</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年初预算为0万元，支出决算为140.84万元，决算数大于年初预算数的主要原因是：调整追加预算数。</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15</w:t>
      </w:r>
      <w:r w:rsidR="00405402">
        <w:rPr>
          <w:rFonts w:ascii="仿宋_GB2312" w:eastAsia="仿宋_GB2312" w:hint="eastAsia"/>
          <w:sz w:val="32"/>
          <w:szCs w:val="32"/>
          <w:highlight w:val="white"/>
        </w:rPr>
        <w:t>.</w:t>
      </w:r>
      <w:r w:rsidRPr="00D834F1">
        <w:rPr>
          <w:rFonts w:ascii="仿宋_GB2312" w:eastAsia="仿宋_GB2312" w:hint="eastAsia"/>
          <w:sz w:val="32"/>
          <w:szCs w:val="32"/>
          <w:highlight w:val="white"/>
        </w:rPr>
        <w:t>住房保障支出（类）住房改革支出（款）住房公积金（项）</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年初预算为0万元，支出决算为58.19万元，决算数大于年初预算数的主要原因是：调整追加预算数。</w:t>
      </w:r>
    </w:p>
    <w:p w:rsidR="00B66FB7" w:rsidRPr="00405402" w:rsidRDefault="00211D18" w:rsidP="00D834F1">
      <w:pPr>
        <w:widowControl w:val="0"/>
        <w:spacing w:line="560" w:lineRule="exact"/>
        <w:ind w:firstLineChars="200" w:firstLine="640"/>
        <w:rPr>
          <w:rFonts w:ascii="黑体" w:eastAsia="黑体" w:hAnsi="黑体" w:hint="eastAsia"/>
          <w:sz w:val="32"/>
          <w:szCs w:val="32"/>
          <w:highlight w:val="white"/>
        </w:rPr>
      </w:pPr>
      <w:r w:rsidRPr="00405402">
        <w:rPr>
          <w:rFonts w:ascii="黑体" w:eastAsia="黑体" w:hAnsi="黑体" w:hint="eastAsia"/>
          <w:sz w:val="32"/>
          <w:szCs w:val="32"/>
          <w:highlight w:val="white"/>
        </w:rPr>
        <w:t>六、一般公共预算财政拨款基本支出决算情况说明</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2020年度一般公共预算财政拨款基本支出2245.61万元，其中:人员经费1721.20万元，占基本支出的76.65%，主要包括基本工资、津贴补贴、奖金、伙食补助费、绩效工资、机关事业单位基本养老保险缴费、职业年金缴费、职工基本医疗保</w:t>
      </w:r>
      <w:r w:rsidRPr="00D834F1">
        <w:rPr>
          <w:rFonts w:ascii="仿宋_GB2312" w:eastAsia="仿宋_GB2312" w:hint="eastAsia"/>
          <w:sz w:val="32"/>
          <w:szCs w:val="32"/>
          <w:highlight w:val="white"/>
        </w:rPr>
        <w:lastRenderedPageBreak/>
        <w:t>险缴费、公务员医疗补助缴费、其他社会保障缴费、住房公积金、医疗费、其他工资福利支出、离休费、退休费、抚恤金、生活补助、医疗费补助、奖励金、其他对个人和家庭的补助；公用经费524.41万元，占基本支出的23.35%，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rsidR="00B66FB7" w:rsidRPr="00405402" w:rsidRDefault="00211D18" w:rsidP="00D834F1">
      <w:pPr>
        <w:widowControl w:val="0"/>
        <w:spacing w:line="560" w:lineRule="exact"/>
        <w:ind w:firstLineChars="200" w:firstLine="640"/>
        <w:rPr>
          <w:rFonts w:ascii="黑体" w:eastAsia="黑体" w:hAnsi="黑体" w:hint="eastAsia"/>
          <w:sz w:val="32"/>
          <w:szCs w:val="32"/>
          <w:highlight w:val="white"/>
        </w:rPr>
      </w:pPr>
      <w:r w:rsidRPr="00405402">
        <w:rPr>
          <w:rFonts w:ascii="黑体" w:eastAsia="黑体" w:hAnsi="黑体" w:hint="eastAsia"/>
          <w:sz w:val="32"/>
          <w:szCs w:val="32"/>
          <w:highlight w:val="white"/>
        </w:rPr>
        <w:t>七、一般公共预算财政拨款“三公”经费支出决算情况说明</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（一）“三公”经费财政拨款支出决算总体情况说明</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2020年度“三公”经费财政拨款支出预算为9万元，支出决算为9.25万元,决算大于预算数其中：</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 xml:space="preserve">无因公出国（境）费支出预算与决算；   </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公务用车购置费及运行维护费支出预算为9万元，支出决算为9.25万元,决算数大于预算数，我单位严格按预算执行决算。与上年相比增加0.99万元，增长11.99%,增长的主要原因是项目增多公务用车费用增加。</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lastRenderedPageBreak/>
        <w:t>无公务接待费支出预算与决算。与上年相比减少0.41万元，减少100%,减少主要原因是认真贯彻落实中央“八项规定”精神和厉行节约要求，从严控制“三公”经费开支，全年支出比上年有所压减。</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（二）“三公”经费财政拨款支出决算具体情况说明</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2020年度“三公”经费财政拨款支出决算中，因公出国（境）费支出决算0万元，公务用车购置费及运行维护费支出决算9.25万元，占100%；公务接待费支出决算0万元。其中：</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公务用车购置费及运行维护费支出决算为9.25万元，其中：</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公务用车运行维护费支出9.25万元。主要是按规定保留的公务用车的燃料费、维修费、过桥过路费、保险费、安全奖励费用等支出。截至2020年12月31日，机关单位开支财政拨款的公务用车保有量为2辆。</w:t>
      </w:r>
    </w:p>
    <w:p w:rsidR="00B66FB7" w:rsidRPr="00405402" w:rsidRDefault="00211D18" w:rsidP="00D834F1">
      <w:pPr>
        <w:widowControl w:val="0"/>
        <w:spacing w:line="560" w:lineRule="exact"/>
        <w:ind w:firstLineChars="200" w:firstLine="640"/>
        <w:rPr>
          <w:rFonts w:ascii="黑体" w:eastAsia="黑体" w:hAnsi="黑体" w:hint="eastAsia"/>
          <w:sz w:val="32"/>
          <w:szCs w:val="32"/>
          <w:highlight w:val="white"/>
        </w:rPr>
      </w:pPr>
      <w:r w:rsidRPr="00405402">
        <w:rPr>
          <w:rFonts w:ascii="黑体" w:eastAsia="黑体" w:hAnsi="黑体" w:hint="eastAsia"/>
          <w:sz w:val="32"/>
          <w:szCs w:val="32"/>
          <w:highlight w:val="white"/>
        </w:rPr>
        <w:t>八、政府性基金预算收入支出决算情况</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2020年政府性基金本年收入219.00万元,占本年收入合计的1.41%，与2019年政府性基金收入（77.00万元）相比，增加142.00万元，增长184.42%。2020年政府性基金本年支出198.00万元,占本年支出合计的1.41%，年末结转和结余21万元,总计219.00万元，与2019年政府性基金支出（77.00万元）相比，增加121.00万元，增长157.14%。其中：基本支出100.00万元,项目支出98.00万元,比上年增加27.27%。</w:t>
      </w:r>
    </w:p>
    <w:p w:rsidR="00B66FB7" w:rsidRPr="00405402" w:rsidRDefault="00211D18" w:rsidP="00D834F1">
      <w:pPr>
        <w:widowControl w:val="0"/>
        <w:spacing w:line="560" w:lineRule="exact"/>
        <w:ind w:firstLineChars="200" w:firstLine="640"/>
        <w:rPr>
          <w:rFonts w:ascii="黑体" w:eastAsia="黑体" w:hAnsi="黑体" w:hint="eastAsia"/>
          <w:sz w:val="32"/>
          <w:szCs w:val="32"/>
          <w:highlight w:val="white"/>
        </w:rPr>
      </w:pPr>
      <w:r w:rsidRPr="00405402">
        <w:rPr>
          <w:rFonts w:ascii="黑体" w:eastAsia="黑体" w:hAnsi="黑体" w:hint="eastAsia"/>
          <w:sz w:val="32"/>
          <w:szCs w:val="32"/>
          <w:highlight w:val="white"/>
        </w:rPr>
        <w:t>九、国有资本经营预算财政拨款支出决算情况</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lastRenderedPageBreak/>
        <w:t>2020年本单位无国有资本经营预算财政拨款支出。</w:t>
      </w:r>
    </w:p>
    <w:p w:rsidR="00B66FB7" w:rsidRPr="00405402" w:rsidRDefault="00211D18" w:rsidP="00D834F1">
      <w:pPr>
        <w:widowControl w:val="0"/>
        <w:spacing w:line="560" w:lineRule="exact"/>
        <w:ind w:firstLineChars="200" w:firstLine="640"/>
        <w:rPr>
          <w:rFonts w:ascii="黑体" w:eastAsia="黑体" w:hAnsi="黑体" w:hint="eastAsia"/>
          <w:sz w:val="32"/>
          <w:szCs w:val="32"/>
          <w:highlight w:val="white"/>
        </w:rPr>
      </w:pPr>
      <w:r w:rsidRPr="00405402">
        <w:rPr>
          <w:rFonts w:ascii="黑体" w:eastAsia="黑体" w:hAnsi="黑体" w:hint="eastAsia"/>
          <w:sz w:val="32"/>
          <w:szCs w:val="32"/>
          <w:highlight w:val="white"/>
        </w:rPr>
        <w:t>十、关于机关运行经费支出说明</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益阳市泉交河镇人民政府2020年机关运行经费支出524.41万元，比年初预算数（79.41万元）增加445.00万元。增长560.38%，主要原因是：部门履职尽责任务增加、经费标准调整、物价上涨。</w:t>
      </w:r>
    </w:p>
    <w:p w:rsidR="00B66FB7" w:rsidRPr="00405402" w:rsidRDefault="00211D18" w:rsidP="00D834F1">
      <w:pPr>
        <w:widowControl w:val="0"/>
        <w:spacing w:line="560" w:lineRule="exact"/>
        <w:ind w:firstLineChars="200" w:firstLine="640"/>
        <w:rPr>
          <w:rFonts w:ascii="黑体" w:eastAsia="黑体" w:hAnsi="黑体" w:hint="eastAsia"/>
          <w:sz w:val="32"/>
          <w:szCs w:val="32"/>
          <w:highlight w:val="white"/>
        </w:rPr>
      </w:pPr>
      <w:r w:rsidRPr="00405402">
        <w:rPr>
          <w:rFonts w:ascii="黑体" w:eastAsia="黑体" w:hAnsi="黑体" w:hint="eastAsia"/>
          <w:sz w:val="32"/>
          <w:szCs w:val="32"/>
          <w:highlight w:val="white"/>
        </w:rPr>
        <w:t>十一、一般性支出情况</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2020年本部门开支会议费3.25万元，其中用于召村级财务培训开会议费0.30万元，人数80人次；用于镇村干部工作会议费2.95万元，人数750人次，内容为农居环境整治省级现场会，耕地地力保护工作布置会，扶贫工作会议等。2020年本部门无培训费开支。</w:t>
      </w:r>
    </w:p>
    <w:p w:rsidR="00B66FB7" w:rsidRPr="00405402" w:rsidRDefault="00211D18" w:rsidP="00D834F1">
      <w:pPr>
        <w:widowControl w:val="0"/>
        <w:spacing w:line="560" w:lineRule="exact"/>
        <w:ind w:firstLineChars="200" w:firstLine="640"/>
        <w:rPr>
          <w:rFonts w:ascii="黑体" w:eastAsia="黑体" w:hAnsi="黑体" w:hint="eastAsia"/>
          <w:sz w:val="32"/>
          <w:szCs w:val="32"/>
          <w:highlight w:val="white"/>
        </w:rPr>
      </w:pPr>
      <w:r w:rsidRPr="00405402">
        <w:rPr>
          <w:rFonts w:ascii="黑体" w:eastAsia="黑体" w:hAnsi="黑体" w:hint="eastAsia"/>
          <w:sz w:val="32"/>
          <w:szCs w:val="32"/>
          <w:highlight w:val="white"/>
        </w:rPr>
        <w:t>十二、关于政府采购支出说明</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 xml:space="preserve">本单位2020年度无政府采购。   </w:t>
      </w:r>
    </w:p>
    <w:p w:rsidR="00B66FB7" w:rsidRPr="00405402" w:rsidRDefault="00211D18" w:rsidP="00D834F1">
      <w:pPr>
        <w:widowControl w:val="0"/>
        <w:spacing w:line="560" w:lineRule="exact"/>
        <w:ind w:firstLineChars="200" w:firstLine="640"/>
        <w:rPr>
          <w:rFonts w:ascii="黑体" w:eastAsia="黑体" w:hAnsi="黑体" w:hint="eastAsia"/>
          <w:sz w:val="32"/>
          <w:szCs w:val="32"/>
          <w:highlight w:val="white"/>
        </w:rPr>
      </w:pPr>
      <w:r w:rsidRPr="00405402">
        <w:rPr>
          <w:rFonts w:ascii="黑体" w:eastAsia="黑体" w:hAnsi="黑体" w:hint="eastAsia"/>
          <w:sz w:val="32"/>
          <w:szCs w:val="32"/>
          <w:highlight w:val="white"/>
        </w:rPr>
        <w:t>十三、关于国有资产占有情况说明</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截至2020年12月31日，益阳市泉交河镇人民政府共有车辆2辆。其中：其他用车2辆，其他用车主要是用于机要通信和应急保障之外公务用途的车辆；年末无单价50万元以上通用设备；年末无单价100万元以上专用设备。</w:t>
      </w:r>
    </w:p>
    <w:p w:rsidR="00B66FB7" w:rsidRPr="00405402" w:rsidRDefault="00211D18" w:rsidP="00D834F1">
      <w:pPr>
        <w:widowControl w:val="0"/>
        <w:spacing w:line="560" w:lineRule="exact"/>
        <w:ind w:firstLineChars="200" w:firstLine="640"/>
        <w:rPr>
          <w:rFonts w:ascii="黑体" w:eastAsia="黑体" w:hAnsi="黑体" w:hint="eastAsia"/>
          <w:sz w:val="32"/>
          <w:szCs w:val="32"/>
          <w:highlight w:val="white"/>
        </w:rPr>
      </w:pPr>
      <w:r w:rsidRPr="00405402">
        <w:rPr>
          <w:rFonts w:ascii="黑体" w:eastAsia="黑体" w:hAnsi="黑体" w:hint="eastAsia"/>
          <w:sz w:val="32"/>
          <w:szCs w:val="32"/>
          <w:highlight w:val="white"/>
        </w:rPr>
        <w:t>十四、关于2020年度预算绩效情况的说明</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（一）绩效管理工作开展情况</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2020年本单位按照有关政策文件和赫山区财政局要求开展</w:t>
      </w:r>
      <w:r w:rsidRPr="00D834F1">
        <w:rPr>
          <w:rFonts w:ascii="仿宋_GB2312" w:eastAsia="仿宋_GB2312" w:hint="eastAsia"/>
          <w:sz w:val="32"/>
          <w:szCs w:val="32"/>
          <w:highlight w:val="white"/>
        </w:rPr>
        <w:lastRenderedPageBreak/>
        <w:t>预算绩效管理工作，加强了绩效目标管理。在编制2020年单位预算时，本单位将所有预算资金纳入绩效目标管理，实现了绩效目标与单位预算同步编制、同步申报。</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（二）部门决算中项目绩效自评结果</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2020年本单位在绩效管理中不断优化经济发展环境，加强项目建设；十分注重民生保障，服务人民群众；狠抓社会管理，多方发力做到全面防范安全生产事故、及时调解纠纷、牢固“防违控违”工作、全面推进城乡统筹工作；不断完善科教文卫，全面发展。但也绩效管理中发现了一些问题，对此，将在平时工作中进一步加强对绩效目标监控的重视，定期对预算执行情况进行监督，使绩效目标监控与政府工作、财务工作挂钩，做到及时监控，及时控制。</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（三）以部门为主体开展的重点绩效评价结果</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2020年我镇整体支出情况良好，资金主要用于保证机关正常运转、干职工工资、民生保障等重点绩效方面，对于项目资金，从立项、审批、设计、财评、建设、验收、审计全程监管，并由专人具体负责项目实施，取得了较好的经济效益和社会效益。</w:t>
      </w:r>
    </w:p>
    <w:p w:rsidR="00405402" w:rsidRDefault="00405402" w:rsidP="00405402">
      <w:pPr>
        <w:widowControl w:val="0"/>
        <w:spacing w:line="560" w:lineRule="exact"/>
        <w:rPr>
          <w:rFonts w:ascii="仿宋_GB2312" w:eastAsia="仿宋_GB2312"/>
          <w:sz w:val="32"/>
          <w:szCs w:val="32"/>
          <w:highlight w:val="white"/>
        </w:rPr>
      </w:pPr>
    </w:p>
    <w:p w:rsidR="00405402" w:rsidRPr="00405402" w:rsidRDefault="00211D18" w:rsidP="00405402">
      <w:pPr>
        <w:widowControl w:val="0"/>
        <w:spacing w:line="560" w:lineRule="exact"/>
        <w:rPr>
          <w:rFonts w:ascii="黑体" w:eastAsia="黑体" w:hAnsi="黑体"/>
          <w:sz w:val="32"/>
          <w:szCs w:val="32"/>
          <w:highlight w:val="white"/>
        </w:rPr>
      </w:pPr>
      <w:r w:rsidRPr="00405402">
        <w:rPr>
          <w:rFonts w:ascii="黑体" w:eastAsia="黑体" w:hAnsi="黑体" w:hint="eastAsia"/>
          <w:sz w:val="32"/>
          <w:szCs w:val="32"/>
          <w:highlight w:val="white"/>
        </w:rPr>
        <w:t>第四部分</w:t>
      </w:r>
      <w:r w:rsidR="00405402" w:rsidRPr="00405402">
        <w:rPr>
          <w:rFonts w:ascii="黑体" w:eastAsia="黑体" w:hAnsi="黑体" w:hint="eastAsia"/>
          <w:sz w:val="32"/>
          <w:szCs w:val="32"/>
          <w:highlight w:val="white"/>
        </w:rPr>
        <w:t>：</w:t>
      </w:r>
    </w:p>
    <w:p w:rsidR="00B66FB7" w:rsidRPr="00405402" w:rsidRDefault="00211D18" w:rsidP="00405402">
      <w:pPr>
        <w:widowControl w:val="0"/>
        <w:spacing w:line="560" w:lineRule="exact"/>
        <w:jc w:val="center"/>
        <w:rPr>
          <w:rFonts w:ascii="方正小标宋简体" w:eastAsia="方正小标宋简体" w:hint="eastAsia"/>
          <w:sz w:val="42"/>
          <w:szCs w:val="42"/>
          <w:highlight w:val="white"/>
        </w:rPr>
      </w:pPr>
      <w:r w:rsidRPr="00405402">
        <w:rPr>
          <w:rFonts w:ascii="方正小标宋简体" w:eastAsia="方正小标宋简体" w:hint="eastAsia"/>
          <w:sz w:val="42"/>
          <w:szCs w:val="42"/>
          <w:highlight w:val="white"/>
        </w:rPr>
        <w:t>名词解释</w:t>
      </w:r>
    </w:p>
    <w:p w:rsidR="00405402" w:rsidRDefault="00405402" w:rsidP="00405402">
      <w:pPr>
        <w:widowControl w:val="0"/>
        <w:spacing w:line="560" w:lineRule="exact"/>
        <w:ind w:firstLineChars="200" w:firstLine="640"/>
        <w:rPr>
          <w:rFonts w:ascii="仿宋_GB2312" w:eastAsia="仿宋_GB2312"/>
          <w:sz w:val="32"/>
          <w:szCs w:val="32"/>
          <w:highlight w:val="white"/>
        </w:rPr>
      </w:pPr>
    </w:p>
    <w:p w:rsidR="00B66FB7" w:rsidRPr="00D834F1" w:rsidRDefault="00211D18" w:rsidP="00405402">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lastRenderedPageBreak/>
        <w:t>财政拨款收入：指本级财政当年拨付的资金。</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政府性基金预算财政拨款收入：指本级财政当年拨付的政府性基金预算资金。</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其他收入：指除上述“财政拨款收入”、“上级补助收入”、“事业收入”、“经营收入”、“附属单位上缴收入”等以外的收入。</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上年结转和结余：指以前年度尚未完成、结转到本年按有关规定继续使用的资金。</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年末结转和结余资金：指本年度或以前年度预算安排、因客观条件发生变化无法按原计划实施，需要延迟到以后年度按有关规定继续使用的资金。</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科学技术支出（类）：是指用于科学技术方面的支出，包括保障机构正常运转、完成日常和特定的工作任务或事业发展</w:t>
      </w:r>
      <w:r w:rsidRPr="00D834F1">
        <w:rPr>
          <w:rFonts w:ascii="仿宋_GB2312" w:eastAsia="仿宋_GB2312" w:hint="eastAsia"/>
          <w:sz w:val="32"/>
          <w:szCs w:val="32"/>
          <w:highlight w:val="white"/>
        </w:rPr>
        <w:lastRenderedPageBreak/>
        <w:t>目标的支出。</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文化体育与传媒支出（类）：是指用于文化、文物、体育、新闻出版广播影视等方面的支出，包括保障机构正常运转、完成日常和特定的工作任务或事业发展目标的支出。</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卫生健康支出（类）：是指用于医疗卫生与计划生育方面的支出，包括保障机构正常运转、完成日常和特定的工作任务或事业发展目标的支出。</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节能环保支出（类）：是指用于节能环保支出，包括保障机构正常运转、完成日常和特定的工作任务或事业发展目标的支出。</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城乡社区支出（类）：是指用于城乡社区事务支出，包括保障机构正常运转、完成日常和特定的工作任务或事业发展目标的支出。</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农林水支出（类）：是指用于农林水事务支出，包括保障机构正常运转、完成日常和特定的工作任务或事业发展目标的支出。</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住房保障支出（类）：是指用于住房方面的支出，包括保障机构正常运转、完成日常和特定的工作任务或事业发展目标</w:t>
      </w:r>
      <w:r w:rsidRPr="00D834F1">
        <w:rPr>
          <w:rFonts w:ascii="仿宋_GB2312" w:eastAsia="仿宋_GB2312" w:hint="eastAsia"/>
          <w:sz w:val="32"/>
          <w:szCs w:val="32"/>
          <w:highlight w:val="white"/>
        </w:rPr>
        <w:lastRenderedPageBreak/>
        <w:t>的支出。</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其他支出（类）：是指用于反映除上述项目以外其他不能划分到具体功能科目中的支出项目，包括保障机构正常运转、完成日常和特定的工作任务或事业发展目标的支出。</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抗疫特别国债安排的支出（类）：是指用于抗疫特别国债安排的支出项目，包括特定的工作任务或事业发展目标的支出。</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基本支出：指保障机构正常运转、完成支日常工作任务而发生的人员支出和公用支出。</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项目支出：指在基本支出之外为完成特定行政任务和事业发展目标所发生的支出。</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工资福利支出：反映单位开支的在职职工和编制外长期聘用人员的各类劳动报酬，以及为上述人员缴纳的各项社会保险费等。</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基本工资：反映按规定发放的基本工资，包括公务员的职务工资、级别工资；机关工人的岗位工资、技术等级工资；事</w:t>
      </w:r>
      <w:r w:rsidRPr="00D834F1">
        <w:rPr>
          <w:rFonts w:ascii="仿宋_GB2312" w:eastAsia="仿宋_GB2312" w:hint="eastAsia"/>
          <w:sz w:val="32"/>
          <w:szCs w:val="32"/>
          <w:highlight w:val="white"/>
        </w:rPr>
        <w:lastRenderedPageBreak/>
        <w:t>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津贴补贴：反映经国家批准建立的机关事业单位艰苦边远地区津贴、机关工作人员地区附加津贴、机关工作人员岗位津贴、事业单位工作人员特殊岗位津贴补贴等。</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奖金：反映机关工作人员年终一次性奖金。</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伙食补助费：反映单位发给职工的伙食补助费，如误餐补助等。</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机关事业单位基本养老保险缴费：反映机关事业单位缴纳的基本养老保险费。由单位代扣的工作人员基本养老保险缴费，不在此科目反映。</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职业年金缴费：反映机关事业单位实际缴纳的职业年金支出。由单位代扣的工作人员职业年金缴费，不在此科目反映。</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职工基本医疗保险缴费：反映单位为职工缴纳的基本医疗保险费。</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其他社会保障缴费：反映单位为职工缴纳的基本医疗、失业、工伤、生育等社会保险费，残疾人就业保障金，军队（含武警）为军人缴纳的伤亡、退役医疗等社会保险费。</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住房公积金：反映行政事业单位按人力资源和社会保障部、</w:t>
      </w:r>
      <w:r w:rsidRPr="00D834F1">
        <w:rPr>
          <w:rFonts w:ascii="仿宋_GB2312" w:eastAsia="仿宋_GB2312" w:hint="eastAsia"/>
          <w:sz w:val="32"/>
          <w:szCs w:val="32"/>
          <w:highlight w:val="white"/>
        </w:rPr>
        <w:lastRenderedPageBreak/>
        <w:t>财政部规定的基本工资和津贴补贴以及规定比例为职工缴纳的住房公积金。</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商品和服务支出：反映单位购买商品和服务的支出（不包括用于购置固定资产的支出、战略性和应急储备支出）。</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办公费：反映单位购买按财务会计制度规定不符合固定资产确认标准的日常办公用品、书报杂志等支出。</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印刷费：反映单位的印刷费支出。</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手续费：反映单位支付的各类手续费支出。</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水费：反映单位支付的水费、污水处理费等支出。</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电费：反映单位的电费支出。</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维修(护)费：反映单位日常开支的固定资产（不包括车船等交通工具）修理和维护费用，网络信息系统运行与维护费用，以及按规定提取的修购基金。</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会议费：反映会议中按规定开支的住宿费、伙食费、会议室租金、交通费、文件印刷费、医药费等。</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专用材料费：反映单位购买日常专用材料的支出。具体包括药品及医疗耗材，农用材料，兽医用品，实验室用品，专用</w:t>
      </w:r>
      <w:r w:rsidRPr="00D834F1">
        <w:rPr>
          <w:rFonts w:ascii="仿宋_GB2312" w:eastAsia="仿宋_GB2312" w:hint="eastAsia"/>
          <w:sz w:val="32"/>
          <w:szCs w:val="32"/>
          <w:highlight w:val="white"/>
        </w:rPr>
        <w:lastRenderedPageBreak/>
        <w:t>服装，消耗性体育用品，专用工具和仪器，艺术部门专用材料和用品，广播电视台发射台发射机的电力、材料等方面的支出。</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劳务费：反映支付给单位和个人的劳务费用，如临时聘用人员、钟点工工资，稿费、翻译费，评审费等。</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委托业务费：反映因委托外单位办理业务而支付的委托业务费。</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工会经费：反映单位按规定提取的工会经费。</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福利费：反映单位按规定提取的福利费。</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公务用车运行维护费：反映单位按规定保留的公务用车燃料费、维修费、过桥过路费、保险费、安全奖励费用等支出。</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其他交通费用：反映单位除公务用车运行维护费以外的其他交通费用。如公务交通补贴，租车费用、出租车费用，飞机、船舶等的燃料费、维修费、保险费等。</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其他商品和服务支出：反映上述科目未包括的日常公用支出。如行政赔偿费和诉讼费、国内组织的会员费、来访费、广告宣传、其他劳务费及离休人员特需费、公用经费等。</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对个人和家庭的补助：反映政府用于对个人和家庭的补助支出。</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抚恤金：反映按规定开支的烈士遗属、牺牲病故人员遗属的一次性和定期抚恤金，伤残人员的抚恤金，离退休人员等其他人员的各项抚恤金。</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生活补助：反映按规定开支的优抚对象定期定量生活补助</w:t>
      </w:r>
      <w:r w:rsidRPr="00D834F1">
        <w:rPr>
          <w:rFonts w:ascii="仿宋_GB2312" w:eastAsia="仿宋_GB2312" w:hint="eastAsia"/>
          <w:sz w:val="32"/>
          <w:szCs w:val="32"/>
          <w:highlight w:val="white"/>
        </w:rPr>
        <w:lastRenderedPageBreak/>
        <w:t>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rsidR="00B66FB7" w:rsidRPr="00D834F1" w:rsidRDefault="00211D18" w:rsidP="00D834F1">
      <w:pPr>
        <w:widowControl w:val="0"/>
        <w:spacing w:line="560" w:lineRule="exact"/>
        <w:ind w:firstLineChars="200" w:firstLine="640"/>
        <w:rPr>
          <w:rFonts w:ascii="仿宋_GB2312" w:eastAsia="仿宋_GB2312" w:hint="eastAsia"/>
          <w:sz w:val="32"/>
          <w:szCs w:val="32"/>
          <w:highlight w:val="white"/>
        </w:rPr>
      </w:pPr>
      <w:r w:rsidRPr="00D834F1">
        <w:rPr>
          <w:rFonts w:ascii="仿宋_GB2312" w:eastAsia="仿宋_GB2312" w:hint="eastAsia"/>
          <w:sz w:val="32"/>
          <w:szCs w:val="32"/>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rsidR="00B66FB7" w:rsidRPr="00D834F1" w:rsidRDefault="00B66FB7" w:rsidP="00D834F1">
      <w:pPr>
        <w:widowControl w:val="0"/>
        <w:spacing w:line="560" w:lineRule="exact"/>
        <w:ind w:firstLineChars="200" w:firstLine="640"/>
        <w:rPr>
          <w:rFonts w:ascii="仿宋_GB2312" w:eastAsia="仿宋_GB2312" w:hint="eastAsia"/>
          <w:sz w:val="32"/>
          <w:szCs w:val="32"/>
          <w:highlight w:val="white"/>
        </w:rPr>
      </w:pPr>
    </w:p>
    <w:p w:rsidR="00B66FB7" w:rsidRPr="00405402" w:rsidRDefault="00211D18" w:rsidP="00405402">
      <w:pPr>
        <w:widowControl w:val="0"/>
        <w:spacing w:line="560" w:lineRule="exact"/>
        <w:rPr>
          <w:rFonts w:ascii="黑体" w:eastAsia="黑体" w:hAnsi="黑体" w:hint="eastAsia"/>
          <w:sz w:val="32"/>
          <w:szCs w:val="32"/>
          <w:highlight w:val="white"/>
        </w:rPr>
      </w:pPr>
      <w:r w:rsidRPr="00405402">
        <w:rPr>
          <w:rFonts w:ascii="黑体" w:eastAsia="黑体" w:hAnsi="黑体" w:hint="eastAsia"/>
          <w:sz w:val="32"/>
          <w:szCs w:val="32"/>
          <w:highlight w:val="white"/>
        </w:rPr>
        <w:t>第五部分</w:t>
      </w:r>
      <w:r w:rsidR="00405402" w:rsidRPr="00405402">
        <w:rPr>
          <w:rFonts w:ascii="黑体" w:eastAsia="黑体" w:hAnsi="黑体" w:hint="eastAsia"/>
          <w:sz w:val="32"/>
          <w:szCs w:val="32"/>
          <w:highlight w:val="white"/>
        </w:rPr>
        <w:t>：</w:t>
      </w:r>
      <w:r w:rsidRPr="00405402">
        <w:rPr>
          <w:rFonts w:ascii="黑体" w:eastAsia="黑体" w:hAnsi="黑体" w:hint="eastAsia"/>
          <w:sz w:val="32"/>
          <w:szCs w:val="32"/>
          <w:highlight w:val="white"/>
        </w:rPr>
        <w:t xml:space="preserve">附件    </w:t>
      </w:r>
    </w:p>
    <w:p w:rsidR="00B66FB7" w:rsidRPr="00405402" w:rsidRDefault="00211D18" w:rsidP="00405402">
      <w:pPr>
        <w:widowControl w:val="0"/>
        <w:spacing w:line="560" w:lineRule="exact"/>
        <w:jc w:val="center"/>
        <w:rPr>
          <w:rFonts w:ascii="方正小标宋简体" w:eastAsia="方正小标宋简体" w:hint="eastAsia"/>
          <w:sz w:val="42"/>
          <w:szCs w:val="42"/>
        </w:rPr>
      </w:pPr>
      <w:r w:rsidRPr="00405402">
        <w:rPr>
          <w:rFonts w:ascii="方正小标宋简体" w:eastAsia="方正小标宋简体" w:hint="eastAsia"/>
          <w:sz w:val="42"/>
          <w:szCs w:val="42"/>
        </w:rPr>
        <w:t>益阳市泉交河镇人民政府</w:t>
      </w:r>
    </w:p>
    <w:p w:rsidR="00B66FB7" w:rsidRPr="00405402" w:rsidRDefault="00211D18" w:rsidP="00405402">
      <w:pPr>
        <w:widowControl w:val="0"/>
        <w:spacing w:line="560" w:lineRule="exact"/>
        <w:jc w:val="center"/>
        <w:rPr>
          <w:rFonts w:ascii="方正小标宋简体" w:eastAsia="方正小标宋简体" w:hint="eastAsia"/>
          <w:sz w:val="42"/>
          <w:szCs w:val="42"/>
        </w:rPr>
      </w:pPr>
      <w:r w:rsidRPr="00405402">
        <w:rPr>
          <w:rFonts w:ascii="方正小标宋简体" w:eastAsia="方正小标宋简体" w:hint="eastAsia"/>
          <w:sz w:val="42"/>
          <w:szCs w:val="42"/>
        </w:rPr>
        <w:t>2020年度部门整体支出绩效评价报告</w:t>
      </w:r>
    </w:p>
    <w:p w:rsidR="00405402" w:rsidRDefault="00405402" w:rsidP="00D834F1">
      <w:pPr>
        <w:widowControl w:val="0"/>
        <w:spacing w:line="560" w:lineRule="exact"/>
        <w:ind w:firstLineChars="200" w:firstLine="640"/>
        <w:rPr>
          <w:rFonts w:ascii="黑体" w:eastAsia="黑体" w:hAnsi="黑体"/>
          <w:sz w:val="32"/>
          <w:szCs w:val="32"/>
          <w:highlight w:val="white"/>
        </w:rPr>
      </w:pPr>
    </w:p>
    <w:p w:rsidR="00B66FB7" w:rsidRPr="00405402" w:rsidRDefault="00211D18" w:rsidP="00D834F1">
      <w:pPr>
        <w:widowControl w:val="0"/>
        <w:spacing w:line="560" w:lineRule="exact"/>
        <w:ind w:firstLineChars="200" w:firstLine="640"/>
        <w:rPr>
          <w:rFonts w:ascii="黑体" w:eastAsia="黑体" w:hAnsi="黑体" w:hint="eastAsia"/>
          <w:sz w:val="32"/>
          <w:szCs w:val="32"/>
          <w:highlight w:val="white"/>
        </w:rPr>
      </w:pPr>
      <w:r w:rsidRPr="00405402">
        <w:rPr>
          <w:rFonts w:ascii="黑体" w:eastAsia="黑体" w:hAnsi="黑体" w:hint="eastAsia"/>
          <w:sz w:val="32"/>
          <w:szCs w:val="32"/>
          <w:highlight w:val="white"/>
        </w:rPr>
        <w:t>一、基本情况</w:t>
      </w:r>
    </w:p>
    <w:p w:rsidR="00211D18" w:rsidRPr="00D834F1" w:rsidRDefault="00211D18" w:rsidP="00D834F1">
      <w:pPr>
        <w:widowControl w:val="0"/>
        <w:spacing w:line="560" w:lineRule="exact"/>
        <w:ind w:firstLineChars="200" w:firstLine="640"/>
        <w:rPr>
          <w:rFonts w:ascii="仿宋_GB2312" w:eastAsia="仿宋_GB2312" w:hint="eastAsia"/>
          <w:sz w:val="32"/>
          <w:szCs w:val="32"/>
        </w:rPr>
      </w:pPr>
      <w:r w:rsidRPr="00D834F1">
        <w:rPr>
          <w:rFonts w:ascii="仿宋_GB2312" w:eastAsia="仿宋_GB2312" w:hint="eastAsia"/>
          <w:sz w:val="32"/>
          <w:szCs w:val="32"/>
        </w:rPr>
        <w:t>益阳市泉交河镇人民政府主要负责拟定镇区发展规划、产业政策和优惠政策以及各项具体管理办法、 服务工作规定并组织实施。负责管理、协调涉及规划、建设、环保、国土等行政职能部门的相关工作；管理协调全镇企业项目建设，承担镇区内各项基础设施、公用设施及建设项目的管理责任，组织实施</w:t>
      </w:r>
      <w:r w:rsidRPr="00D834F1">
        <w:rPr>
          <w:rFonts w:ascii="仿宋_GB2312" w:eastAsia="仿宋_GB2312" w:hint="eastAsia"/>
          <w:sz w:val="32"/>
          <w:szCs w:val="32"/>
        </w:rPr>
        <w:lastRenderedPageBreak/>
        <w:t>镇区内基础设施及公用设施的建设管理工作。负责镇区内项目招商引资工作。负责镇区农业、民政、社会保障、社会治安、卫生和计划生育、文化等社会事务工作。负责镇区企业和施工项目安全生产工作和经区安全生产监管机构依法依程序委托的有关工作。协调、管理有关部门设在镇区内的派出机构或分支机构。完成上级政府交办的其它事项。</w:t>
      </w:r>
    </w:p>
    <w:p w:rsidR="00B66FB7" w:rsidRPr="00D834F1" w:rsidRDefault="00211D18" w:rsidP="00D834F1">
      <w:pPr>
        <w:widowControl w:val="0"/>
        <w:spacing w:line="560" w:lineRule="exact"/>
        <w:ind w:firstLineChars="200" w:firstLine="640"/>
        <w:rPr>
          <w:rFonts w:ascii="仿宋_GB2312" w:eastAsia="仿宋_GB2312" w:hint="eastAsia"/>
          <w:sz w:val="32"/>
          <w:szCs w:val="32"/>
        </w:rPr>
      </w:pPr>
      <w:r w:rsidRPr="00D834F1">
        <w:rPr>
          <w:rFonts w:ascii="仿宋_GB2312" w:eastAsia="仿宋_GB2312" w:hint="eastAsia"/>
          <w:sz w:val="32"/>
          <w:szCs w:val="32"/>
        </w:rPr>
        <w:t>本单位内设12个机构，其中包括行政机构7个，分别为：党政办公室、党建办公室、自然资源和生态环境办公室、经济发展办公室、社会治安和应急管理办公室、财政所、社会事务办。事业单位5个</w:t>
      </w:r>
      <w:r w:rsidR="00405402">
        <w:rPr>
          <w:rFonts w:ascii="仿宋_GB2312" w:eastAsia="仿宋_GB2312" w:hint="eastAsia"/>
          <w:sz w:val="32"/>
          <w:szCs w:val="32"/>
        </w:rPr>
        <w:t>，</w:t>
      </w:r>
      <w:r w:rsidRPr="00D834F1">
        <w:rPr>
          <w:rFonts w:ascii="仿宋_GB2312" w:eastAsia="仿宋_GB2312" w:hint="eastAsia"/>
          <w:sz w:val="32"/>
          <w:szCs w:val="32"/>
        </w:rPr>
        <w:t xml:space="preserve">分别为社会事务综合服务中心、退役军人服务站、综合行政执法大队、党群和政务服务中心、农业综合服务中心 </w:t>
      </w:r>
      <w:r w:rsidR="00B96A52">
        <w:rPr>
          <w:rFonts w:ascii="仿宋_GB2312" w:eastAsia="仿宋_GB2312" w:hint="eastAsia"/>
          <w:sz w:val="32"/>
          <w:szCs w:val="32"/>
        </w:rPr>
        <w:t>。</w:t>
      </w:r>
      <w:r w:rsidRPr="00D834F1">
        <w:rPr>
          <w:rFonts w:ascii="仿宋_GB2312" w:eastAsia="仿宋_GB2312" w:hint="eastAsia"/>
          <w:sz w:val="32"/>
          <w:szCs w:val="32"/>
        </w:rPr>
        <w:t>截止2020年12月31日，本单位经区编委核定的编制人数 98人(其中行政编制35人，事业编制63人)。实有人数为85人（其中行政编制25人，事业编制60 人)，分流人员62人。遗属15人。</w:t>
      </w:r>
    </w:p>
    <w:p w:rsidR="00B66FB7" w:rsidRPr="00D834F1" w:rsidRDefault="00211D18" w:rsidP="00D834F1">
      <w:pPr>
        <w:widowControl w:val="0"/>
        <w:spacing w:line="560" w:lineRule="exact"/>
        <w:ind w:firstLineChars="200" w:firstLine="640"/>
        <w:rPr>
          <w:rFonts w:ascii="仿宋_GB2312" w:eastAsia="仿宋_GB2312" w:hint="eastAsia"/>
          <w:sz w:val="32"/>
          <w:szCs w:val="32"/>
        </w:rPr>
      </w:pPr>
      <w:r w:rsidRPr="00D834F1">
        <w:rPr>
          <w:rFonts w:ascii="仿宋_GB2312" w:eastAsia="仿宋_GB2312" w:hint="eastAsia"/>
          <w:sz w:val="32"/>
          <w:szCs w:val="32"/>
        </w:rPr>
        <w:t>（一）部门整体支出概况</w:t>
      </w:r>
    </w:p>
    <w:p w:rsidR="00B66FB7" w:rsidRPr="00D834F1" w:rsidRDefault="00211D18" w:rsidP="00D834F1">
      <w:pPr>
        <w:widowControl w:val="0"/>
        <w:spacing w:line="560" w:lineRule="exact"/>
        <w:ind w:firstLineChars="200" w:firstLine="640"/>
        <w:rPr>
          <w:rFonts w:ascii="仿宋_GB2312" w:eastAsia="仿宋_GB2312" w:hint="eastAsia"/>
          <w:sz w:val="32"/>
          <w:szCs w:val="32"/>
        </w:rPr>
      </w:pPr>
      <w:r w:rsidRPr="00D834F1">
        <w:rPr>
          <w:rFonts w:ascii="仿宋_GB2312" w:eastAsia="仿宋_GB2312" w:hint="eastAsia"/>
          <w:sz w:val="32"/>
          <w:szCs w:val="32"/>
        </w:rPr>
        <w:t>本年收入合计15483.94万元，其中：财政拨款收入5521.92万元，占35.66%。政府性基金预算财政拨款收入219万元，占1.42%。其他收入9743.03万元，占62.92%。本年支出合计13995.4万元，其中：基本支出2345.61万元，占16.76%。项目支出11649.79万元，占83.24%。</w:t>
      </w:r>
    </w:p>
    <w:p w:rsidR="00B66FB7" w:rsidRPr="00D834F1" w:rsidRDefault="00211D18" w:rsidP="00D834F1">
      <w:pPr>
        <w:widowControl w:val="0"/>
        <w:spacing w:line="560" w:lineRule="exact"/>
        <w:ind w:firstLineChars="200" w:firstLine="640"/>
        <w:rPr>
          <w:rFonts w:ascii="仿宋_GB2312" w:eastAsia="仿宋_GB2312" w:hint="eastAsia"/>
          <w:sz w:val="32"/>
          <w:szCs w:val="32"/>
        </w:rPr>
      </w:pPr>
      <w:r w:rsidRPr="00D834F1">
        <w:rPr>
          <w:rFonts w:ascii="仿宋_GB2312" w:eastAsia="仿宋_GB2312" w:hint="eastAsia"/>
          <w:sz w:val="32"/>
          <w:szCs w:val="32"/>
        </w:rPr>
        <w:t>（二）部门整体支出绩效目标</w:t>
      </w:r>
    </w:p>
    <w:p w:rsidR="00B66FB7" w:rsidRPr="00D834F1" w:rsidRDefault="00211D18" w:rsidP="00D834F1">
      <w:pPr>
        <w:widowControl w:val="0"/>
        <w:spacing w:line="560" w:lineRule="exact"/>
        <w:ind w:firstLineChars="200" w:firstLine="640"/>
        <w:rPr>
          <w:rFonts w:ascii="仿宋_GB2312" w:eastAsia="仿宋_GB2312" w:hint="eastAsia"/>
          <w:sz w:val="32"/>
          <w:szCs w:val="32"/>
        </w:rPr>
      </w:pPr>
      <w:r w:rsidRPr="00D834F1">
        <w:rPr>
          <w:rFonts w:ascii="仿宋_GB2312" w:eastAsia="仿宋_GB2312" w:hint="eastAsia"/>
          <w:sz w:val="32"/>
          <w:szCs w:val="32"/>
        </w:rPr>
        <w:lastRenderedPageBreak/>
        <w:t>1</w:t>
      </w:r>
      <w:r w:rsidR="00CA3549">
        <w:rPr>
          <w:rFonts w:ascii="仿宋_GB2312" w:eastAsia="仿宋_GB2312" w:hint="eastAsia"/>
          <w:sz w:val="32"/>
          <w:szCs w:val="32"/>
        </w:rPr>
        <w:t>.</w:t>
      </w:r>
      <w:r w:rsidRPr="00D834F1">
        <w:rPr>
          <w:rFonts w:ascii="仿宋_GB2312" w:eastAsia="仿宋_GB2312" w:hint="eastAsia"/>
          <w:sz w:val="32"/>
          <w:szCs w:val="32"/>
        </w:rPr>
        <w:t>预决算编制情况。预算编制工作严格遵循合法性、真实性、完整性、重点性、绩效性，实行零基预算，按定额标准编制部门。专项预算细化，按规定及时公示了部门预算。及时清理，准确反映结余结转资金，严格执行结余结转资金的管理规定。决算编审工作中严格按照“真实、准确、完整、及时”的要求，正确理解和掌握决算报表的口径和相关指标，部门决算报表的内容涵盖单位的全部收支，做到了数据真实，计算准确，内容完整。按规定及时公示了部门决算。</w:t>
      </w:r>
    </w:p>
    <w:p w:rsidR="00B66FB7" w:rsidRPr="00D834F1" w:rsidRDefault="00211D18" w:rsidP="00D834F1">
      <w:pPr>
        <w:widowControl w:val="0"/>
        <w:spacing w:line="560" w:lineRule="exact"/>
        <w:ind w:firstLineChars="200" w:firstLine="640"/>
        <w:rPr>
          <w:rFonts w:ascii="仿宋_GB2312" w:eastAsia="仿宋_GB2312" w:hint="eastAsia"/>
          <w:sz w:val="32"/>
          <w:szCs w:val="32"/>
        </w:rPr>
      </w:pPr>
      <w:r w:rsidRPr="00D834F1">
        <w:rPr>
          <w:rFonts w:ascii="仿宋_GB2312" w:eastAsia="仿宋_GB2312" w:hint="eastAsia"/>
          <w:sz w:val="32"/>
          <w:szCs w:val="32"/>
        </w:rPr>
        <w:t>2</w:t>
      </w:r>
      <w:r w:rsidR="00CA3549">
        <w:rPr>
          <w:rFonts w:ascii="仿宋_GB2312" w:eastAsia="仿宋_GB2312" w:hint="eastAsia"/>
          <w:sz w:val="32"/>
          <w:szCs w:val="32"/>
        </w:rPr>
        <w:t>.</w:t>
      </w:r>
      <w:r w:rsidRPr="00D834F1">
        <w:rPr>
          <w:rFonts w:ascii="仿宋_GB2312" w:eastAsia="仿宋_GB2312" w:hint="eastAsia"/>
          <w:sz w:val="32"/>
          <w:szCs w:val="32"/>
        </w:rPr>
        <w:t>三公经费控制情况。2020年全年单位未购置公务用车，年末开支运行维护费的公务用车保有量2辆，年初批复预算的三公经费为9.25万元，其中公务用车运行维护费9.25万元。2020年决算支出三公经费中公务用车运行维护费9.25万元。2020年无接待费、无因公出国（境）费。</w:t>
      </w:r>
    </w:p>
    <w:p w:rsidR="00B66FB7" w:rsidRPr="00D834F1" w:rsidRDefault="00211D18" w:rsidP="00D834F1">
      <w:pPr>
        <w:widowControl w:val="0"/>
        <w:spacing w:line="560" w:lineRule="exact"/>
        <w:ind w:firstLineChars="200" w:firstLine="640"/>
        <w:rPr>
          <w:rFonts w:ascii="仿宋_GB2312" w:eastAsia="仿宋_GB2312" w:hint="eastAsia"/>
          <w:sz w:val="32"/>
          <w:szCs w:val="32"/>
        </w:rPr>
      </w:pPr>
      <w:r w:rsidRPr="00D834F1">
        <w:rPr>
          <w:rFonts w:ascii="仿宋_GB2312" w:eastAsia="仿宋_GB2312" w:hint="eastAsia"/>
          <w:sz w:val="32"/>
          <w:szCs w:val="32"/>
        </w:rPr>
        <w:t>3</w:t>
      </w:r>
      <w:r w:rsidR="00CA3549">
        <w:rPr>
          <w:rFonts w:ascii="仿宋_GB2312" w:eastAsia="仿宋_GB2312" w:hint="eastAsia"/>
          <w:sz w:val="32"/>
          <w:szCs w:val="32"/>
        </w:rPr>
        <w:t>.</w:t>
      </w:r>
      <w:r w:rsidRPr="00D834F1">
        <w:rPr>
          <w:rFonts w:ascii="仿宋_GB2312" w:eastAsia="仿宋_GB2312" w:hint="eastAsia"/>
          <w:sz w:val="32"/>
          <w:szCs w:val="32"/>
        </w:rPr>
        <w:t>项目资金管理情况。机关建立和健全项目资金管理制度和管理办法。严格资金的使用和划拨流程，确保资金使用安全、公平、合理。项目资金做到了专款专用，及时拨付。资金的划拨均通过银行转帐的方式，直接支付到企业,切实保障了资金使用的准确性和安全性。</w:t>
      </w:r>
    </w:p>
    <w:p w:rsidR="00B66FB7" w:rsidRPr="00D834F1" w:rsidRDefault="00211D18" w:rsidP="00D834F1">
      <w:pPr>
        <w:widowControl w:val="0"/>
        <w:spacing w:line="560" w:lineRule="exact"/>
        <w:ind w:firstLineChars="200" w:firstLine="640"/>
        <w:rPr>
          <w:rFonts w:ascii="仿宋_GB2312" w:eastAsia="仿宋_GB2312" w:hint="eastAsia"/>
          <w:sz w:val="32"/>
          <w:szCs w:val="32"/>
        </w:rPr>
      </w:pPr>
      <w:r w:rsidRPr="00D834F1">
        <w:rPr>
          <w:rFonts w:ascii="仿宋_GB2312" w:eastAsia="仿宋_GB2312" w:hint="eastAsia"/>
          <w:sz w:val="32"/>
          <w:szCs w:val="32"/>
        </w:rPr>
        <w:t>（三）整体绩效及执行管理情况</w:t>
      </w:r>
    </w:p>
    <w:p w:rsidR="00B66FB7" w:rsidRPr="00D834F1" w:rsidRDefault="00211D18" w:rsidP="00D834F1">
      <w:pPr>
        <w:widowControl w:val="0"/>
        <w:spacing w:line="560" w:lineRule="exact"/>
        <w:ind w:firstLineChars="200" w:firstLine="640"/>
        <w:rPr>
          <w:rFonts w:ascii="仿宋_GB2312" w:eastAsia="仿宋_GB2312" w:hint="eastAsia"/>
          <w:sz w:val="32"/>
          <w:szCs w:val="32"/>
        </w:rPr>
      </w:pPr>
      <w:r w:rsidRPr="00D834F1">
        <w:rPr>
          <w:rFonts w:ascii="仿宋_GB2312" w:eastAsia="仿宋_GB2312" w:hint="eastAsia"/>
          <w:sz w:val="32"/>
          <w:szCs w:val="32"/>
        </w:rPr>
        <w:t>2020年，我单位积极履职，强化管理，较好的完成了年度工作目标。通过加强预算收支管理，不断建立健全内部管理制度，梳理内部管理流程，部门整体支出管理水平得到提升。基</w:t>
      </w:r>
      <w:r w:rsidRPr="00D834F1">
        <w:rPr>
          <w:rFonts w:ascii="仿宋_GB2312" w:eastAsia="仿宋_GB2312" w:hint="eastAsia"/>
          <w:sz w:val="32"/>
          <w:szCs w:val="32"/>
        </w:rPr>
        <w:lastRenderedPageBreak/>
        <w:t>本支出严格按部门预算均衡执行，根据批复的预算安排各项收支，确保预算严格有效执行。</w:t>
      </w:r>
    </w:p>
    <w:p w:rsidR="00B66FB7" w:rsidRPr="00405402" w:rsidRDefault="00211D18" w:rsidP="00D834F1">
      <w:pPr>
        <w:widowControl w:val="0"/>
        <w:spacing w:line="560" w:lineRule="exact"/>
        <w:ind w:firstLineChars="200" w:firstLine="640"/>
        <w:rPr>
          <w:rFonts w:ascii="黑体" w:eastAsia="黑体" w:hAnsi="黑体" w:hint="eastAsia"/>
          <w:sz w:val="32"/>
          <w:szCs w:val="32"/>
          <w:highlight w:val="white"/>
        </w:rPr>
      </w:pPr>
      <w:r w:rsidRPr="00405402">
        <w:rPr>
          <w:rFonts w:ascii="黑体" w:eastAsia="黑体" w:hAnsi="黑体" w:hint="eastAsia"/>
          <w:sz w:val="32"/>
          <w:szCs w:val="32"/>
          <w:highlight w:val="white"/>
        </w:rPr>
        <w:t>二、绩效评价工作情况</w:t>
      </w:r>
    </w:p>
    <w:p w:rsidR="00B66FB7" w:rsidRPr="00D834F1" w:rsidRDefault="00211D18" w:rsidP="00D834F1">
      <w:pPr>
        <w:widowControl w:val="0"/>
        <w:spacing w:line="560" w:lineRule="exact"/>
        <w:ind w:firstLineChars="200" w:firstLine="640"/>
        <w:rPr>
          <w:rFonts w:ascii="仿宋_GB2312" w:eastAsia="仿宋_GB2312" w:hint="eastAsia"/>
          <w:sz w:val="32"/>
          <w:szCs w:val="32"/>
        </w:rPr>
      </w:pPr>
      <w:r w:rsidRPr="00D834F1">
        <w:rPr>
          <w:rFonts w:ascii="仿宋_GB2312" w:eastAsia="仿宋_GB2312" w:hint="eastAsia"/>
          <w:sz w:val="32"/>
          <w:szCs w:val="32"/>
        </w:rPr>
        <w:t>（一）绩效评价目的</w:t>
      </w:r>
    </w:p>
    <w:p w:rsidR="00B66FB7" w:rsidRPr="00D834F1" w:rsidRDefault="00211D18" w:rsidP="00D834F1">
      <w:pPr>
        <w:widowControl w:val="0"/>
        <w:spacing w:line="560" w:lineRule="exact"/>
        <w:ind w:firstLineChars="200" w:firstLine="640"/>
        <w:rPr>
          <w:rFonts w:ascii="仿宋_GB2312" w:eastAsia="仿宋_GB2312" w:hint="eastAsia"/>
          <w:sz w:val="32"/>
          <w:szCs w:val="32"/>
        </w:rPr>
      </w:pPr>
      <w:r w:rsidRPr="00D834F1">
        <w:rPr>
          <w:rFonts w:ascii="仿宋_GB2312" w:eastAsia="仿宋_GB2312" w:hint="eastAsia"/>
          <w:sz w:val="32"/>
          <w:szCs w:val="32"/>
        </w:rPr>
        <w:t>通过绩效评价，树立绩效意识、成本意识和责任意识，完善预算编制、执行、监督体系，提升绩效管理质量，提高财政资金使用效益，促进更好地履职尽责。</w:t>
      </w:r>
    </w:p>
    <w:p w:rsidR="00B66FB7" w:rsidRPr="00D834F1" w:rsidRDefault="00211D18" w:rsidP="00D834F1">
      <w:pPr>
        <w:widowControl w:val="0"/>
        <w:spacing w:line="560" w:lineRule="exact"/>
        <w:ind w:firstLineChars="200" w:firstLine="640"/>
        <w:rPr>
          <w:rFonts w:ascii="仿宋_GB2312" w:eastAsia="仿宋_GB2312" w:hint="eastAsia"/>
          <w:sz w:val="32"/>
          <w:szCs w:val="32"/>
        </w:rPr>
      </w:pPr>
      <w:r w:rsidRPr="00D834F1">
        <w:rPr>
          <w:rFonts w:ascii="仿宋_GB2312" w:eastAsia="仿宋_GB2312" w:hint="eastAsia"/>
          <w:sz w:val="32"/>
          <w:szCs w:val="32"/>
        </w:rPr>
        <w:t>（二）绩效评价工作过程</w:t>
      </w:r>
    </w:p>
    <w:p w:rsidR="00B66FB7" w:rsidRPr="00D834F1" w:rsidRDefault="00211D18" w:rsidP="00D834F1">
      <w:pPr>
        <w:widowControl w:val="0"/>
        <w:spacing w:line="560" w:lineRule="exact"/>
        <w:ind w:firstLineChars="200" w:firstLine="640"/>
        <w:rPr>
          <w:rFonts w:ascii="仿宋_GB2312" w:eastAsia="仿宋_GB2312" w:hint="eastAsia"/>
          <w:sz w:val="32"/>
          <w:szCs w:val="32"/>
        </w:rPr>
      </w:pPr>
      <w:r w:rsidRPr="00D834F1">
        <w:rPr>
          <w:rFonts w:ascii="仿宋_GB2312" w:eastAsia="仿宋_GB2312" w:hint="eastAsia"/>
          <w:sz w:val="32"/>
          <w:szCs w:val="32"/>
        </w:rPr>
        <w:t>泉交河镇部门预算整体绩效评价本着客观、科学、实用的原则，成立了泉交河镇政府项目绩效评估领导小组，镇党委书记任组长，镇长为副组长，纪委书记、人大主席、财政所长等为成员。评估小组根据年初项目绩效申报内容对年终项目实施情况绩效评估考核。针对2020年初部门整体支出绩效涉及到的资金进行财务核实，按照年初整体支出绩效申报表的一、二、三级指标逐项调查、核实、对比，对泉交河镇2020年部门整体支出绩效分为投入（20分）、过程（30分）、产出（30分）、效果（20分）4个一级指标进行评价，4个一指标下共设7个二级指标和27个三级指标，通过细化逐项进行了评估。</w:t>
      </w:r>
    </w:p>
    <w:p w:rsidR="00B66FB7" w:rsidRPr="00405402" w:rsidRDefault="00211D18" w:rsidP="00D834F1">
      <w:pPr>
        <w:widowControl w:val="0"/>
        <w:spacing w:line="560" w:lineRule="exact"/>
        <w:ind w:firstLineChars="200" w:firstLine="640"/>
        <w:rPr>
          <w:rFonts w:ascii="黑体" w:eastAsia="黑体" w:hAnsi="黑体" w:hint="eastAsia"/>
          <w:sz w:val="32"/>
          <w:szCs w:val="32"/>
          <w:highlight w:val="white"/>
        </w:rPr>
      </w:pPr>
      <w:r w:rsidRPr="00405402">
        <w:rPr>
          <w:rFonts w:ascii="黑体" w:eastAsia="黑体" w:hAnsi="黑体" w:hint="eastAsia"/>
          <w:sz w:val="32"/>
          <w:szCs w:val="32"/>
          <w:highlight w:val="white"/>
        </w:rPr>
        <w:t>三、主要绩效及评价结论</w:t>
      </w:r>
    </w:p>
    <w:p w:rsidR="00B66FB7" w:rsidRPr="00D834F1" w:rsidRDefault="00211D18" w:rsidP="00D834F1">
      <w:pPr>
        <w:widowControl w:val="0"/>
        <w:spacing w:line="560" w:lineRule="exact"/>
        <w:ind w:firstLineChars="200" w:firstLine="640"/>
        <w:rPr>
          <w:rFonts w:ascii="仿宋_GB2312" w:eastAsia="仿宋_GB2312" w:hint="eastAsia"/>
          <w:sz w:val="32"/>
          <w:szCs w:val="32"/>
        </w:rPr>
      </w:pPr>
      <w:r w:rsidRPr="00D834F1">
        <w:rPr>
          <w:rFonts w:ascii="仿宋_GB2312" w:eastAsia="仿宋_GB2312" w:hint="eastAsia"/>
          <w:sz w:val="32"/>
          <w:szCs w:val="32"/>
        </w:rPr>
        <w:t>（一）评价结论</w:t>
      </w:r>
    </w:p>
    <w:p w:rsidR="00B66FB7" w:rsidRPr="00D834F1" w:rsidRDefault="00211D18" w:rsidP="00D834F1">
      <w:pPr>
        <w:widowControl w:val="0"/>
        <w:spacing w:line="560" w:lineRule="exact"/>
        <w:ind w:firstLineChars="200" w:firstLine="640"/>
        <w:rPr>
          <w:rFonts w:ascii="仿宋_GB2312" w:eastAsia="仿宋_GB2312" w:hint="eastAsia"/>
          <w:sz w:val="32"/>
          <w:szCs w:val="32"/>
        </w:rPr>
      </w:pPr>
      <w:r w:rsidRPr="00D834F1">
        <w:rPr>
          <w:rFonts w:ascii="仿宋_GB2312" w:eastAsia="仿宋_GB2312" w:hint="eastAsia"/>
          <w:sz w:val="32"/>
          <w:szCs w:val="32"/>
        </w:rPr>
        <w:t>泉交河镇政府项目绩效评估领导小组通过评估，泉交河部门整体支出绩效得分93.5分。</w:t>
      </w:r>
    </w:p>
    <w:p w:rsidR="00B66FB7" w:rsidRPr="00D834F1" w:rsidRDefault="00211D18" w:rsidP="00D834F1">
      <w:pPr>
        <w:widowControl w:val="0"/>
        <w:spacing w:line="560" w:lineRule="exact"/>
        <w:ind w:firstLineChars="200" w:firstLine="640"/>
        <w:rPr>
          <w:rFonts w:ascii="仿宋_GB2312" w:eastAsia="仿宋_GB2312" w:hint="eastAsia"/>
          <w:sz w:val="32"/>
          <w:szCs w:val="32"/>
        </w:rPr>
      </w:pPr>
      <w:r w:rsidRPr="00D834F1">
        <w:rPr>
          <w:rFonts w:ascii="仿宋_GB2312" w:eastAsia="仿宋_GB2312" w:hint="eastAsia"/>
          <w:sz w:val="32"/>
          <w:szCs w:val="32"/>
        </w:rPr>
        <w:lastRenderedPageBreak/>
        <w:t>（二）绩效分析</w:t>
      </w:r>
    </w:p>
    <w:p w:rsidR="00B66FB7" w:rsidRPr="00D834F1" w:rsidRDefault="00211D18" w:rsidP="00D834F1">
      <w:pPr>
        <w:widowControl w:val="0"/>
        <w:spacing w:line="560" w:lineRule="exact"/>
        <w:ind w:firstLineChars="200" w:firstLine="640"/>
        <w:rPr>
          <w:rFonts w:ascii="仿宋_GB2312" w:eastAsia="仿宋_GB2312" w:hint="eastAsia"/>
          <w:sz w:val="32"/>
          <w:szCs w:val="32"/>
        </w:rPr>
      </w:pPr>
      <w:r w:rsidRPr="00D834F1">
        <w:rPr>
          <w:rFonts w:ascii="仿宋_GB2312" w:eastAsia="仿宋_GB2312" w:hint="eastAsia"/>
          <w:sz w:val="32"/>
          <w:szCs w:val="32"/>
        </w:rPr>
        <w:t>1</w:t>
      </w:r>
      <w:r w:rsidR="00CA3549">
        <w:rPr>
          <w:rFonts w:ascii="仿宋_GB2312" w:eastAsia="仿宋_GB2312" w:hint="eastAsia"/>
          <w:sz w:val="32"/>
          <w:szCs w:val="32"/>
        </w:rPr>
        <w:t>.</w:t>
      </w:r>
      <w:r w:rsidRPr="00D834F1">
        <w:rPr>
          <w:rFonts w:ascii="仿宋_GB2312" w:eastAsia="仿宋_GB2312" w:hint="eastAsia"/>
          <w:sz w:val="32"/>
          <w:szCs w:val="32"/>
        </w:rPr>
        <w:t>投入得20分，基础信息更新按照区级部门预算编制通知和有关要求，按时完成基础库、项目库报送工作，预算编制准确，部门预算审查合法，部门整体绩效目标编制完整、合理，项目绩效目标编制明确、量化。</w:t>
      </w:r>
    </w:p>
    <w:p w:rsidR="00B66FB7" w:rsidRPr="00D834F1" w:rsidRDefault="00211D18" w:rsidP="00D834F1">
      <w:pPr>
        <w:widowControl w:val="0"/>
        <w:spacing w:line="560" w:lineRule="exact"/>
        <w:ind w:firstLineChars="200" w:firstLine="640"/>
        <w:rPr>
          <w:rFonts w:ascii="仿宋_GB2312" w:eastAsia="仿宋_GB2312" w:hint="eastAsia"/>
          <w:sz w:val="32"/>
          <w:szCs w:val="32"/>
        </w:rPr>
      </w:pPr>
      <w:r w:rsidRPr="00D834F1">
        <w:rPr>
          <w:rFonts w:ascii="仿宋_GB2312" w:eastAsia="仿宋_GB2312" w:hint="eastAsia"/>
          <w:sz w:val="32"/>
          <w:szCs w:val="32"/>
        </w:rPr>
        <w:t>2</w:t>
      </w:r>
      <w:r w:rsidR="00CA3549">
        <w:rPr>
          <w:rFonts w:ascii="仿宋_GB2312" w:eastAsia="仿宋_GB2312" w:hint="eastAsia"/>
          <w:sz w:val="32"/>
          <w:szCs w:val="32"/>
        </w:rPr>
        <w:t>.</w:t>
      </w:r>
      <w:r w:rsidRPr="00D834F1">
        <w:rPr>
          <w:rFonts w:ascii="仿宋_GB2312" w:eastAsia="仿宋_GB2312" w:hint="eastAsia"/>
          <w:sz w:val="32"/>
          <w:szCs w:val="32"/>
        </w:rPr>
        <w:t>过程得27.5分，按规定及时分配上级财力专项预算，部门按要求严格预算执行管理，行政成本严格执行节能降耗、严格执行“三公经费”预算。</w:t>
      </w:r>
    </w:p>
    <w:p w:rsidR="00B66FB7" w:rsidRPr="00D834F1" w:rsidRDefault="00211D18" w:rsidP="00D834F1">
      <w:pPr>
        <w:widowControl w:val="0"/>
        <w:spacing w:line="560" w:lineRule="exact"/>
        <w:ind w:firstLineChars="200" w:firstLine="640"/>
        <w:rPr>
          <w:rFonts w:ascii="仿宋_GB2312" w:eastAsia="仿宋_GB2312" w:hint="eastAsia"/>
          <w:sz w:val="32"/>
          <w:szCs w:val="32"/>
        </w:rPr>
      </w:pPr>
      <w:r w:rsidRPr="00D834F1">
        <w:rPr>
          <w:rFonts w:ascii="仿宋_GB2312" w:eastAsia="仿宋_GB2312" w:hint="eastAsia"/>
          <w:sz w:val="32"/>
          <w:szCs w:val="32"/>
        </w:rPr>
        <w:t>3</w:t>
      </w:r>
      <w:r w:rsidR="00CA3549">
        <w:rPr>
          <w:rFonts w:ascii="仿宋_GB2312" w:eastAsia="仿宋_GB2312" w:hint="eastAsia"/>
          <w:sz w:val="32"/>
          <w:szCs w:val="32"/>
        </w:rPr>
        <w:t>.</w:t>
      </w:r>
      <w:r w:rsidRPr="00D834F1">
        <w:rPr>
          <w:rFonts w:ascii="仿宋_GB2312" w:eastAsia="仿宋_GB2312" w:hint="eastAsia"/>
          <w:sz w:val="32"/>
          <w:szCs w:val="32"/>
        </w:rPr>
        <w:t>产出得28.5分，按规定做好政府性债务还本付息工作，部门和单位将国有资产纳入资产信息系统管理，按要求及时、准确、全面开展资产清查工作，报国有资产报表数据的真实、准确、全面，内部控制度健全完整，信息公开在财政部门批复二十日内向社会公开本部门预算、决算、绩效，部门实施绩效评价项目数量占部门申报绩效目标项目数量的比重，用以反映和考核部门实施绩效评价项目资金覆盖情况。</w:t>
      </w:r>
    </w:p>
    <w:p w:rsidR="00B66FB7" w:rsidRPr="00D834F1" w:rsidRDefault="00211D18" w:rsidP="00D834F1">
      <w:pPr>
        <w:widowControl w:val="0"/>
        <w:spacing w:line="560" w:lineRule="exact"/>
        <w:ind w:firstLineChars="200" w:firstLine="640"/>
        <w:rPr>
          <w:rFonts w:ascii="仿宋_GB2312" w:eastAsia="仿宋_GB2312" w:hint="eastAsia"/>
          <w:sz w:val="32"/>
          <w:szCs w:val="32"/>
        </w:rPr>
      </w:pPr>
      <w:r w:rsidRPr="00D834F1">
        <w:rPr>
          <w:rFonts w:ascii="仿宋_GB2312" w:eastAsia="仿宋_GB2312" w:hint="eastAsia"/>
          <w:sz w:val="32"/>
          <w:szCs w:val="32"/>
        </w:rPr>
        <w:t>4</w:t>
      </w:r>
      <w:r w:rsidR="00CA3549">
        <w:rPr>
          <w:rFonts w:ascii="仿宋_GB2312" w:eastAsia="仿宋_GB2312" w:hint="eastAsia"/>
          <w:sz w:val="32"/>
          <w:szCs w:val="32"/>
        </w:rPr>
        <w:t>.</w:t>
      </w:r>
      <w:r w:rsidRPr="00D834F1">
        <w:rPr>
          <w:rFonts w:ascii="仿宋_GB2312" w:eastAsia="仿宋_GB2312" w:hint="eastAsia"/>
          <w:sz w:val="32"/>
          <w:szCs w:val="32"/>
        </w:rPr>
        <w:t>效果得17.5分，履行法定职责，完成区委、区政府决策部署和重大工作任务完成好，部门实施重大项目的经济、社会效益好，密切联系群众、服务群众情况，办理人大代表建议、政协提案情况，妥善处理群众来信来访、化解社会矛盾情况，加强政风行风建设、解决损害群众利益情况。</w:t>
      </w:r>
    </w:p>
    <w:p w:rsidR="00B66FB7" w:rsidRPr="00405402" w:rsidRDefault="00211D18" w:rsidP="00D834F1">
      <w:pPr>
        <w:widowControl w:val="0"/>
        <w:spacing w:line="560" w:lineRule="exact"/>
        <w:ind w:firstLineChars="200" w:firstLine="640"/>
        <w:rPr>
          <w:rFonts w:ascii="黑体" w:eastAsia="黑体" w:hAnsi="黑体" w:hint="eastAsia"/>
          <w:sz w:val="32"/>
          <w:szCs w:val="32"/>
          <w:highlight w:val="white"/>
        </w:rPr>
      </w:pPr>
      <w:r w:rsidRPr="00405402">
        <w:rPr>
          <w:rFonts w:ascii="黑体" w:eastAsia="黑体" w:hAnsi="黑体" w:hint="eastAsia"/>
          <w:sz w:val="32"/>
          <w:szCs w:val="32"/>
          <w:highlight w:val="white"/>
        </w:rPr>
        <w:t>四、存在的问题</w:t>
      </w:r>
    </w:p>
    <w:p w:rsidR="00B66FB7" w:rsidRPr="00D834F1" w:rsidRDefault="00211D18" w:rsidP="00D834F1">
      <w:pPr>
        <w:widowControl w:val="0"/>
        <w:spacing w:line="560" w:lineRule="exact"/>
        <w:ind w:firstLineChars="200" w:firstLine="640"/>
        <w:rPr>
          <w:rFonts w:ascii="仿宋_GB2312" w:eastAsia="仿宋_GB2312" w:hint="eastAsia"/>
          <w:sz w:val="32"/>
          <w:szCs w:val="32"/>
        </w:rPr>
      </w:pPr>
      <w:r w:rsidRPr="00D834F1">
        <w:rPr>
          <w:rFonts w:ascii="仿宋_GB2312" w:eastAsia="仿宋_GB2312" w:hint="eastAsia"/>
          <w:sz w:val="32"/>
          <w:szCs w:val="32"/>
        </w:rPr>
        <w:t>（一）预算编制工作有待细化。预算编制不够精确和细化，</w:t>
      </w:r>
      <w:r w:rsidRPr="00D834F1">
        <w:rPr>
          <w:rFonts w:ascii="仿宋_GB2312" w:eastAsia="仿宋_GB2312" w:hint="eastAsia"/>
          <w:sz w:val="32"/>
          <w:szCs w:val="32"/>
        </w:rPr>
        <w:lastRenderedPageBreak/>
        <w:t>预算编制的合理性需要提高，预算执行力度还需进一步加强。</w:t>
      </w:r>
    </w:p>
    <w:p w:rsidR="00B66FB7" w:rsidRPr="00D834F1" w:rsidRDefault="00211D18" w:rsidP="00D834F1">
      <w:pPr>
        <w:widowControl w:val="0"/>
        <w:spacing w:line="560" w:lineRule="exact"/>
        <w:ind w:firstLineChars="200" w:firstLine="640"/>
        <w:rPr>
          <w:rFonts w:ascii="仿宋_GB2312" w:eastAsia="仿宋_GB2312" w:hint="eastAsia"/>
          <w:sz w:val="32"/>
          <w:szCs w:val="32"/>
        </w:rPr>
      </w:pPr>
      <w:r w:rsidRPr="00D834F1">
        <w:rPr>
          <w:rFonts w:ascii="仿宋_GB2312" w:eastAsia="仿宋_GB2312" w:hint="eastAsia"/>
          <w:sz w:val="32"/>
          <w:szCs w:val="32"/>
        </w:rPr>
        <w:t>（二）资产管理有待加强。政府办后勤管理制度中专门明确了资产管理制度，但由于多方面的原因，资产入账、报废未能及时处理，资产领用登记台账不健全。</w:t>
      </w:r>
    </w:p>
    <w:p w:rsidR="00B66FB7" w:rsidRPr="00CA3549" w:rsidRDefault="00211D18" w:rsidP="00D834F1">
      <w:pPr>
        <w:widowControl w:val="0"/>
        <w:spacing w:line="560" w:lineRule="exact"/>
        <w:ind w:firstLineChars="200" w:firstLine="640"/>
        <w:rPr>
          <w:rFonts w:ascii="黑体" w:eastAsia="黑体" w:hAnsi="黑体" w:hint="eastAsia"/>
          <w:sz w:val="32"/>
          <w:szCs w:val="32"/>
        </w:rPr>
      </w:pPr>
      <w:r w:rsidRPr="00CA3549">
        <w:rPr>
          <w:rFonts w:ascii="黑体" w:eastAsia="黑体" w:hAnsi="黑体" w:hint="eastAsia"/>
          <w:sz w:val="32"/>
          <w:szCs w:val="32"/>
        </w:rPr>
        <w:t>五、有关建议</w:t>
      </w:r>
    </w:p>
    <w:p w:rsidR="00B66FB7" w:rsidRPr="00D834F1" w:rsidRDefault="00211D18" w:rsidP="00D834F1">
      <w:pPr>
        <w:widowControl w:val="0"/>
        <w:spacing w:line="560" w:lineRule="exact"/>
        <w:ind w:firstLineChars="200" w:firstLine="640"/>
        <w:rPr>
          <w:rFonts w:ascii="仿宋_GB2312" w:eastAsia="仿宋_GB2312" w:hint="eastAsia"/>
          <w:sz w:val="32"/>
          <w:szCs w:val="32"/>
        </w:rPr>
      </w:pPr>
      <w:r w:rsidRPr="00D834F1">
        <w:rPr>
          <w:rFonts w:ascii="仿宋_GB2312" w:eastAsia="仿宋_GB2312" w:hint="eastAsia"/>
          <w:sz w:val="32"/>
          <w:szCs w:val="32"/>
        </w:rPr>
        <w:t>（一）细化预算编制工作，进一步加强内设机构的预算管理意识，严格按照预算编制的相关制度和要求进行预算编制。</w:t>
      </w:r>
    </w:p>
    <w:p w:rsidR="00B66FB7" w:rsidRPr="00D834F1" w:rsidRDefault="00211D18" w:rsidP="00D834F1">
      <w:pPr>
        <w:widowControl w:val="0"/>
        <w:spacing w:line="560" w:lineRule="exact"/>
        <w:ind w:firstLineChars="200" w:firstLine="640"/>
        <w:rPr>
          <w:rFonts w:ascii="仿宋_GB2312" w:eastAsia="仿宋_GB2312" w:hint="eastAsia"/>
          <w:sz w:val="32"/>
          <w:szCs w:val="32"/>
        </w:rPr>
      </w:pPr>
      <w:r w:rsidRPr="00D834F1">
        <w:rPr>
          <w:rFonts w:ascii="仿宋_GB2312" w:eastAsia="仿宋_GB2312" w:hint="eastAsia"/>
          <w:sz w:val="32"/>
          <w:szCs w:val="32"/>
        </w:rPr>
        <w:t>（二）加强财务管理，严格财务审核。加强单位财务管理，健全单位财务管理制度体系，规范单位财务行为。在费用报账支付时，按照预算规定的费用项目和用途进行资金使用审核、财务严格核算，杜绝超支现象的发生。</w:t>
      </w:r>
    </w:p>
    <w:p w:rsidR="00B66FB7" w:rsidRPr="00D834F1" w:rsidRDefault="00211D18" w:rsidP="00D834F1">
      <w:pPr>
        <w:widowControl w:val="0"/>
        <w:spacing w:line="560" w:lineRule="exact"/>
        <w:ind w:firstLineChars="200" w:firstLine="640"/>
        <w:rPr>
          <w:rFonts w:ascii="仿宋_GB2312" w:eastAsia="仿宋_GB2312" w:hint="eastAsia"/>
          <w:sz w:val="32"/>
          <w:szCs w:val="32"/>
        </w:rPr>
      </w:pPr>
      <w:r w:rsidRPr="00D834F1">
        <w:rPr>
          <w:rFonts w:ascii="仿宋_GB2312" w:eastAsia="仿宋_GB2312" w:hint="eastAsia"/>
          <w:sz w:val="32"/>
          <w:szCs w:val="32"/>
        </w:rPr>
        <w:t>（三）合理安排会计岗位，增加业务知识培训，加强决算工作与账务处理工作衔接。</w:t>
      </w:r>
    </w:p>
    <w:p w:rsidR="00B66FB7" w:rsidRPr="00405402" w:rsidRDefault="00211D18" w:rsidP="00D834F1">
      <w:pPr>
        <w:widowControl w:val="0"/>
        <w:spacing w:line="560" w:lineRule="exact"/>
        <w:ind w:firstLineChars="200" w:firstLine="640"/>
        <w:rPr>
          <w:rFonts w:ascii="黑体" w:eastAsia="黑体" w:hAnsi="黑体" w:hint="eastAsia"/>
          <w:sz w:val="32"/>
          <w:szCs w:val="32"/>
          <w:highlight w:val="white"/>
        </w:rPr>
      </w:pPr>
      <w:r w:rsidRPr="00405402">
        <w:rPr>
          <w:rFonts w:ascii="黑体" w:eastAsia="黑体" w:hAnsi="黑体" w:hint="eastAsia"/>
          <w:sz w:val="32"/>
          <w:szCs w:val="32"/>
          <w:highlight w:val="white"/>
        </w:rPr>
        <w:t>六、其他需要说明的问题</w:t>
      </w:r>
    </w:p>
    <w:p w:rsidR="00B66FB7" w:rsidRPr="00D834F1" w:rsidRDefault="00211D18" w:rsidP="00D834F1">
      <w:pPr>
        <w:widowControl w:val="0"/>
        <w:spacing w:line="560" w:lineRule="exact"/>
        <w:ind w:firstLineChars="200" w:firstLine="640"/>
        <w:rPr>
          <w:rFonts w:ascii="仿宋_GB2312" w:eastAsia="仿宋_GB2312" w:hint="eastAsia"/>
          <w:sz w:val="32"/>
          <w:szCs w:val="32"/>
        </w:rPr>
      </w:pPr>
      <w:r w:rsidRPr="00D834F1">
        <w:rPr>
          <w:rFonts w:ascii="仿宋_GB2312" w:eastAsia="仿宋_GB2312" w:hint="eastAsia"/>
          <w:sz w:val="32"/>
          <w:szCs w:val="32"/>
        </w:rPr>
        <w:t>无。</w:t>
      </w:r>
    </w:p>
    <w:p w:rsidR="00B66FB7" w:rsidRPr="00D834F1" w:rsidRDefault="00B66FB7" w:rsidP="00D834F1">
      <w:pPr>
        <w:widowControl w:val="0"/>
        <w:spacing w:line="560" w:lineRule="exact"/>
        <w:ind w:firstLineChars="200" w:firstLine="640"/>
        <w:rPr>
          <w:rFonts w:ascii="仿宋_GB2312" w:eastAsia="仿宋_GB2312" w:hint="eastAsia"/>
          <w:sz w:val="32"/>
          <w:szCs w:val="32"/>
        </w:rPr>
      </w:pPr>
    </w:p>
    <w:p w:rsidR="00B66FB7" w:rsidRPr="00D834F1" w:rsidRDefault="00211D18" w:rsidP="00405402">
      <w:pPr>
        <w:widowControl w:val="0"/>
        <w:spacing w:line="560" w:lineRule="exact"/>
        <w:ind w:firstLineChars="1500" w:firstLine="4800"/>
        <w:rPr>
          <w:rFonts w:ascii="仿宋_GB2312" w:eastAsia="仿宋_GB2312" w:hint="eastAsia"/>
          <w:sz w:val="32"/>
          <w:szCs w:val="32"/>
        </w:rPr>
      </w:pPr>
      <w:r w:rsidRPr="00D834F1">
        <w:rPr>
          <w:rFonts w:ascii="仿宋_GB2312" w:eastAsia="仿宋_GB2312" w:hint="eastAsia"/>
          <w:sz w:val="32"/>
          <w:szCs w:val="32"/>
        </w:rPr>
        <w:t>益阳市泉交河镇人民政府</w:t>
      </w:r>
    </w:p>
    <w:p w:rsidR="00B66FB7" w:rsidRPr="00D834F1" w:rsidRDefault="00211D18" w:rsidP="00D834F1">
      <w:pPr>
        <w:widowControl w:val="0"/>
        <w:spacing w:line="560" w:lineRule="exact"/>
        <w:ind w:firstLineChars="200" w:firstLine="640"/>
        <w:rPr>
          <w:rFonts w:ascii="仿宋_GB2312" w:eastAsia="仿宋_GB2312" w:hint="eastAsia"/>
          <w:sz w:val="32"/>
          <w:szCs w:val="32"/>
        </w:rPr>
      </w:pPr>
      <w:r w:rsidRPr="00D834F1">
        <w:rPr>
          <w:rFonts w:ascii="仿宋_GB2312" w:eastAsia="仿宋_GB2312" w:hint="eastAsia"/>
          <w:sz w:val="32"/>
          <w:szCs w:val="32"/>
        </w:rPr>
        <w:t xml:space="preserve">                             2021年7月21日</w:t>
      </w:r>
    </w:p>
    <w:p w:rsidR="00B66FB7" w:rsidRDefault="00B66FB7">
      <w:pPr>
        <w:shd w:val="clear" w:color="auto" w:fill="FFFFFF"/>
        <w:wordWrap w:val="0"/>
        <w:spacing w:line="480" w:lineRule="atLeast"/>
        <w:jc w:val="left"/>
        <w:rPr>
          <w:rFonts w:asciiTheme="minorEastAsia" w:eastAsiaTheme="minorEastAsia" w:hAnsiTheme="minorEastAsia" w:cstheme="minorEastAsia"/>
          <w:color w:val="333333"/>
          <w:sz w:val="32"/>
          <w:szCs w:val="32"/>
        </w:rPr>
      </w:pPr>
    </w:p>
    <w:p w:rsidR="00B66FB7" w:rsidRDefault="00B66FB7">
      <w:pPr>
        <w:shd w:val="clear" w:color="auto" w:fill="FFFFFF"/>
        <w:wordWrap w:val="0"/>
        <w:spacing w:line="480" w:lineRule="atLeast"/>
        <w:jc w:val="left"/>
        <w:rPr>
          <w:rFonts w:ascii="黑体" w:eastAsia="黑体" w:hAnsi="黑体"/>
          <w:color w:val="333333"/>
          <w:sz w:val="32"/>
          <w:szCs w:val="32"/>
        </w:rPr>
      </w:pPr>
    </w:p>
    <w:p w:rsidR="00405402" w:rsidRDefault="00405402">
      <w:pPr>
        <w:jc w:val="left"/>
        <w:rPr>
          <w:rFonts w:ascii="方正小标宋简体" w:eastAsia="方正小标宋简体" w:hAnsi="方正小标宋简体"/>
          <w:color w:val="333333"/>
          <w:sz w:val="36"/>
          <w:szCs w:val="36"/>
        </w:rPr>
      </w:pPr>
      <w:r>
        <w:rPr>
          <w:rFonts w:ascii="方正小标宋简体" w:eastAsia="方正小标宋简体" w:hAnsi="方正小标宋简体"/>
          <w:color w:val="333333"/>
          <w:sz w:val="36"/>
          <w:szCs w:val="36"/>
        </w:rPr>
        <w:br w:type="page"/>
      </w:r>
    </w:p>
    <w:p w:rsidR="00B66FB7" w:rsidRDefault="00211D18">
      <w:pPr>
        <w:shd w:val="clear" w:color="auto" w:fill="FFFFFF"/>
        <w:wordWrap w:val="0"/>
        <w:spacing w:line="480" w:lineRule="atLeast"/>
        <w:jc w:val="center"/>
        <w:rPr>
          <w:rFonts w:ascii="方正小标宋简体" w:eastAsia="方正小标宋简体" w:hAnsi="方正小标宋简体"/>
          <w:color w:val="333333"/>
          <w:sz w:val="36"/>
          <w:szCs w:val="36"/>
        </w:rPr>
      </w:pPr>
      <w:r>
        <w:rPr>
          <w:rFonts w:ascii="方正小标宋简体" w:eastAsia="方正小标宋简体" w:hAnsi="方正小标宋简体"/>
          <w:color w:val="333333"/>
          <w:sz w:val="36"/>
          <w:szCs w:val="36"/>
        </w:rPr>
        <w:lastRenderedPageBreak/>
        <w:t>2020年度部门整体支出绩效自评指标计分表</w:t>
      </w:r>
    </w:p>
    <w:p w:rsidR="00B66FB7" w:rsidRDefault="00211D18">
      <w:pPr>
        <w:shd w:val="clear" w:color="auto" w:fill="FFFFFF"/>
        <w:wordWrap w:val="0"/>
        <w:spacing w:line="80" w:lineRule="atLeast"/>
        <w:jc w:val="left"/>
        <w:rPr>
          <w:rFonts w:ascii="仿宋_GB2312" w:eastAsia="仿宋_GB2312" w:hAnsi="仿宋_GB2312"/>
          <w:color w:val="333333"/>
        </w:rPr>
      </w:pPr>
      <w:r>
        <w:rPr>
          <w:rFonts w:ascii="仿宋_GB2312" w:eastAsia="仿宋_GB2312" w:hAnsi="仿宋_GB2312"/>
          <w:color w:val="333333"/>
        </w:rPr>
        <w:t xml:space="preserve"> </w:t>
      </w:r>
    </w:p>
    <w:tbl>
      <w:tblPr>
        <w:tblW w:w="8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570"/>
        <w:gridCol w:w="703"/>
        <w:gridCol w:w="530"/>
        <w:gridCol w:w="2892"/>
        <w:gridCol w:w="3721"/>
      </w:tblGrid>
      <w:tr w:rsidR="00B66FB7" w:rsidRPr="007B6523" w:rsidTr="001167D8">
        <w:trPr>
          <w:trHeight w:val="567"/>
        </w:trPr>
        <w:tc>
          <w:tcPr>
            <w:tcW w:w="547" w:type="dxa"/>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一级</w:t>
            </w:r>
          </w:p>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指标</w:t>
            </w:r>
          </w:p>
        </w:tc>
        <w:tc>
          <w:tcPr>
            <w:tcW w:w="570" w:type="dxa"/>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二级指标</w:t>
            </w:r>
          </w:p>
        </w:tc>
        <w:tc>
          <w:tcPr>
            <w:tcW w:w="703" w:type="dxa"/>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三级指标</w:t>
            </w:r>
          </w:p>
        </w:tc>
        <w:tc>
          <w:tcPr>
            <w:tcW w:w="530" w:type="dxa"/>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自评分</w:t>
            </w:r>
          </w:p>
        </w:tc>
        <w:tc>
          <w:tcPr>
            <w:tcW w:w="2892" w:type="dxa"/>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指标解释</w:t>
            </w:r>
          </w:p>
        </w:tc>
        <w:tc>
          <w:tcPr>
            <w:tcW w:w="3721" w:type="dxa"/>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指标说明</w:t>
            </w:r>
          </w:p>
        </w:tc>
      </w:tr>
      <w:tr w:rsidR="00B66FB7" w:rsidRPr="007B6523" w:rsidTr="003F5025">
        <w:trPr>
          <w:trHeight w:val="1468"/>
        </w:trPr>
        <w:tc>
          <w:tcPr>
            <w:tcW w:w="547" w:type="dxa"/>
            <w:vMerge w:val="restart"/>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投   入（20分）</w:t>
            </w:r>
          </w:p>
        </w:tc>
        <w:tc>
          <w:tcPr>
            <w:tcW w:w="570" w:type="dxa"/>
            <w:vMerge w:val="restart"/>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目标</w:t>
            </w:r>
          </w:p>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设定（5分）</w:t>
            </w:r>
          </w:p>
        </w:tc>
        <w:tc>
          <w:tcPr>
            <w:tcW w:w="703" w:type="dxa"/>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绩效目标合理性（2分）</w:t>
            </w:r>
          </w:p>
        </w:tc>
        <w:tc>
          <w:tcPr>
            <w:tcW w:w="530" w:type="dxa"/>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2</w:t>
            </w:r>
          </w:p>
        </w:tc>
        <w:tc>
          <w:tcPr>
            <w:tcW w:w="2892" w:type="dxa"/>
            <w:shd w:val="clear" w:color="auto" w:fill="auto"/>
            <w:tcMar>
              <w:left w:w="10" w:type="dxa"/>
              <w:right w:w="10" w:type="dxa"/>
            </w:tcMar>
            <w:vAlign w:val="center"/>
          </w:tcPr>
          <w:p w:rsidR="00B66FB7" w:rsidRPr="007B6523" w:rsidRDefault="00211D18" w:rsidP="003F5025">
            <w:pPr>
              <w:spacing w:line="260" w:lineRule="exact"/>
              <w:jc w:val="left"/>
              <w:rPr>
                <w:rFonts w:ascii="宋体" w:hAnsi="宋体" w:cstheme="minorEastAsia"/>
                <w:color w:val="333333"/>
              </w:rPr>
            </w:pPr>
            <w:r w:rsidRPr="007B6523">
              <w:rPr>
                <w:rFonts w:ascii="宋体" w:hAnsi="宋体" w:cstheme="minorEastAsia" w:hint="eastAsia"/>
                <w:color w:val="333333"/>
              </w:rPr>
              <w:t>部门所设立的整体绩效目标依据是否充分，是否符合客观实际，用以反映和考核部门整体绩效目标与部门履职、年度工作任务的相符性情况。</w:t>
            </w:r>
          </w:p>
        </w:tc>
        <w:tc>
          <w:tcPr>
            <w:tcW w:w="3721" w:type="dxa"/>
            <w:shd w:val="clear" w:color="auto" w:fill="auto"/>
            <w:tcMar>
              <w:left w:w="10" w:type="dxa"/>
              <w:right w:w="10" w:type="dxa"/>
            </w:tcMar>
            <w:vAlign w:val="center"/>
          </w:tcPr>
          <w:p w:rsidR="00B66FB7" w:rsidRPr="007B6523" w:rsidRDefault="00211D18" w:rsidP="003F5025">
            <w:pPr>
              <w:spacing w:line="260" w:lineRule="exact"/>
              <w:jc w:val="left"/>
              <w:rPr>
                <w:rFonts w:ascii="宋体" w:hAnsi="宋体" w:cstheme="minorEastAsia"/>
                <w:color w:val="333333"/>
              </w:rPr>
            </w:pPr>
            <w:r w:rsidRPr="007B6523">
              <w:rPr>
                <w:rFonts w:ascii="宋体" w:hAnsi="宋体" w:cstheme="minorEastAsia" w:hint="eastAsia"/>
                <w:color w:val="333333"/>
              </w:rPr>
              <w:t>①符合国家法律法规、国民经济和社会发展总体规划计1分；②符合部门“三定”方案确定的职责计0.5分；③是否符合部门制定的中长期实施规划计0.5分。</w:t>
            </w:r>
          </w:p>
        </w:tc>
      </w:tr>
      <w:tr w:rsidR="00B66FB7" w:rsidRPr="007B6523" w:rsidTr="003F5025">
        <w:trPr>
          <w:trHeight w:val="1688"/>
        </w:trPr>
        <w:tc>
          <w:tcPr>
            <w:tcW w:w="547" w:type="dxa"/>
            <w:vMerge/>
            <w:shd w:val="clear" w:color="auto" w:fill="auto"/>
            <w:vAlign w:val="center"/>
          </w:tcPr>
          <w:p w:rsidR="00B66FB7" w:rsidRPr="007B6523" w:rsidRDefault="00B66FB7" w:rsidP="003F5025">
            <w:pPr>
              <w:spacing w:line="260" w:lineRule="exact"/>
              <w:rPr>
                <w:rFonts w:ascii="宋体" w:hAnsi="宋体" w:cstheme="minorEastAsia"/>
              </w:rPr>
            </w:pPr>
          </w:p>
        </w:tc>
        <w:tc>
          <w:tcPr>
            <w:tcW w:w="570" w:type="dxa"/>
            <w:vMerge/>
            <w:shd w:val="clear" w:color="auto" w:fill="auto"/>
            <w:vAlign w:val="center"/>
          </w:tcPr>
          <w:p w:rsidR="00B66FB7" w:rsidRPr="007B6523" w:rsidRDefault="00B66FB7" w:rsidP="003F5025">
            <w:pPr>
              <w:spacing w:line="260" w:lineRule="exact"/>
              <w:rPr>
                <w:rFonts w:ascii="宋体" w:hAnsi="宋体" w:cstheme="minorEastAsia"/>
              </w:rPr>
            </w:pPr>
          </w:p>
        </w:tc>
        <w:tc>
          <w:tcPr>
            <w:tcW w:w="703" w:type="dxa"/>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绩效指标明确性（3分）</w:t>
            </w:r>
          </w:p>
        </w:tc>
        <w:tc>
          <w:tcPr>
            <w:tcW w:w="530" w:type="dxa"/>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3</w:t>
            </w:r>
          </w:p>
        </w:tc>
        <w:tc>
          <w:tcPr>
            <w:tcW w:w="2892" w:type="dxa"/>
            <w:shd w:val="clear" w:color="auto" w:fill="auto"/>
            <w:tcMar>
              <w:left w:w="10" w:type="dxa"/>
              <w:right w:w="10" w:type="dxa"/>
            </w:tcMar>
            <w:vAlign w:val="center"/>
          </w:tcPr>
          <w:p w:rsidR="00B66FB7" w:rsidRPr="007B6523" w:rsidRDefault="00211D18" w:rsidP="003F5025">
            <w:pPr>
              <w:spacing w:line="260" w:lineRule="exact"/>
              <w:jc w:val="left"/>
              <w:rPr>
                <w:rFonts w:ascii="宋体" w:hAnsi="宋体" w:cstheme="minorEastAsia"/>
                <w:color w:val="333333"/>
              </w:rPr>
            </w:pPr>
            <w:r w:rsidRPr="007B6523">
              <w:rPr>
                <w:rFonts w:ascii="宋体" w:hAnsi="宋体" w:cstheme="minorEastAsia" w:hint="eastAsia"/>
                <w:color w:val="333333"/>
              </w:rPr>
              <w:t>部门依据整体绩效目标所设定的绩效指标是否清晰、细化、可衡量，用以反映和考核部门整体绩效目标的明细化情况。</w:t>
            </w:r>
          </w:p>
        </w:tc>
        <w:tc>
          <w:tcPr>
            <w:tcW w:w="3721" w:type="dxa"/>
            <w:shd w:val="clear" w:color="auto" w:fill="auto"/>
            <w:tcMar>
              <w:left w:w="10" w:type="dxa"/>
              <w:right w:w="10" w:type="dxa"/>
            </w:tcMar>
            <w:vAlign w:val="center"/>
          </w:tcPr>
          <w:p w:rsidR="00B66FB7" w:rsidRPr="007B6523" w:rsidRDefault="00211D18" w:rsidP="003F5025">
            <w:pPr>
              <w:spacing w:line="260" w:lineRule="exact"/>
              <w:jc w:val="left"/>
              <w:rPr>
                <w:rFonts w:ascii="宋体" w:hAnsi="宋体" w:cstheme="minorEastAsia"/>
                <w:color w:val="333333"/>
              </w:rPr>
            </w:pPr>
            <w:r w:rsidRPr="007B6523">
              <w:rPr>
                <w:rFonts w:ascii="宋体" w:hAnsi="宋体" w:cstheme="minorEastAsia" w:hint="eastAsia"/>
                <w:color w:val="333333"/>
              </w:rPr>
              <w:t>①将部门整体的绩效目标细化分解为具体的工作任务计1分；②通过清晰、可衡量的指标值予以体现计0.5分。③与部门年度的任务数或计划数相对应计0.5分；④与本年度部门预算资金相匹配计1分。</w:t>
            </w:r>
          </w:p>
        </w:tc>
      </w:tr>
      <w:tr w:rsidR="00B66FB7" w:rsidRPr="007B6523" w:rsidTr="003F5025">
        <w:trPr>
          <w:trHeight w:val="1839"/>
        </w:trPr>
        <w:tc>
          <w:tcPr>
            <w:tcW w:w="547" w:type="dxa"/>
            <w:vMerge/>
            <w:shd w:val="clear" w:color="auto" w:fill="auto"/>
            <w:vAlign w:val="center"/>
          </w:tcPr>
          <w:p w:rsidR="00B66FB7" w:rsidRPr="007B6523" w:rsidRDefault="00B66FB7" w:rsidP="003F5025">
            <w:pPr>
              <w:spacing w:line="260" w:lineRule="exact"/>
              <w:rPr>
                <w:rFonts w:ascii="宋体" w:hAnsi="宋体" w:cstheme="minorEastAsia"/>
              </w:rPr>
            </w:pPr>
          </w:p>
        </w:tc>
        <w:tc>
          <w:tcPr>
            <w:tcW w:w="570" w:type="dxa"/>
            <w:vMerge w:val="restart"/>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预算</w:t>
            </w:r>
          </w:p>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配置（15分）</w:t>
            </w:r>
          </w:p>
        </w:tc>
        <w:tc>
          <w:tcPr>
            <w:tcW w:w="703" w:type="dxa"/>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在职人员控制率（5分）</w:t>
            </w:r>
          </w:p>
        </w:tc>
        <w:tc>
          <w:tcPr>
            <w:tcW w:w="530" w:type="dxa"/>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5</w:t>
            </w:r>
          </w:p>
        </w:tc>
        <w:tc>
          <w:tcPr>
            <w:tcW w:w="2892" w:type="dxa"/>
            <w:shd w:val="clear" w:color="auto" w:fill="auto"/>
            <w:tcMar>
              <w:left w:w="10" w:type="dxa"/>
              <w:right w:w="10" w:type="dxa"/>
            </w:tcMar>
            <w:vAlign w:val="center"/>
          </w:tcPr>
          <w:p w:rsidR="00B66FB7" w:rsidRPr="007B6523" w:rsidRDefault="00211D18" w:rsidP="003F5025">
            <w:pPr>
              <w:spacing w:line="260" w:lineRule="exact"/>
              <w:jc w:val="left"/>
              <w:rPr>
                <w:rFonts w:ascii="宋体" w:hAnsi="宋体" w:cstheme="minorEastAsia"/>
                <w:color w:val="333333"/>
              </w:rPr>
            </w:pPr>
            <w:r w:rsidRPr="007B6523">
              <w:rPr>
                <w:rFonts w:ascii="宋体" w:hAnsi="宋体" w:cstheme="minorEastAsia" w:hint="eastAsia"/>
                <w:color w:val="333333"/>
              </w:rPr>
              <w:t>部门本年度实际在职人员数与编制数的比率，用以反映和考核部门对人员成本的控制程度。</w:t>
            </w:r>
          </w:p>
        </w:tc>
        <w:tc>
          <w:tcPr>
            <w:tcW w:w="3721" w:type="dxa"/>
            <w:shd w:val="clear" w:color="auto" w:fill="auto"/>
            <w:tcMar>
              <w:left w:w="10" w:type="dxa"/>
              <w:right w:w="10" w:type="dxa"/>
            </w:tcMar>
            <w:vAlign w:val="center"/>
          </w:tcPr>
          <w:p w:rsidR="00B66FB7" w:rsidRPr="007B6523" w:rsidRDefault="00211D18" w:rsidP="003F5025">
            <w:pPr>
              <w:spacing w:line="260" w:lineRule="exact"/>
              <w:jc w:val="left"/>
              <w:rPr>
                <w:rFonts w:ascii="宋体" w:hAnsi="宋体" w:cstheme="minorEastAsia"/>
                <w:color w:val="333333"/>
              </w:rPr>
            </w:pPr>
            <w:r w:rsidRPr="007B6523">
              <w:rPr>
                <w:rFonts w:ascii="宋体" w:hAnsi="宋体" w:cstheme="minorEastAsia" w:hint="eastAsia"/>
                <w:color w:val="333333"/>
              </w:rPr>
              <w:t>在职人员控制率=（在职人员数/编制数）×100%小于或等于1计5分，否则按比例计分。在职人员数：部门实际在职人数，以财政部确定的部门决算编制口径为准。编制数：机构编制部门核定批复的部门的人员编制数。</w:t>
            </w:r>
          </w:p>
        </w:tc>
      </w:tr>
      <w:tr w:rsidR="00B66FB7" w:rsidRPr="007B6523" w:rsidTr="003F5025">
        <w:trPr>
          <w:trHeight w:val="1979"/>
        </w:trPr>
        <w:tc>
          <w:tcPr>
            <w:tcW w:w="547" w:type="dxa"/>
            <w:vMerge/>
            <w:shd w:val="clear" w:color="auto" w:fill="auto"/>
            <w:vAlign w:val="center"/>
          </w:tcPr>
          <w:p w:rsidR="00B66FB7" w:rsidRPr="007B6523" w:rsidRDefault="00B66FB7" w:rsidP="003F5025">
            <w:pPr>
              <w:spacing w:line="260" w:lineRule="exact"/>
              <w:rPr>
                <w:rFonts w:ascii="宋体" w:hAnsi="宋体" w:cstheme="minorEastAsia"/>
              </w:rPr>
            </w:pPr>
          </w:p>
        </w:tc>
        <w:tc>
          <w:tcPr>
            <w:tcW w:w="570" w:type="dxa"/>
            <w:vMerge/>
            <w:shd w:val="clear" w:color="auto" w:fill="auto"/>
            <w:vAlign w:val="center"/>
          </w:tcPr>
          <w:p w:rsidR="00B66FB7" w:rsidRPr="007B6523" w:rsidRDefault="00B66FB7" w:rsidP="003F5025">
            <w:pPr>
              <w:spacing w:line="260" w:lineRule="exact"/>
              <w:rPr>
                <w:rFonts w:ascii="宋体" w:hAnsi="宋体" w:cstheme="minorEastAsia"/>
              </w:rPr>
            </w:pPr>
          </w:p>
        </w:tc>
        <w:tc>
          <w:tcPr>
            <w:tcW w:w="703" w:type="dxa"/>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“三公经费”</w:t>
            </w:r>
          </w:p>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变动率（5分）</w:t>
            </w:r>
          </w:p>
        </w:tc>
        <w:tc>
          <w:tcPr>
            <w:tcW w:w="530" w:type="dxa"/>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5</w:t>
            </w:r>
          </w:p>
        </w:tc>
        <w:tc>
          <w:tcPr>
            <w:tcW w:w="2892" w:type="dxa"/>
            <w:shd w:val="clear" w:color="auto" w:fill="auto"/>
            <w:tcMar>
              <w:left w:w="10" w:type="dxa"/>
              <w:right w:w="10" w:type="dxa"/>
            </w:tcMar>
            <w:vAlign w:val="center"/>
          </w:tcPr>
          <w:p w:rsidR="00B66FB7" w:rsidRPr="007B6523" w:rsidRDefault="00211D18" w:rsidP="003F5025">
            <w:pPr>
              <w:spacing w:line="260" w:lineRule="exact"/>
              <w:jc w:val="left"/>
              <w:rPr>
                <w:rFonts w:ascii="宋体" w:hAnsi="宋体" w:cstheme="minorEastAsia"/>
                <w:color w:val="333333"/>
              </w:rPr>
            </w:pPr>
            <w:r w:rsidRPr="007B6523">
              <w:rPr>
                <w:rFonts w:ascii="宋体" w:hAnsi="宋体" w:cstheme="minorEastAsia" w:hint="eastAsia"/>
                <w:color w:val="333333"/>
              </w:rPr>
              <w:t>部门本年度“三公经费”预算数与上年度“三公经费”预算数的变动比率，用以反映和考核部门对控制重点行政成本的努力程度。</w:t>
            </w:r>
          </w:p>
        </w:tc>
        <w:tc>
          <w:tcPr>
            <w:tcW w:w="3721" w:type="dxa"/>
            <w:shd w:val="clear" w:color="auto" w:fill="auto"/>
            <w:tcMar>
              <w:left w:w="10" w:type="dxa"/>
              <w:right w:w="10" w:type="dxa"/>
            </w:tcMar>
            <w:vAlign w:val="center"/>
          </w:tcPr>
          <w:p w:rsidR="00B66FB7" w:rsidRPr="007B6523" w:rsidRDefault="00211D18" w:rsidP="003F5025">
            <w:pPr>
              <w:spacing w:line="260" w:lineRule="exact"/>
              <w:jc w:val="left"/>
              <w:rPr>
                <w:rFonts w:ascii="宋体" w:hAnsi="宋体" w:cstheme="minorEastAsia"/>
                <w:color w:val="333333"/>
              </w:rPr>
            </w:pPr>
            <w:r w:rsidRPr="007B6523">
              <w:rPr>
                <w:rFonts w:ascii="宋体" w:hAnsi="宋体" w:cstheme="minorEastAsia" w:hint="eastAsia"/>
                <w:color w:val="333333"/>
              </w:rPr>
              <w:t>“三公经费”变动率=[（本年度“三公经费”总额-上年度“三公经费”总额）/上年度“三公经费”总额]×100%。下降的计5分，增加的按比例扣减。“三公经费”：年度预算安排的因公出国（境）费、公务车辆购置及运行费和公务招待费。</w:t>
            </w:r>
          </w:p>
        </w:tc>
      </w:tr>
      <w:tr w:rsidR="00B66FB7" w:rsidRPr="007B6523" w:rsidTr="003F5025">
        <w:trPr>
          <w:trHeight w:val="2532"/>
        </w:trPr>
        <w:tc>
          <w:tcPr>
            <w:tcW w:w="547" w:type="dxa"/>
            <w:vMerge/>
            <w:shd w:val="clear" w:color="auto" w:fill="auto"/>
            <w:vAlign w:val="center"/>
          </w:tcPr>
          <w:p w:rsidR="00B66FB7" w:rsidRPr="007B6523" w:rsidRDefault="00B66FB7" w:rsidP="003F5025">
            <w:pPr>
              <w:spacing w:line="260" w:lineRule="exact"/>
              <w:rPr>
                <w:rFonts w:ascii="宋体" w:hAnsi="宋体" w:cstheme="minorEastAsia"/>
              </w:rPr>
            </w:pPr>
          </w:p>
        </w:tc>
        <w:tc>
          <w:tcPr>
            <w:tcW w:w="570" w:type="dxa"/>
            <w:vMerge/>
            <w:shd w:val="clear" w:color="auto" w:fill="auto"/>
            <w:vAlign w:val="center"/>
          </w:tcPr>
          <w:p w:rsidR="00B66FB7" w:rsidRPr="007B6523" w:rsidRDefault="00B66FB7" w:rsidP="003F5025">
            <w:pPr>
              <w:spacing w:line="260" w:lineRule="exact"/>
              <w:rPr>
                <w:rFonts w:ascii="宋体" w:hAnsi="宋体" w:cstheme="minorEastAsia"/>
              </w:rPr>
            </w:pPr>
          </w:p>
        </w:tc>
        <w:tc>
          <w:tcPr>
            <w:tcW w:w="703" w:type="dxa"/>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重点支出安排率（5分）</w:t>
            </w:r>
          </w:p>
        </w:tc>
        <w:tc>
          <w:tcPr>
            <w:tcW w:w="530" w:type="dxa"/>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5</w:t>
            </w:r>
          </w:p>
        </w:tc>
        <w:tc>
          <w:tcPr>
            <w:tcW w:w="2892" w:type="dxa"/>
            <w:shd w:val="clear" w:color="auto" w:fill="auto"/>
            <w:tcMar>
              <w:left w:w="10" w:type="dxa"/>
              <w:right w:w="10" w:type="dxa"/>
            </w:tcMar>
            <w:vAlign w:val="center"/>
          </w:tcPr>
          <w:p w:rsidR="00B66FB7" w:rsidRPr="007B6523" w:rsidRDefault="00211D18" w:rsidP="003F5025">
            <w:pPr>
              <w:spacing w:line="260" w:lineRule="exact"/>
              <w:jc w:val="left"/>
              <w:rPr>
                <w:rFonts w:ascii="宋体" w:hAnsi="宋体" w:cstheme="minorEastAsia"/>
                <w:color w:val="333333"/>
              </w:rPr>
            </w:pPr>
            <w:r w:rsidRPr="007B6523">
              <w:rPr>
                <w:rFonts w:ascii="宋体" w:hAnsi="宋体" w:cstheme="minorEastAsia" w:hint="eastAsia"/>
                <w:color w:val="333333"/>
              </w:rPr>
              <w:t>部门本年度预算安排的重点项目支出与部门项目总支出的比率，用以反映和考核部门对履行主要职责或完成重点任务的保障程度。</w:t>
            </w:r>
          </w:p>
        </w:tc>
        <w:tc>
          <w:tcPr>
            <w:tcW w:w="3721" w:type="dxa"/>
            <w:shd w:val="clear" w:color="auto" w:fill="auto"/>
            <w:tcMar>
              <w:left w:w="10" w:type="dxa"/>
              <w:right w:w="10" w:type="dxa"/>
            </w:tcMar>
            <w:vAlign w:val="center"/>
          </w:tcPr>
          <w:p w:rsidR="00B66FB7" w:rsidRPr="007B6523" w:rsidRDefault="00211D18" w:rsidP="003F5025">
            <w:pPr>
              <w:spacing w:line="260" w:lineRule="exact"/>
              <w:jc w:val="left"/>
              <w:rPr>
                <w:rFonts w:ascii="宋体" w:hAnsi="宋体" w:cstheme="minorEastAsia"/>
                <w:color w:val="333333"/>
              </w:rPr>
            </w:pPr>
            <w:r w:rsidRPr="007B6523">
              <w:rPr>
                <w:rFonts w:ascii="宋体" w:hAnsi="宋体" w:cstheme="minorEastAsia" w:hint="eastAsia"/>
                <w:color w:val="333333"/>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rsidR="00B66FB7" w:rsidRPr="007B6523" w:rsidTr="001167D8">
        <w:trPr>
          <w:trHeight w:val="567"/>
        </w:trPr>
        <w:tc>
          <w:tcPr>
            <w:tcW w:w="547" w:type="dxa"/>
            <w:vMerge w:val="restart"/>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过             程（30分）</w:t>
            </w:r>
          </w:p>
        </w:tc>
        <w:tc>
          <w:tcPr>
            <w:tcW w:w="570" w:type="dxa"/>
            <w:vMerge w:val="restart"/>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预算</w:t>
            </w:r>
          </w:p>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执行</w:t>
            </w:r>
          </w:p>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（20分）</w:t>
            </w:r>
          </w:p>
        </w:tc>
        <w:tc>
          <w:tcPr>
            <w:tcW w:w="703" w:type="dxa"/>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预算完成率（4分）</w:t>
            </w:r>
          </w:p>
        </w:tc>
        <w:tc>
          <w:tcPr>
            <w:tcW w:w="530" w:type="dxa"/>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4</w:t>
            </w:r>
          </w:p>
        </w:tc>
        <w:tc>
          <w:tcPr>
            <w:tcW w:w="2892" w:type="dxa"/>
            <w:shd w:val="clear" w:color="auto" w:fill="auto"/>
            <w:tcMar>
              <w:left w:w="10" w:type="dxa"/>
              <w:right w:w="10" w:type="dxa"/>
            </w:tcMar>
            <w:vAlign w:val="center"/>
          </w:tcPr>
          <w:p w:rsidR="00B66FB7" w:rsidRPr="007B6523" w:rsidRDefault="00211D18" w:rsidP="003F5025">
            <w:pPr>
              <w:spacing w:line="260" w:lineRule="exact"/>
              <w:jc w:val="left"/>
              <w:rPr>
                <w:rFonts w:ascii="宋体" w:hAnsi="宋体" w:cstheme="minorEastAsia"/>
                <w:color w:val="333333"/>
              </w:rPr>
            </w:pPr>
            <w:r w:rsidRPr="007B6523">
              <w:rPr>
                <w:rFonts w:ascii="宋体" w:hAnsi="宋体" w:cstheme="minorEastAsia" w:hint="eastAsia"/>
                <w:color w:val="333333"/>
              </w:rPr>
              <w:t>部门本年度预算完成数与预算数的比率，用以反映和考核部门预算完成程度。</w:t>
            </w:r>
          </w:p>
        </w:tc>
        <w:tc>
          <w:tcPr>
            <w:tcW w:w="3721" w:type="dxa"/>
            <w:shd w:val="clear" w:color="auto" w:fill="auto"/>
            <w:tcMar>
              <w:left w:w="10" w:type="dxa"/>
              <w:right w:w="10" w:type="dxa"/>
            </w:tcMar>
            <w:vAlign w:val="center"/>
          </w:tcPr>
          <w:p w:rsidR="00B66FB7" w:rsidRPr="007B6523" w:rsidRDefault="00211D18" w:rsidP="003F5025">
            <w:pPr>
              <w:spacing w:line="260" w:lineRule="exact"/>
              <w:jc w:val="left"/>
              <w:rPr>
                <w:rFonts w:ascii="宋体" w:hAnsi="宋体" w:cstheme="minorEastAsia"/>
                <w:color w:val="333333"/>
              </w:rPr>
            </w:pPr>
            <w:r w:rsidRPr="007B6523">
              <w:rPr>
                <w:rFonts w:ascii="宋体" w:hAnsi="宋体" w:cstheme="minorEastAsia" w:hint="eastAsia"/>
                <w:color w:val="333333"/>
              </w:rPr>
              <w:t>预算完成率=（预算完成数/预算数）×100%。完成年初</w:t>
            </w:r>
            <w:bookmarkStart w:id="0" w:name="_GoBack"/>
            <w:bookmarkEnd w:id="0"/>
            <w:r w:rsidRPr="007B6523">
              <w:rPr>
                <w:rFonts w:ascii="宋体" w:hAnsi="宋体" w:cstheme="minorEastAsia" w:hint="eastAsia"/>
                <w:color w:val="333333"/>
              </w:rPr>
              <w:t>预算计4分，未完成年初预算按比例扣减，预算完成数：部门本年度实际完成的预算数。预算数：财政部门批复的本年度部门预算数。</w:t>
            </w:r>
          </w:p>
        </w:tc>
      </w:tr>
      <w:tr w:rsidR="00B66FB7" w:rsidRPr="007B6523" w:rsidTr="001167D8">
        <w:trPr>
          <w:trHeight w:val="567"/>
        </w:trPr>
        <w:tc>
          <w:tcPr>
            <w:tcW w:w="547" w:type="dxa"/>
            <w:vMerge/>
            <w:shd w:val="clear" w:color="auto" w:fill="auto"/>
            <w:vAlign w:val="center"/>
          </w:tcPr>
          <w:p w:rsidR="00B66FB7" w:rsidRPr="007B6523" w:rsidRDefault="00B66FB7" w:rsidP="003F5025">
            <w:pPr>
              <w:spacing w:line="260" w:lineRule="exact"/>
              <w:rPr>
                <w:rFonts w:ascii="宋体" w:hAnsi="宋体" w:cstheme="minorEastAsia"/>
              </w:rPr>
            </w:pPr>
          </w:p>
        </w:tc>
        <w:tc>
          <w:tcPr>
            <w:tcW w:w="570" w:type="dxa"/>
            <w:vMerge/>
            <w:shd w:val="clear" w:color="auto" w:fill="auto"/>
            <w:vAlign w:val="center"/>
          </w:tcPr>
          <w:p w:rsidR="00B66FB7" w:rsidRPr="007B6523" w:rsidRDefault="00B66FB7" w:rsidP="003F5025">
            <w:pPr>
              <w:spacing w:line="260" w:lineRule="exact"/>
              <w:rPr>
                <w:rFonts w:ascii="宋体" w:hAnsi="宋体" w:cstheme="minorEastAsia"/>
              </w:rPr>
            </w:pPr>
          </w:p>
        </w:tc>
        <w:tc>
          <w:tcPr>
            <w:tcW w:w="703" w:type="dxa"/>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预算调整率（2分）</w:t>
            </w:r>
          </w:p>
        </w:tc>
        <w:tc>
          <w:tcPr>
            <w:tcW w:w="530" w:type="dxa"/>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2</w:t>
            </w:r>
          </w:p>
        </w:tc>
        <w:tc>
          <w:tcPr>
            <w:tcW w:w="2892" w:type="dxa"/>
            <w:shd w:val="clear" w:color="auto" w:fill="auto"/>
            <w:tcMar>
              <w:left w:w="10" w:type="dxa"/>
              <w:right w:w="10" w:type="dxa"/>
            </w:tcMar>
            <w:vAlign w:val="center"/>
          </w:tcPr>
          <w:p w:rsidR="00B66FB7" w:rsidRPr="007B6523" w:rsidRDefault="00211D18" w:rsidP="003F5025">
            <w:pPr>
              <w:spacing w:line="260" w:lineRule="exact"/>
              <w:jc w:val="left"/>
              <w:rPr>
                <w:rFonts w:ascii="宋体" w:hAnsi="宋体" w:cstheme="minorEastAsia"/>
                <w:color w:val="333333"/>
              </w:rPr>
            </w:pPr>
            <w:r w:rsidRPr="007B6523">
              <w:rPr>
                <w:rFonts w:ascii="宋体" w:hAnsi="宋体" w:cstheme="minorEastAsia" w:hint="eastAsia"/>
                <w:color w:val="333333"/>
              </w:rPr>
              <w:t>部门本年度预算调整数与预算数的比率，用以反映和考核部门预算的调整程度。</w:t>
            </w:r>
          </w:p>
        </w:tc>
        <w:tc>
          <w:tcPr>
            <w:tcW w:w="3721" w:type="dxa"/>
            <w:shd w:val="clear" w:color="auto" w:fill="auto"/>
            <w:tcMar>
              <w:left w:w="10" w:type="dxa"/>
              <w:right w:w="10" w:type="dxa"/>
            </w:tcMar>
            <w:vAlign w:val="center"/>
          </w:tcPr>
          <w:p w:rsidR="00B66FB7" w:rsidRPr="007B6523" w:rsidRDefault="00211D18" w:rsidP="003F5025">
            <w:pPr>
              <w:spacing w:line="260" w:lineRule="exact"/>
              <w:jc w:val="left"/>
              <w:rPr>
                <w:rFonts w:ascii="宋体" w:hAnsi="宋体" w:cstheme="minorEastAsia"/>
                <w:color w:val="333333"/>
              </w:rPr>
            </w:pPr>
            <w:r w:rsidRPr="007B6523">
              <w:rPr>
                <w:rFonts w:ascii="宋体" w:hAnsi="宋体" w:cstheme="minorEastAsia" w:hint="eastAsia"/>
                <w:color w:val="333333"/>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rsidR="00B66FB7" w:rsidRPr="007B6523" w:rsidTr="001167D8">
        <w:trPr>
          <w:trHeight w:val="567"/>
        </w:trPr>
        <w:tc>
          <w:tcPr>
            <w:tcW w:w="547" w:type="dxa"/>
            <w:vMerge/>
            <w:shd w:val="clear" w:color="auto" w:fill="auto"/>
            <w:vAlign w:val="center"/>
          </w:tcPr>
          <w:p w:rsidR="00B66FB7" w:rsidRPr="007B6523" w:rsidRDefault="00B66FB7" w:rsidP="003F5025">
            <w:pPr>
              <w:spacing w:line="260" w:lineRule="exact"/>
              <w:rPr>
                <w:rFonts w:ascii="宋体" w:hAnsi="宋体" w:cstheme="minorEastAsia"/>
              </w:rPr>
            </w:pPr>
          </w:p>
        </w:tc>
        <w:tc>
          <w:tcPr>
            <w:tcW w:w="570" w:type="dxa"/>
            <w:vMerge/>
            <w:shd w:val="clear" w:color="auto" w:fill="auto"/>
            <w:vAlign w:val="center"/>
          </w:tcPr>
          <w:p w:rsidR="00B66FB7" w:rsidRPr="007B6523" w:rsidRDefault="00B66FB7" w:rsidP="003F5025">
            <w:pPr>
              <w:spacing w:line="260" w:lineRule="exact"/>
              <w:rPr>
                <w:rFonts w:ascii="宋体" w:hAnsi="宋体" w:cstheme="minorEastAsia"/>
              </w:rPr>
            </w:pPr>
          </w:p>
        </w:tc>
        <w:tc>
          <w:tcPr>
            <w:tcW w:w="703" w:type="dxa"/>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支付进度率（2分）</w:t>
            </w:r>
          </w:p>
        </w:tc>
        <w:tc>
          <w:tcPr>
            <w:tcW w:w="530" w:type="dxa"/>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2</w:t>
            </w:r>
          </w:p>
        </w:tc>
        <w:tc>
          <w:tcPr>
            <w:tcW w:w="2892" w:type="dxa"/>
            <w:shd w:val="clear" w:color="auto" w:fill="auto"/>
            <w:tcMar>
              <w:left w:w="10" w:type="dxa"/>
              <w:right w:w="10" w:type="dxa"/>
            </w:tcMar>
            <w:vAlign w:val="center"/>
          </w:tcPr>
          <w:p w:rsidR="00B66FB7" w:rsidRPr="007B6523" w:rsidRDefault="00211D18" w:rsidP="003F5025">
            <w:pPr>
              <w:spacing w:line="260" w:lineRule="exact"/>
              <w:jc w:val="left"/>
              <w:rPr>
                <w:rFonts w:ascii="宋体" w:hAnsi="宋体" w:cstheme="minorEastAsia"/>
                <w:color w:val="333333"/>
              </w:rPr>
            </w:pPr>
            <w:r w:rsidRPr="007B6523">
              <w:rPr>
                <w:rFonts w:ascii="宋体" w:hAnsi="宋体" w:cstheme="minorEastAsia" w:hint="eastAsia"/>
                <w:color w:val="333333"/>
              </w:rPr>
              <w:t>部门实际支付进度与既定支付进度的比率，用以反映和考核部门预算执行的及时性和均衡性程度。</w:t>
            </w:r>
          </w:p>
        </w:tc>
        <w:tc>
          <w:tcPr>
            <w:tcW w:w="3721" w:type="dxa"/>
            <w:shd w:val="clear" w:color="auto" w:fill="auto"/>
            <w:tcMar>
              <w:left w:w="10" w:type="dxa"/>
              <w:right w:w="10" w:type="dxa"/>
            </w:tcMar>
            <w:vAlign w:val="center"/>
          </w:tcPr>
          <w:p w:rsidR="00B66FB7" w:rsidRPr="007B6523" w:rsidRDefault="00211D18" w:rsidP="003F5025">
            <w:pPr>
              <w:spacing w:line="260" w:lineRule="exact"/>
              <w:jc w:val="left"/>
              <w:rPr>
                <w:rFonts w:ascii="宋体" w:hAnsi="宋体" w:cstheme="minorEastAsia"/>
                <w:color w:val="333333"/>
              </w:rPr>
            </w:pPr>
            <w:r w:rsidRPr="007B6523">
              <w:rPr>
                <w:rFonts w:ascii="宋体" w:hAnsi="宋体" w:cstheme="minorEastAsia" w:hint="eastAsia"/>
                <w:color w:val="333333"/>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rsidR="00B66FB7" w:rsidRPr="007B6523" w:rsidTr="001167D8">
        <w:trPr>
          <w:trHeight w:val="567"/>
        </w:trPr>
        <w:tc>
          <w:tcPr>
            <w:tcW w:w="547" w:type="dxa"/>
            <w:vMerge/>
            <w:shd w:val="clear" w:color="auto" w:fill="auto"/>
            <w:vAlign w:val="center"/>
          </w:tcPr>
          <w:p w:rsidR="00B66FB7" w:rsidRPr="007B6523" w:rsidRDefault="00B66FB7" w:rsidP="003F5025">
            <w:pPr>
              <w:spacing w:line="260" w:lineRule="exact"/>
              <w:rPr>
                <w:rFonts w:ascii="宋体" w:hAnsi="宋体" w:cstheme="minorEastAsia"/>
              </w:rPr>
            </w:pPr>
          </w:p>
        </w:tc>
        <w:tc>
          <w:tcPr>
            <w:tcW w:w="570" w:type="dxa"/>
            <w:vMerge/>
            <w:shd w:val="clear" w:color="auto" w:fill="auto"/>
            <w:vAlign w:val="center"/>
          </w:tcPr>
          <w:p w:rsidR="00B66FB7" w:rsidRPr="007B6523" w:rsidRDefault="00B66FB7" w:rsidP="003F5025">
            <w:pPr>
              <w:spacing w:line="260" w:lineRule="exact"/>
              <w:rPr>
                <w:rFonts w:ascii="宋体" w:hAnsi="宋体" w:cstheme="minorEastAsia"/>
              </w:rPr>
            </w:pPr>
          </w:p>
        </w:tc>
        <w:tc>
          <w:tcPr>
            <w:tcW w:w="703" w:type="dxa"/>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结转结余控制率（4分）</w:t>
            </w:r>
          </w:p>
        </w:tc>
        <w:tc>
          <w:tcPr>
            <w:tcW w:w="530" w:type="dxa"/>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3</w:t>
            </w:r>
          </w:p>
        </w:tc>
        <w:tc>
          <w:tcPr>
            <w:tcW w:w="2892" w:type="dxa"/>
            <w:shd w:val="clear" w:color="auto" w:fill="auto"/>
            <w:tcMar>
              <w:left w:w="10" w:type="dxa"/>
              <w:right w:w="10" w:type="dxa"/>
            </w:tcMar>
            <w:vAlign w:val="center"/>
          </w:tcPr>
          <w:p w:rsidR="00B66FB7" w:rsidRPr="007B6523" w:rsidRDefault="00211D18" w:rsidP="003F5025">
            <w:pPr>
              <w:spacing w:line="260" w:lineRule="exact"/>
              <w:jc w:val="left"/>
              <w:rPr>
                <w:rFonts w:ascii="宋体" w:hAnsi="宋体" w:cstheme="minorEastAsia"/>
                <w:color w:val="333333"/>
              </w:rPr>
            </w:pPr>
            <w:r w:rsidRPr="007B6523">
              <w:rPr>
                <w:rFonts w:ascii="宋体" w:hAnsi="宋体" w:cstheme="minorEastAsia" w:hint="eastAsia"/>
                <w:color w:val="333333"/>
              </w:rPr>
              <w:t>部门本年度结转结余总额与上年结转结余总额增减比例，用以反映和考核部门对存量资金的实际控制程度。</w:t>
            </w:r>
          </w:p>
        </w:tc>
        <w:tc>
          <w:tcPr>
            <w:tcW w:w="3721" w:type="dxa"/>
            <w:shd w:val="clear" w:color="auto" w:fill="auto"/>
            <w:tcMar>
              <w:left w:w="10" w:type="dxa"/>
              <w:right w:w="10" w:type="dxa"/>
            </w:tcMar>
            <w:vAlign w:val="center"/>
          </w:tcPr>
          <w:p w:rsidR="00B66FB7" w:rsidRPr="007B6523" w:rsidRDefault="00211D18" w:rsidP="003F5025">
            <w:pPr>
              <w:spacing w:line="260" w:lineRule="exact"/>
              <w:jc w:val="left"/>
              <w:rPr>
                <w:rFonts w:ascii="宋体" w:hAnsi="宋体" w:cstheme="minorEastAsia"/>
                <w:color w:val="333333"/>
              </w:rPr>
            </w:pPr>
            <w:r w:rsidRPr="007B6523">
              <w:rPr>
                <w:rFonts w:ascii="宋体" w:hAnsi="宋体" w:cstheme="minorEastAsia" w:hint="eastAsia"/>
                <w:color w:val="333333"/>
              </w:rPr>
              <w:t>结转结余控制率=（本年结转结余总额-上年结转结余总额）/上年结转结余总额×100%。低于15%的计4分，每超过5个百分点扣1分，扣完为止。结转结余总额：部门本年度的结转资金与结余资金之和（以决算数为准）。</w:t>
            </w:r>
          </w:p>
        </w:tc>
      </w:tr>
      <w:tr w:rsidR="00B66FB7" w:rsidRPr="007B6523" w:rsidTr="001167D8">
        <w:trPr>
          <w:trHeight w:val="567"/>
        </w:trPr>
        <w:tc>
          <w:tcPr>
            <w:tcW w:w="547" w:type="dxa"/>
            <w:vMerge/>
            <w:shd w:val="clear" w:color="auto" w:fill="auto"/>
            <w:vAlign w:val="center"/>
          </w:tcPr>
          <w:p w:rsidR="00B66FB7" w:rsidRPr="007B6523" w:rsidRDefault="00B66FB7" w:rsidP="003F5025">
            <w:pPr>
              <w:spacing w:line="260" w:lineRule="exact"/>
              <w:rPr>
                <w:rFonts w:ascii="宋体" w:hAnsi="宋体" w:cstheme="minorEastAsia"/>
              </w:rPr>
            </w:pPr>
          </w:p>
        </w:tc>
        <w:tc>
          <w:tcPr>
            <w:tcW w:w="570" w:type="dxa"/>
            <w:vMerge/>
            <w:shd w:val="clear" w:color="auto" w:fill="auto"/>
            <w:vAlign w:val="center"/>
          </w:tcPr>
          <w:p w:rsidR="00B66FB7" w:rsidRPr="007B6523" w:rsidRDefault="00B66FB7" w:rsidP="003F5025">
            <w:pPr>
              <w:spacing w:line="260" w:lineRule="exact"/>
              <w:rPr>
                <w:rFonts w:ascii="宋体" w:hAnsi="宋体" w:cstheme="minorEastAsia"/>
              </w:rPr>
            </w:pPr>
          </w:p>
        </w:tc>
        <w:tc>
          <w:tcPr>
            <w:tcW w:w="703" w:type="dxa"/>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公用经费</w:t>
            </w:r>
          </w:p>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控制率（2分）</w:t>
            </w:r>
          </w:p>
        </w:tc>
        <w:tc>
          <w:tcPr>
            <w:tcW w:w="530" w:type="dxa"/>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2</w:t>
            </w:r>
          </w:p>
        </w:tc>
        <w:tc>
          <w:tcPr>
            <w:tcW w:w="2892" w:type="dxa"/>
            <w:shd w:val="clear" w:color="auto" w:fill="auto"/>
            <w:tcMar>
              <w:left w:w="10" w:type="dxa"/>
              <w:right w:w="10" w:type="dxa"/>
            </w:tcMar>
            <w:vAlign w:val="center"/>
          </w:tcPr>
          <w:p w:rsidR="00B66FB7" w:rsidRPr="007B6523" w:rsidRDefault="00211D18" w:rsidP="003F5025">
            <w:pPr>
              <w:spacing w:line="260" w:lineRule="exact"/>
              <w:jc w:val="left"/>
              <w:rPr>
                <w:rFonts w:ascii="宋体" w:hAnsi="宋体" w:cstheme="minorEastAsia"/>
                <w:color w:val="333333"/>
              </w:rPr>
            </w:pPr>
            <w:r w:rsidRPr="007B6523">
              <w:rPr>
                <w:rFonts w:ascii="宋体" w:hAnsi="宋体" w:cstheme="minorEastAsia" w:hint="eastAsia"/>
                <w:color w:val="333333"/>
              </w:rPr>
              <w:t>部门本年度实际支出的公用经费总额与预算安排的公用经费总额的比率，用以反映和考核部门对机构运转成本的实际控制程度。</w:t>
            </w:r>
          </w:p>
        </w:tc>
        <w:tc>
          <w:tcPr>
            <w:tcW w:w="3721" w:type="dxa"/>
            <w:shd w:val="clear" w:color="auto" w:fill="auto"/>
            <w:tcMar>
              <w:left w:w="10" w:type="dxa"/>
              <w:right w:w="10" w:type="dxa"/>
            </w:tcMar>
            <w:vAlign w:val="center"/>
          </w:tcPr>
          <w:p w:rsidR="00B66FB7" w:rsidRPr="007B6523" w:rsidRDefault="00211D18" w:rsidP="003F5025">
            <w:pPr>
              <w:spacing w:line="260" w:lineRule="exact"/>
              <w:jc w:val="left"/>
              <w:rPr>
                <w:rFonts w:ascii="宋体" w:hAnsi="宋体" w:cstheme="minorEastAsia"/>
                <w:color w:val="333333"/>
              </w:rPr>
            </w:pPr>
            <w:r w:rsidRPr="007B6523">
              <w:rPr>
                <w:rFonts w:ascii="宋体" w:hAnsi="宋体" w:cstheme="minorEastAsia" w:hint="eastAsia"/>
                <w:color w:val="333333"/>
              </w:rPr>
              <w:t>公用经费控制率=（实际支出公用经费总额/预算安排公用经费总额）×100%。为100%的计2分，每超过1个百分点扣0.1分，扣完为止。</w:t>
            </w:r>
          </w:p>
        </w:tc>
      </w:tr>
      <w:tr w:rsidR="00B66FB7" w:rsidRPr="007B6523" w:rsidTr="001167D8">
        <w:trPr>
          <w:trHeight w:val="567"/>
        </w:trPr>
        <w:tc>
          <w:tcPr>
            <w:tcW w:w="547" w:type="dxa"/>
            <w:vMerge/>
            <w:shd w:val="clear" w:color="auto" w:fill="auto"/>
            <w:vAlign w:val="center"/>
          </w:tcPr>
          <w:p w:rsidR="00B66FB7" w:rsidRPr="007B6523" w:rsidRDefault="00B66FB7" w:rsidP="003F5025">
            <w:pPr>
              <w:spacing w:line="260" w:lineRule="exact"/>
              <w:rPr>
                <w:rFonts w:ascii="宋体" w:hAnsi="宋体" w:cstheme="minorEastAsia"/>
              </w:rPr>
            </w:pPr>
          </w:p>
        </w:tc>
        <w:tc>
          <w:tcPr>
            <w:tcW w:w="570" w:type="dxa"/>
            <w:vMerge/>
            <w:shd w:val="clear" w:color="auto" w:fill="auto"/>
            <w:vAlign w:val="center"/>
          </w:tcPr>
          <w:p w:rsidR="00B66FB7" w:rsidRPr="007B6523" w:rsidRDefault="00B66FB7" w:rsidP="003F5025">
            <w:pPr>
              <w:spacing w:line="260" w:lineRule="exact"/>
              <w:rPr>
                <w:rFonts w:ascii="宋体" w:hAnsi="宋体" w:cstheme="minorEastAsia"/>
              </w:rPr>
            </w:pPr>
          </w:p>
        </w:tc>
        <w:tc>
          <w:tcPr>
            <w:tcW w:w="703" w:type="dxa"/>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“三公经费”控制率（2分）</w:t>
            </w:r>
          </w:p>
        </w:tc>
        <w:tc>
          <w:tcPr>
            <w:tcW w:w="530" w:type="dxa"/>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2</w:t>
            </w:r>
          </w:p>
        </w:tc>
        <w:tc>
          <w:tcPr>
            <w:tcW w:w="2892" w:type="dxa"/>
            <w:shd w:val="clear" w:color="auto" w:fill="auto"/>
            <w:tcMar>
              <w:left w:w="10" w:type="dxa"/>
              <w:right w:w="10" w:type="dxa"/>
            </w:tcMar>
            <w:vAlign w:val="center"/>
          </w:tcPr>
          <w:p w:rsidR="00B66FB7" w:rsidRPr="007B6523" w:rsidRDefault="00211D18" w:rsidP="003F5025">
            <w:pPr>
              <w:spacing w:line="260" w:lineRule="exact"/>
              <w:jc w:val="left"/>
              <w:rPr>
                <w:rFonts w:ascii="宋体" w:hAnsi="宋体" w:cstheme="minorEastAsia"/>
                <w:color w:val="333333"/>
              </w:rPr>
            </w:pPr>
            <w:r w:rsidRPr="007B6523">
              <w:rPr>
                <w:rFonts w:ascii="宋体" w:hAnsi="宋体" w:cstheme="minorEastAsia" w:hint="eastAsia"/>
                <w:color w:val="333333"/>
              </w:rPr>
              <w:t>部门本年度“三公经费”实际支出数与预算安排数的比率，用以反映和考核部门对“三公经费”的实际控制程度。</w:t>
            </w:r>
          </w:p>
        </w:tc>
        <w:tc>
          <w:tcPr>
            <w:tcW w:w="3721" w:type="dxa"/>
            <w:shd w:val="clear" w:color="auto" w:fill="auto"/>
            <w:tcMar>
              <w:left w:w="10" w:type="dxa"/>
              <w:right w:w="10" w:type="dxa"/>
            </w:tcMar>
            <w:vAlign w:val="center"/>
          </w:tcPr>
          <w:p w:rsidR="00B66FB7" w:rsidRPr="007B6523" w:rsidRDefault="00211D18" w:rsidP="003F5025">
            <w:pPr>
              <w:spacing w:line="260" w:lineRule="exact"/>
              <w:jc w:val="left"/>
              <w:rPr>
                <w:rFonts w:ascii="宋体" w:hAnsi="宋体" w:cstheme="minorEastAsia"/>
                <w:color w:val="333333"/>
              </w:rPr>
            </w:pPr>
            <w:r w:rsidRPr="007B6523">
              <w:rPr>
                <w:rFonts w:ascii="宋体" w:hAnsi="宋体" w:cstheme="minorEastAsia" w:hint="eastAsia"/>
                <w:color w:val="333333"/>
              </w:rPr>
              <w:t>“三公经费”控制率=（“三公经费”实际支出数/“三公经费”预算安排数）×100%。为100%的计2分，每超过1个百分点扣0.5分，扣完为止。</w:t>
            </w:r>
          </w:p>
        </w:tc>
      </w:tr>
      <w:tr w:rsidR="00B66FB7" w:rsidRPr="007B6523" w:rsidTr="003F5025">
        <w:trPr>
          <w:trHeight w:val="1855"/>
        </w:trPr>
        <w:tc>
          <w:tcPr>
            <w:tcW w:w="547" w:type="dxa"/>
            <w:vMerge/>
            <w:shd w:val="clear" w:color="auto" w:fill="auto"/>
            <w:vAlign w:val="center"/>
          </w:tcPr>
          <w:p w:rsidR="00B66FB7" w:rsidRPr="007B6523" w:rsidRDefault="00B66FB7" w:rsidP="003F5025">
            <w:pPr>
              <w:spacing w:line="260" w:lineRule="exact"/>
              <w:rPr>
                <w:rFonts w:ascii="宋体" w:hAnsi="宋体" w:cstheme="minorEastAsia"/>
              </w:rPr>
            </w:pPr>
          </w:p>
        </w:tc>
        <w:tc>
          <w:tcPr>
            <w:tcW w:w="570" w:type="dxa"/>
            <w:vMerge/>
            <w:shd w:val="clear" w:color="auto" w:fill="auto"/>
            <w:vAlign w:val="center"/>
          </w:tcPr>
          <w:p w:rsidR="00B66FB7" w:rsidRPr="007B6523" w:rsidRDefault="00B66FB7" w:rsidP="003F5025">
            <w:pPr>
              <w:spacing w:line="260" w:lineRule="exact"/>
              <w:rPr>
                <w:rFonts w:ascii="宋体" w:hAnsi="宋体" w:cstheme="minorEastAsia"/>
              </w:rPr>
            </w:pPr>
          </w:p>
        </w:tc>
        <w:tc>
          <w:tcPr>
            <w:tcW w:w="703" w:type="dxa"/>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政府采购</w:t>
            </w:r>
          </w:p>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执行率（4分）</w:t>
            </w:r>
          </w:p>
        </w:tc>
        <w:tc>
          <w:tcPr>
            <w:tcW w:w="530" w:type="dxa"/>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3</w:t>
            </w:r>
          </w:p>
        </w:tc>
        <w:tc>
          <w:tcPr>
            <w:tcW w:w="2892" w:type="dxa"/>
            <w:shd w:val="clear" w:color="auto" w:fill="auto"/>
            <w:tcMar>
              <w:left w:w="10" w:type="dxa"/>
              <w:right w:w="10" w:type="dxa"/>
            </w:tcMar>
            <w:vAlign w:val="center"/>
          </w:tcPr>
          <w:p w:rsidR="00B66FB7" w:rsidRPr="007B6523" w:rsidRDefault="00211D18" w:rsidP="003F5025">
            <w:pPr>
              <w:spacing w:line="260" w:lineRule="exact"/>
              <w:jc w:val="left"/>
              <w:rPr>
                <w:rFonts w:ascii="宋体" w:hAnsi="宋体" w:cstheme="minorEastAsia"/>
                <w:color w:val="333333"/>
              </w:rPr>
            </w:pPr>
            <w:r w:rsidRPr="007B6523">
              <w:rPr>
                <w:rFonts w:ascii="宋体" w:hAnsi="宋体" w:cstheme="minorEastAsia" w:hint="eastAsia"/>
                <w:color w:val="333333"/>
              </w:rPr>
              <w:t>部门本年度实际政府采购金额与年初政府采购预算的比率，用以反映和考核部门政府采购预算执行情况。</w:t>
            </w:r>
          </w:p>
        </w:tc>
        <w:tc>
          <w:tcPr>
            <w:tcW w:w="3721" w:type="dxa"/>
            <w:shd w:val="clear" w:color="auto" w:fill="auto"/>
            <w:tcMar>
              <w:left w:w="10" w:type="dxa"/>
              <w:right w:w="10" w:type="dxa"/>
            </w:tcMar>
            <w:vAlign w:val="center"/>
          </w:tcPr>
          <w:p w:rsidR="00B66FB7" w:rsidRPr="007B6523" w:rsidRDefault="00211D18" w:rsidP="003F5025">
            <w:pPr>
              <w:spacing w:line="260" w:lineRule="exact"/>
              <w:jc w:val="left"/>
              <w:rPr>
                <w:rFonts w:ascii="宋体" w:hAnsi="宋体" w:cstheme="minorEastAsia"/>
                <w:color w:val="333333"/>
              </w:rPr>
            </w:pPr>
            <w:r w:rsidRPr="007B6523">
              <w:rPr>
                <w:rFonts w:ascii="宋体" w:hAnsi="宋体" w:cstheme="minorEastAsia" w:hint="eastAsia"/>
                <w:color w:val="333333"/>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rsidR="00B66FB7" w:rsidRPr="007B6523" w:rsidTr="001167D8">
        <w:trPr>
          <w:trHeight w:val="567"/>
        </w:trPr>
        <w:tc>
          <w:tcPr>
            <w:tcW w:w="547" w:type="dxa"/>
            <w:vMerge/>
            <w:shd w:val="clear" w:color="auto" w:fill="auto"/>
            <w:vAlign w:val="center"/>
          </w:tcPr>
          <w:p w:rsidR="00B66FB7" w:rsidRPr="007B6523" w:rsidRDefault="00B66FB7" w:rsidP="003F5025">
            <w:pPr>
              <w:spacing w:line="260" w:lineRule="exact"/>
              <w:rPr>
                <w:rFonts w:ascii="宋体" w:hAnsi="宋体" w:cstheme="minorEastAsia"/>
              </w:rPr>
            </w:pPr>
          </w:p>
        </w:tc>
        <w:tc>
          <w:tcPr>
            <w:tcW w:w="570" w:type="dxa"/>
            <w:vMerge w:val="restart"/>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预算</w:t>
            </w:r>
          </w:p>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管理</w:t>
            </w:r>
          </w:p>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（5分）</w:t>
            </w:r>
          </w:p>
        </w:tc>
        <w:tc>
          <w:tcPr>
            <w:tcW w:w="703" w:type="dxa"/>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管理制度</w:t>
            </w:r>
          </w:p>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健全性（2分）</w:t>
            </w:r>
          </w:p>
        </w:tc>
        <w:tc>
          <w:tcPr>
            <w:tcW w:w="530" w:type="dxa"/>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1.5</w:t>
            </w:r>
          </w:p>
        </w:tc>
        <w:tc>
          <w:tcPr>
            <w:tcW w:w="2892" w:type="dxa"/>
            <w:shd w:val="clear" w:color="auto" w:fill="auto"/>
            <w:tcMar>
              <w:left w:w="10" w:type="dxa"/>
              <w:right w:w="10" w:type="dxa"/>
            </w:tcMar>
            <w:vAlign w:val="center"/>
          </w:tcPr>
          <w:p w:rsidR="00B66FB7" w:rsidRPr="007B6523" w:rsidRDefault="00211D18" w:rsidP="003F5025">
            <w:pPr>
              <w:spacing w:line="260" w:lineRule="exact"/>
              <w:jc w:val="left"/>
              <w:rPr>
                <w:rFonts w:ascii="宋体" w:hAnsi="宋体" w:cstheme="minorEastAsia"/>
                <w:color w:val="333333"/>
              </w:rPr>
            </w:pPr>
            <w:r w:rsidRPr="007B6523">
              <w:rPr>
                <w:rFonts w:ascii="宋体" w:hAnsi="宋体" w:cstheme="minorEastAsia" w:hint="eastAsia"/>
                <w:color w:val="333333"/>
              </w:rPr>
              <w:t>部门为加强预算管理、规范财务行为而制定的管理制度是否健全完整，用以反映和考核部门预算管理制度对完成主要职责或促进事业发展的保障情况。</w:t>
            </w:r>
          </w:p>
        </w:tc>
        <w:tc>
          <w:tcPr>
            <w:tcW w:w="3721" w:type="dxa"/>
            <w:shd w:val="clear" w:color="auto" w:fill="auto"/>
            <w:tcMar>
              <w:left w:w="10" w:type="dxa"/>
              <w:right w:w="10" w:type="dxa"/>
            </w:tcMar>
            <w:vAlign w:val="center"/>
          </w:tcPr>
          <w:p w:rsidR="00B66FB7" w:rsidRPr="007B6523" w:rsidRDefault="00211D18" w:rsidP="003F5025">
            <w:pPr>
              <w:spacing w:line="260" w:lineRule="exact"/>
              <w:jc w:val="left"/>
              <w:rPr>
                <w:rFonts w:ascii="宋体" w:hAnsi="宋体" w:cstheme="minorEastAsia"/>
                <w:color w:val="333333"/>
              </w:rPr>
            </w:pPr>
            <w:r w:rsidRPr="007B6523">
              <w:rPr>
                <w:rFonts w:ascii="宋体" w:hAnsi="宋体" w:cstheme="minorEastAsia" w:hint="eastAsia"/>
                <w:color w:val="333333"/>
              </w:rPr>
              <w:t>已制定或具有预算资金管理办法、内部财务管理制度、会计核算制度等管理制度计1分；相关管理制度合法、合规、完整计0.5分；相关管理制度得到有效执行计0.5分。</w:t>
            </w:r>
          </w:p>
        </w:tc>
      </w:tr>
      <w:tr w:rsidR="00B66FB7" w:rsidRPr="007B6523" w:rsidTr="001167D8">
        <w:trPr>
          <w:trHeight w:val="567"/>
        </w:trPr>
        <w:tc>
          <w:tcPr>
            <w:tcW w:w="547" w:type="dxa"/>
            <w:vMerge/>
            <w:shd w:val="clear" w:color="auto" w:fill="auto"/>
            <w:vAlign w:val="center"/>
          </w:tcPr>
          <w:p w:rsidR="00B66FB7" w:rsidRPr="007B6523" w:rsidRDefault="00B66FB7" w:rsidP="003F5025">
            <w:pPr>
              <w:spacing w:line="260" w:lineRule="exact"/>
              <w:rPr>
                <w:rFonts w:ascii="宋体" w:hAnsi="宋体" w:cstheme="minorEastAsia"/>
              </w:rPr>
            </w:pPr>
          </w:p>
        </w:tc>
        <w:tc>
          <w:tcPr>
            <w:tcW w:w="570" w:type="dxa"/>
            <w:vMerge/>
            <w:shd w:val="clear" w:color="auto" w:fill="auto"/>
            <w:vAlign w:val="center"/>
          </w:tcPr>
          <w:p w:rsidR="00B66FB7" w:rsidRPr="007B6523" w:rsidRDefault="00B66FB7" w:rsidP="003F5025">
            <w:pPr>
              <w:spacing w:line="260" w:lineRule="exact"/>
              <w:rPr>
                <w:rFonts w:ascii="宋体" w:hAnsi="宋体" w:cstheme="minorEastAsia"/>
              </w:rPr>
            </w:pPr>
          </w:p>
        </w:tc>
        <w:tc>
          <w:tcPr>
            <w:tcW w:w="703" w:type="dxa"/>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资金使用</w:t>
            </w:r>
          </w:p>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合规性（1分）</w:t>
            </w:r>
          </w:p>
        </w:tc>
        <w:tc>
          <w:tcPr>
            <w:tcW w:w="530" w:type="dxa"/>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1</w:t>
            </w:r>
          </w:p>
        </w:tc>
        <w:tc>
          <w:tcPr>
            <w:tcW w:w="2892" w:type="dxa"/>
            <w:shd w:val="clear" w:color="auto" w:fill="auto"/>
            <w:tcMar>
              <w:left w:w="10" w:type="dxa"/>
              <w:right w:w="10" w:type="dxa"/>
            </w:tcMar>
            <w:vAlign w:val="center"/>
          </w:tcPr>
          <w:p w:rsidR="00B66FB7" w:rsidRPr="007B6523" w:rsidRDefault="00211D18" w:rsidP="003F5025">
            <w:pPr>
              <w:spacing w:line="260" w:lineRule="exact"/>
              <w:jc w:val="left"/>
              <w:rPr>
                <w:rFonts w:ascii="宋体" w:hAnsi="宋体" w:cstheme="minorEastAsia"/>
                <w:color w:val="333333"/>
              </w:rPr>
            </w:pPr>
            <w:r w:rsidRPr="007B6523">
              <w:rPr>
                <w:rFonts w:ascii="宋体" w:hAnsi="宋体" w:cstheme="minorEastAsia" w:hint="eastAsia"/>
                <w:color w:val="333333"/>
              </w:rPr>
              <w:t>部门使用预算资金是否符合相关的预算财务管理制度的规定，用以反映和考核部门预算资金的规范运行情况。</w:t>
            </w:r>
          </w:p>
        </w:tc>
        <w:tc>
          <w:tcPr>
            <w:tcW w:w="3721" w:type="dxa"/>
            <w:shd w:val="clear" w:color="auto" w:fill="auto"/>
            <w:tcMar>
              <w:left w:w="10" w:type="dxa"/>
              <w:right w:w="10" w:type="dxa"/>
            </w:tcMar>
            <w:vAlign w:val="center"/>
          </w:tcPr>
          <w:p w:rsidR="00B66FB7" w:rsidRPr="007B6523" w:rsidRDefault="00211D18" w:rsidP="003F5025">
            <w:pPr>
              <w:spacing w:line="260" w:lineRule="exact"/>
              <w:jc w:val="left"/>
              <w:rPr>
                <w:rFonts w:ascii="宋体" w:hAnsi="宋体" w:cstheme="minorEastAsia"/>
                <w:color w:val="333333"/>
              </w:rPr>
            </w:pPr>
            <w:r w:rsidRPr="007B6523">
              <w:rPr>
                <w:rFonts w:ascii="宋体" w:hAnsi="宋体" w:cstheme="minorEastAsia" w:hint="eastAsia"/>
                <w:color w:val="333333"/>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rsidR="00B66FB7" w:rsidRPr="007B6523" w:rsidTr="001167D8">
        <w:trPr>
          <w:trHeight w:val="567"/>
        </w:trPr>
        <w:tc>
          <w:tcPr>
            <w:tcW w:w="547" w:type="dxa"/>
            <w:vMerge/>
            <w:shd w:val="clear" w:color="auto" w:fill="auto"/>
            <w:vAlign w:val="center"/>
          </w:tcPr>
          <w:p w:rsidR="00B66FB7" w:rsidRPr="007B6523" w:rsidRDefault="00B66FB7" w:rsidP="003F5025">
            <w:pPr>
              <w:spacing w:line="260" w:lineRule="exact"/>
              <w:rPr>
                <w:rFonts w:ascii="宋体" w:hAnsi="宋体" w:cstheme="minorEastAsia"/>
              </w:rPr>
            </w:pPr>
          </w:p>
        </w:tc>
        <w:tc>
          <w:tcPr>
            <w:tcW w:w="570" w:type="dxa"/>
            <w:vMerge/>
            <w:shd w:val="clear" w:color="auto" w:fill="auto"/>
            <w:vAlign w:val="center"/>
          </w:tcPr>
          <w:p w:rsidR="00B66FB7" w:rsidRPr="007B6523" w:rsidRDefault="00B66FB7" w:rsidP="003F5025">
            <w:pPr>
              <w:spacing w:line="260" w:lineRule="exact"/>
              <w:rPr>
                <w:rFonts w:ascii="宋体" w:hAnsi="宋体" w:cstheme="minorEastAsia"/>
              </w:rPr>
            </w:pPr>
          </w:p>
        </w:tc>
        <w:tc>
          <w:tcPr>
            <w:tcW w:w="703" w:type="dxa"/>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预决算信</w:t>
            </w:r>
          </w:p>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息公开性（1分）</w:t>
            </w:r>
          </w:p>
        </w:tc>
        <w:tc>
          <w:tcPr>
            <w:tcW w:w="530" w:type="dxa"/>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1</w:t>
            </w:r>
          </w:p>
        </w:tc>
        <w:tc>
          <w:tcPr>
            <w:tcW w:w="2892" w:type="dxa"/>
            <w:shd w:val="clear" w:color="auto" w:fill="auto"/>
            <w:tcMar>
              <w:left w:w="10" w:type="dxa"/>
              <w:right w:w="10" w:type="dxa"/>
            </w:tcMar>
            <w:vAlign w:val="center"/>
          </w:tcPr>
          <w:p w:rsidR="00B66FB7" w:rsidRPr="007B6523" w:rsidRDefault="00211D18" w:rsidP="003F5025">
            <w:pPr>
              <w:spacing w:line="260" w:lineRule="exact"/>
              <w:jc w:val="left"/>
              <w:rPr>
                <w:rFonts w:ascii="宋体" w:hAnsi="宋体" w:cstheme="minorEastAsia"/>
                <w:color w:val="333333"/>
              </w:rPr>
            </w:pPr>
            <w:r w:rsidRPr="007B6523">
              <w:rPr>
                <w:rFonts w:ascii="宋体" w:hAnsi="宋体" w:cstheme="minorEastAsia" w:hint="eastAsia"/>
                <w:color w:val="333333"/>
              </w:rPr>
              <w:t>部门是否按照政府信息公开有关规定公开相关预决算信息，用以反映和考核部门预决算管理的公开透明情况。</w:t>
            </w:r>
          </w:p>
        </w:tc>
        <w:tc>
          <w:tcPr>
            <w:tcW w:w="3721" w:type="dxa"/>
            <w:shd w:val="clear" w:color="auto" w:fill="auto"/>
            <w:tcMar>
              <w:left w:w="10" w:type="dxa"/>
              <w:right w:w="10" w:type="dxa"/>
            </w:tcMar>
            <w:vAlign w:val="center"/>
          </w:tcPr>
          <w:p w:rsidR="00B66FB7" w:rsidRPr="007B6523" w:rsidRDefault="00211D18" w:rsidP="003F5025">
            <w:pPr>
              <w:spacing w:line="260" w:lineRule="exact"/>
              <w:jc w:val="left"/>
              <w:rPr>
                <w:rFonts w:ascii="宋体" w:hAnsi="宋体" w:cstheme="minorEastAsia"/>
                <w:color w:val="333333"/>
              </w:rPr>
            </w:pPr>
            <w:r w:rsidRPr="007B6523">
              <w:rPr>
                <w:rFonts w:ascii="宋体" w:hAnsi="宋体" w:cstheme="minorEastAsia" w:hint="eastAsia"/>
                <w:color w:val="333333"/>
              </w:rPr>
              <w:t>①按规定内容公开预决算信息计0.5分；②按规定时限公开预决算信息计0.5分。预决算信息是指与部门预算、执行、决算、监督、绩效等管理相关的信息。</w:t>
            </w:r>
          </w:p>
        </w:tc>
      </w:tr>
      <w:tr w:rsidR="00B66FB7" w:rsidRPr="007B6523" w:rsidTr="001167D8">
        <w:trPr>
          <w:trHeight w:val="567"/>
        </w:trPr>
        <w:tc>
          <w:tcPr>
            <w:tcW w:w="547" w:type="dxa"/>
            <w:vMerge/>
            <w:shd w:val="clear" w:color="auto" w:fill="auto"/>
            <w:vAlign w:val="center"/>
          </w:tcPr>
          <w:p w:rsidR="00B66FB7" w:rsidRPr="007B6523" w:rsidRDefault="00B66FB7" w:rsidP="003F5025">
            <w:pPr>
              <w:spacing w:line="260" w:lineRule="exact"/>
              <w:rPr>
                <w:rFonts w:ascii="宋体" w:hAnsi="宋体" w:cstheme="minorEastAsia"/>
              </w:rPr>
            </w:pPr>
          </w:p>
        </w:tc>
        <w:tc>
          <w:tcPr>
            <w:tcW w:w="570" w:type="dxa"/>
            <w:vMerge/>
            <w:shd w:val="clear" w:color="auto" w:fill="auto"/>
            <w:vAlign w:val="center"/>
          </w:tcPr>
          <w:p w:rsidR="00B66FB7" w:rsidRPr="007B6523" w:rsidRDefault="00B66FB7" w:rsidP="003F5025">
            <w:pPr>
              <w:spacing w:line="260" w:lineRule="exact"/>
              <w:rPr>
                <w:rFonts w:ascii="宋体" w:hAnsi="宋体" w:cstheme="minorEastAsia"/>
              </w:rPr>
            </w:pPr>
          </w:p>
        </w:tc>
        <w:tc>
          <w:tcPr>
            <w:tcW w:w="703" w:type="dxa"/>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基础信息</w:t>
            </w:r>
          </w:p>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完善性（1分）</w:t>
            </w:r>
          </w:p>
        </w:tc>
        <w:tc>
          <w:tcPr>
            <w:tcW w:w="530" w:type="dxa"/>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1</w:t>
            </w:r>
          </w:p>
        </w:tc>
        <w:tc>
          <w:tcPr>
            <w:tcW w:w="2892" w:type="dxa"/>
            <w:shd w:val="clear" w:color="auto" w:fill="auto"/>
            <w:tcMar>
              <w:left w:w="10" w:type="dxa"/>
              <w:right w:w="10" w:type="dxa"/>
            </w:tcMar>
            <w:vAlign w:val="center"/>
          </w:tcPr>
          <w:p w:rsidR="00B66FB7" w:rsidRPr="007B6523" w:rsidRDefault="00211D18" w:rsidP="003F5025">
            <w:pPr>
              <w:spacing w:line="260" w:lineRule="exact"/>
              <w:jc w:val="left"/>
              <w:rPr>
                <w:rFonts w:ascii="宋体" w:hAnsi="宋体" w:cstheme="minorEastAsia"/>
                <w:color w:val="333333"/>
              </w:rPr>
            </w:pPr>
            <w:r w:rsidRPr="007B6523">
              <w:rPr>
                <w:rFonts w:ascii="宋体" w:hAnsi="宋体" w:cstheme="minorEastAsia" w:hint="eastAsia"/>
                <w:color w:val="333333"/>
              </w:rPr>
              <w:t>部门基础信息是否完善，用以反映和考核基础信息对预算管理工作的支撑情况。</w:t>
            </w:r>
          </w:p>
        </w:tc>
        <w:tc>
          <w:tcPr>
            <w:tcW w:w="3721" w:type="dxa"/>
            <w:shd w:val="clear" w:color="auto" w:fill="auto"/>
            <w:tcMar>
              <w:left w:w="10" w:type="dxa"/>
              <w:right w:w="10" w:type="dxa"/>
            </w:tcMar>
            <w:vAlign w:val="center"/>
          </w:tcPr>
          <w:p w:rsidR="00B66FB7" w:rsidRPr="007B6523" w:rsidRDefault="00211D18" w:rsidP="003F5025">
            <w:pPr>
              <w:spacing w:line="260" w:lineRule="exact"/>
              <w:jc w:val="left"/>
              <w:rPr>
                <w:rFonts w:ascii="宋体" w:hAnsi="宋体" w:cstheme="minorEastAsia"/>
                <w:color w:val="333333"/>
              </w:rPr>
            </w:pPr>
            <w:r w:rsidRPr="007B6523">
              <w:rPr>
                <w:rFonts w:ascii="宋体" w:hAnsi="宋体" w:cstheme="minorEastAsia" w:hint="eastAsia"/>
                <w:color w:val="333333"/>
              </w:rPr>
              <w:t>①基础数据信息和会计信息资料真实计0.4分；②基础数据信息和会计信息资料完整计0.3分；③基础数据信息和会计信息资料准确计0.3分。</w:t>
            </w:r>
          </w:p>
        </w:tc>
      </w:tr>
      <w:tr w:rsidR="00B66FB7" w:rsidRPr="007B6523" w:rsidTr="001167D8">
        <w:trPr>
          <w:trHeight w:val="567"/>
        </w:trPr>
        <w:tc>
          <w:tcPr>
            <w:tcW w:w="547" w:type="dxa"/>
            <w:vMerge/>
            <w:shd w:val="clear" w:color="auto" w:fill="auto"/>
            <w:vAlign w:val="center"/>
          </w:tcPr>
          <w:p w:rsidR="00B66FB7" w:rsidRPr="007B6523" w:rsidRDefault="00B66FB7" w:rsidP="003F5025">
            <w:pPr>
              <w:spacing w:line="260" w:lineRule="exact"/>
              <w:rPr>
                <w:rFonts w:ascii="宋体" w:hAnsi="宋体" w:cstheme="minorEastAsia"/>
              </w:rPr>
            </w:pPr>
          </w:p>
        </w:tc>
        <w:tc>
          <w:tcPr>
            <w:tcW w:w="570" w:type="dxa"/>
            <w:vMerge w:val="restart"/>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资产</w:t>
            </w:r>
          </w:p>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管理</w:t>
            </w:r>
          </w:p>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（5分）</w:t>
            </w:r>
          </w:p>
        </w:tc>
        <w:tc>
          <w:tcPr>
            <w:tcW w:w="703" w:type="dxa"/>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管理制度</w:t>
            </w:r>
          </w:p>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健全性（2分）</w:t>
            </w:r>
          </w:p>
        </w:tc>
        <w:tc>
          <w:tcPr>
            <w:tcW w:w="530" w:type="dxa"/>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2</w:t>
            </w:r>
          </w:p>
        </w:tc>
        <w:tc>
          <w:tcPr>
            <w:tcW w:w="2892" w:type="dxa"/>
            <w:shd w:val="clear" w:color="auto" w:fill="auto"/>
            <w:tcMar>
              <w:left w:w="10" w:type="dxa"/>
              <w:right w:w="10" w:type="dxa"/>
            </w:tcMar>
            <w:vAlign w:val="center"/>
          </w:tcPr>
          <w:p w:rsidR="00B66FB7" w:rsidRPr="007B6523" w:rsidRDefault="00211D18" w:rsidP="003F5025">
            <w:pPr>
              <w:spacing w:line="260" w:lineRule="exact"/>
              <w:jc w:val="left"/>
              <w:rPr>
                <w:rFonts w:ascii="宋体" w:hAnsi="宋体" w:cstheme="minorEastAsia"/>
                <w:color w:val="333333"/>
              </w:rPr>
            </w:pPr>
            <w:r w:rsidRPr="007B6523">
              <w:rPr>
                <w:rFonts w:ascii="宋体" w:hAnsi="宋体" w:cstheme="minorEastAsia" w:hint="eastAsia"/>
                <w:color w:val="333333"/>
              </w:rPr>
              <w:t>部门为加强资产管理、规范资产管理行为而制定的管理制度是否健全完整，用以反映和考核部门资产管理制度对完成主要职责或促进社会发展的保障情况。</w:t>
            </w:r>
          </w:p>
        </w:tc>
        <w:tc>
          <w:tcPr>
            <w:tcW w:w="3721" w:type="dxa"/>
            <w:shd w:val="clear" w:color="auto" w:fill="auto"/>
            <w:tcMar>
              <w:left w:w="10" w:type="dxa"/>
              <w:right w:w="10" w:type="dxa"/>
            </w:tcMar>
            <w:vAlign w:val="center"/>
          </w:tcPr>
          <w:p w:rsidR="00B66FB7" w:rsidRPr="007B6523" w:rsidRDefault="00211D18" w:rsidP="003F5025">
            <w:pPr>
              <w:spacing w:line="260" w:lineRule="exact"/>
              <w:jc w:val="left"/>
              <w:rPr>
                <w:rFonts w:ascii="宋体" w:hAnsi="宋体" w:cstheme="minorEastAsia"/>
                <w:color w:val="333333"/>
              </w:rPr>
            </w:pPr>
            <w:r w:rsidRPr="007B6523">
              <w:rPr>
                <w:rFonts w:ascii="宋体" w:hAnsi="宋体" w:cstheme="minorEastAsia" w:hint="eastAsia"/>
                <w:color w:val="333333"/>
              </w:rPr>
              <w:t>①制定或具有资产管理制度计1分；②相关资金管理制度合法、合规、完整计0.5分；③相关资产管理制度得到有效执行计0.5分。</w:t>
            </w:r>
          </w:p>
        </w:tc>
      </w:tr>
      <w:tr w:rsidR="00B66FB7" w:rsidRPr="007B6523" w:rsidTr="001167D8">
        <w:trPr>
          <w:trHeight w:val="567"/>
        </w:trPr>
        <w:tc>
          <w:tcPr>
            <w:tcW w:w="547" w:type="dxa"/>
            <w:vMerge/>
            <w:shd w:val="clear" w:color="auto" w:fill="auto"/>
            <w:vAlign w:val="center"/>
          </w:tcPr>
          <w:p w:rsidR="00B66FB7" w:rsidRPr="007B6523" w:rsidRDefault="00B66FB7" w:rsidP="003F5025">
            <w:pPr>
              <w:spacing w:line="260" w:lineRule="exact"/>
              <w:rPr>
                <w:rFonts w:ascii="宋体" w:hAnsi="宋体" w:cstheme="minorEastAsia"/>
              </w:rPr>
            </w:pPr>
          </w:p>
        </w:tc>
        <w:tc>
          <w:tcPr>
            <w:tcW w:w="570" w:type="dxa"/>
            <w:vMerge/>
            <w:shd w:val="clear" w:color="auto" w:fill="auto"/>
            <w:vAlign w:val="center"/>
          </w:tcPr>
          <w:p w:rsidR="00B66FB7" w:rsidRPr="007B6523" w:rsidRDefault="00B66FB7" w:rsidP="003F5025">
            <w:pPr>
              <w:spacing w:line="260" w:lineRule="exact"/>
              <w:rPr>
                <w:rFonts w:ascii="宋体" w:hAnsi="宋体" w:cstheme="minorEastAsia"/>
              </w:rPr>
            </w:pPr>
          </w:p>
        </w:tc>
        <w:tc>
          <w:tcPr>
            <w:tcW w:w="703" w:type="dxa"/>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资产管理</w:t>
            </w:r>
          </w:p>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安全性（2分）</w:t>
            </w:r>
          </w:p>
        </w:tc>
        <w:tc>
          <w:tcPr>
            <w:tcW w:w="530" w:type="dxa"/>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2</w:t>
            </w:r>
          </w:p>
        </w:tc>
        <w:tc>
          <w:tcPr>
            <w:tcW w:w="2892" w:type="dxa"/>
            <w:shd w:val="clear" w:color="auto" w:fill="auto"/>
            <w:tcMar>
              <w:left w:w="10" w:type="dxa"/>
              <w:right w:w="10" w:type="dxa"/>
            </w:tcMar>
            <w:vAlign w:val="center"/>
          </w:tcPr>
          <w:p w:rsidR="00B66FB7" w:rsidRPr="007B6523" w:rsidRDefault="00211D18" w:rsidP="003F5025">
            <w:pPr>
              <w:spacing w:line="260" w:lineRule="exact"/>
              <w:jc w:val="left"/>
              <w:rPr>
                <w:rFonts w:ascii="宋体" w:hAnsi="宋体" w:cstheme="minorEastAsia"/>
                <w:color w:val="333333"/>
              </w:rPr>
            </w:pPr>
            <w:r w:rsidRPr="007B6523">
              <w:rPr>
                <w:rFonts w:ascii="宋体" w:hAnsi="宋体" w:cstheme="minorEastAsia" w:hint="eastAsia"/>
                <w:color w:val="333333"/>
              </w:rPr>
              <w:t>部门的资产是否保存完整、使用合规、配置合理、处置规范、收入及时足额上缴，用以反映和考核部门资产安全运行情况。</w:t>
            </w:r>
          </w:p>
        </w:tc>
        <w:tc>
          <w:tcPr>
            <w:tcW w:w="3721" w:type="dxa"/>
            <w:shd w:val="clear" w:color="auto" w:fill="auto"/>
            <w:tcMar>
              <w:left w:w="10" w:type="dxa"/>
              <w:right w:w="10" w:type="dxa"/>
            </w:tcMar>
            <w:vAlign w:val="center"/>
          </w:tcPr>
          <w:p w:rsidR="00B66FB7" w:rsidRPr="007B6523" w:rsidRDefault="00211D18" w:rsidP="003F5025">
            <w:pPr>
              <w:spacing w:line="260" w:lineRule="exact"/>
              <w:jc w:val="left"/>
              <w:rPr>
                <w:rFonts w:ascii="宋体" w:hAnsi="宋体" w:cstheme="minorEastAsia"/>
                <w:color w:val="333333"/>
              </w:rPr>
            </w:pPr>
            <w:r w:rsidRPr="007B6523">
              <w:rPr>
                <w:rFonts w:ascii="宋体" w:hAnsi="宋体" w:cstheme="minorEastAsia" w:hint="eastAsia"/>
                <w:color w:val="333333"/>
              </w:rPr>
              <w:t>①资产保存完整计0.4分；②资产配置合理计0.4分；③资产处置规范计0.4分；④资产账务管理合规、帐实相符计0.4分；⑤资产有偿使用及处置收入及时足额上缴计0.4分。</w:t>
            </w:r>
          </w:p>
        </w:tc>
      </w:tr>
      <w:tr w:rsidR="00B66FB7" w:rsidRPr="007B6523" w:rsidTr="001167D8">
        <w:trPr>
          <w:trHeight w:val="567"/>
        </w:trPr>
        <w:tc>
          <w:tcPr>
            <w:tcW w:w="547" w:type="dxa"/>
            <w:vMerge/>
            <w:shd w:val="clear" w:color="auto" w:fill="auto"/>
            <w:vAlign w:val="center"/>
          </w:tcPr>
          <w:p w:rsidR="00B66FB7" w:rsidRPr="007B6523" w:rsidRDefault="00B66FB7" w:rsidP="003F5025">
            <w:pPr>
              <w:spacing w:line="260" w:lineRule="exact"/>
              <w:rPr>
                <w:rFonts w:ascii="宋体" w:hAnsi="宋体" w:cstheme="minorEastAsia"/>
              </w:rPr>
            </w:pPr>
          </w:p>
        </w:tc>
        <w:tc>
          <w:tcPr>
            <w:tcW w:w="570" w:type="dxa"/>
            <w:vMerge/>
            <w:shd w:val="clear" w:color="auto" w:fill="auto"/>
            <w:vAlign w:val="center"/>
          </w:tcPr>
          <w:p w:rsidR="00B66FB7" w:rsidRPr="007B6523" w:rsidRDefault="00B66FB7" w:rsidP="003F5025">
            <w:pPr>
              <w:spacing w:line="260" w:lineRule="exact"/>
              <w:rPr>
                <w:rFonts w:ascii="宋体" w:hAnsi="宋体" w:cstheme="minorEastAsia"/>
              </w:rPr>
            </w:pPr>
          </w:p>
        </w:tc>
        <w:tc>
          <w:tcPr>
            <w:tcW w:w="703" w:type="dxa"/>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固定资产</w:t>
            </w:r>
          </w:p>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利用率（1分）</w:t>
            </w:r>
          </w:p>
        </w:tc>
        <w:tc>
          <w:tcPr>
            <w:tcW w:w="530" w:type="dxa"/>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1</w:t>
            </w:r>
          </w:p>
        </w:tc>
        <w:tc>
          <w:tcPr>
            <w:tcW w:w="2892" w:type="dxa"/>
            <w:shd w:val="clear" w:color="auto" w:fill="auto"/>
            <w:tcMar>
              <w:left w:w="10" w:type="dxa"/>
              <w:right w:w="10" w:type="dxa"/>
            </w:tcMar>
            <w:vAlign w:val="center"/>
          </w:tcPr>
          <w:p w:rsidR="00B66FB7" w:rsidRPr="007B6523" w:rsidRDefault="00211D18" w:rsidP="003F5025">
            <w:pPr>
              <w:spacing w:line="260" w:lineRule="exact"/>
              <w:jc w:val="left"/>
              <w:rPr>
                <w:rFonts w:ascii="宋体" w:hAnsi="宋体" w:cstheme="minorEastAsia"/>
                <w:color w:val="333333"/>
              </w:rPr>
            </w:pPr>
            <w:r w:rsidRPr="007B6523">
              <w:rPr>
                <w:rFonts w:ascii="宋体" w:hAnsi="宋体" w:cstheme="minorEastAsia" w:hint="eastAsia"/>
                <w:color w:val="333333"/>
              </w:rPr>
              <w:t>部门实际在用固定资产总额与所有固定资产总额的比率，用以反映和考核部门固定资产使用效率程度。</w:t>
            </w:r>
          </w:p>
        </w:tc>
        <w:tc>
          <w:tcPr>
            <w:tcW w:w="3721" w:type="dxa"/>
            <w:shd w:val="clear" w:color="auto" w:fill="auto"/>
            <w:tcMar>
              <w:left w:w="10" w:type="dxa"/>
              <w:right w:w="10" w:type="dxa"/>
            </w:tcMar>
            <w:vAlign w:val="center"/>
          </w:tcPr>
          <w:p w:rsidR="00B66FB7" w:rsidRPr="007B6523" w:rsidRDefault="00211D18" w:rsidP="003F5025">
            <w:pPr>
              <w:spacing w:line="260" w:lineRule="exact"/>
              <w:jc w:val="left"/>
              <w:rPr>
                <w:rFonts w:ascii="宋体" w:hAnsi="宋体" w:cstheme="minorEastAsia"/>
                <w:color w:val="333333"/>
              </w:rPr>
            </w:pPr>
            <w:r w:rsidRPr="007B6523">
              <w:rPr>
                <w:rFonts w:ascii="宋体" w:hAnsi="宋体" w:cstheme="minorEastAsia" w:hint="eastAsia"/>
                <w:color w:val="333333"/>
              </w:rPr>
              <w:t>固定资产利用率=（实际在用固定资产总额/所有固定资产总额）×100%。利用率为100%的计1分，每降1个百分点扣0.1分，扣完为止。</w:t>
            </w:r>
          </w:p>
        </w:tc>
      </w:tr>
      <w:tr w:rsidR="00B66FB7" w:rsidRPr="007B6523" w:rsidTr="001167D8">
        <w:trPr>
          <w:trHeight w:val="567"/>
        </w:trPr>
        <w:tc>
          <w:tcPr>
            <w:tcW w:w="547" w:type="dxa"/>
            <w:vMerge w:val="restart"/>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产   出（30分）</w:t>
            </w:r>
          </w:p>
        </w:tc>
        <w:tc>
          <w:tcPr>
            <w:tcW w:w="570" w:type="dxa"/>
            <w:vMerge w:val="restart"/>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职责</w:t>
            </w:r>
          </w:p>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履行</w:t>
            </w:r>
          </w:p>
        </w:tc>
        <w:tc>
          <w:tcPr>
            <w:tcW w:w="703" w:type="dxa"/>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实际完成率（8分）</w:t>
            </w:r>
          </w:p>
        </w:tc>
        <w:tc>
          <w:tcPr>
            <w:tcW w:w="530" w:type="dxa"/>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7</w:t>
            </w:r>
          </w:p>
        </w:tc>
        <w:tc>
          <w:tcPr>
            <w:tcW w:w="2892" w:type="dxa"/>
            <w:shd w:val="clear" w:color="auto" w:fill="auto"/>
            <w:tcMar>
              <w:left w:w="10" w:type="dxa"/>
              <w:right w:w="10" w:type="dxa"/>
            </w:tcMar>
            <w:vAlign w:val="center"/>
          </w:tcPr>
          <w:p w:rsidR="00B66FB7" w:rsidRPr="007B6523" w:rsidRDefault="00211D18" w:rsidP="003F5025">
            <w:pPr>
              <w:spacing w:line="260" w:lineRule="exact"/>
              <w:jc w:val="left"/>
              <w:rPr>
                <w:rFonts w:ascii="宋体" w:hAnsi="宋体" w:cstheme="minorEastAsia"/>
                <w:color w:val="333333"/>
              </w:rPr>
            </w:pPr>
            <w:r w:rsidRPr="007B6523">
              <w:rPr>
                <w:rFonts w:ascii="宋体" w:hAnsi="宋体" w:cstheme="minorEastAsia" w:hint="eastAsia"/>
                <w:color w:val="333333"/>
              </w:rPr>
              <w:t>部门履行职责而实际完成工作数与计划工作数的比率，用以反映和考核部门履职工作任务目标的实现程度。</w:t>
            </w:r>
          </w:p>
        </w:tc>
        <w:tc>
          <w:tcPr>
            <w:tcW w:w="3721" w:type="dxa"/>
            <w:shd w:val="clear" w:color="auto" w:fill="auto"/>
            <w:tcMar>
              <w:left w:w="10" w:type="dxa"/>
              <w:right w:w="10" w:type="dxa"/>
            </w:tcMar>
            <w:vAlign w:val="center"/>
          </w:tcPr>
          <w:p w:rsidR="00B66FB7" w:rsidRPr="007B6523" w:rsidRDefault="00211D18" w:rsidP="003F5025">
            <w:pPr>
              <w:spacing w:line="260" w:lineRule="exact"/>
              <w:jc w:val="left"/>
              <w:rPr>
                <w:rFonts w:ascii="宋体" w:hAnsi="宋体" w:cstheme="minorEastAsia"/>
                <w:color w:val="333333"/>
              </w:rPr>
            </w:pPr>
            <w:r w:rsidRPr="007B6523">
              <w:rPr>
                <w:rFonts w:ascii="宋体" w:hAnsi="宋体" w:cstheme="minorEastAsia" w:hint="eastAsia"/>
                <w:color w:val="333333"/>
              </w:rPr>
              <w:t>实际完成率得分=完成市委市政府绩效考核得分或上级主管部门考核指标得分/指标分值*8分</w:t>
            </w:r>
          </w:p>
        </w:tc>
      </w:tr>
      <w:tr w:rsidR="00B66FB7" w:rsidRPr="007B6523" w:rsidTr="001167D8">
        <w:trPr>
          <w:trHeight w:val="567"/>
        </w:trPr>
        <w:tc>
          <w:tcPr>
            <w:tcW w:w="547" w:type="dxa"/>
            <w:vMerge/>
            <w:shd w:val="clear" w:color="auto" w:fill="auto"/>
            <w:vAlign w:val="center"/>
          </w:tcPr>
          <w:p w:rsidR="00B66FB7" w:rsidRPr="007B6523" w:rsidRDefault="00B66FB7" w:rsidP="003F5025">
            <w:pPr>
              <w:spacing w:line="260" w:lineRule="exact"/>
              <w:rPr>
                <w:rFonts w:ascii="宋体" w:hAnsi="宋体" w:cstheme="minorEastAsia"/>
              </w:rPr>
            </w:pPr>
          </w:p>
        </w:tc>
        <w:tc>
          <w:tcPr>
            <w:tcW w:w="570" w:type="dxa"/>
            <w:vMerge/>
            <w:shd w:val="clear" w:color="auto" w:fill="auto"/>
            <w:vAlign w:val="center"/>
          </w:tcPr>
          <w:p w:rsidR="00B66FB7" w:rsidRPr="007B6523" w:rsidRDefault="00B66FB7" w:rsidP="003F5025">
            <w:pPr>
              <w:spacing w:line="260" w:lineRule="exact"/>
              <w:rPr>
                <w:rFonts w:ascii="宋体" w:hAnsi="宋体" w:cstheme="minorEastAsia"/>
              </w:rPr>
            </w:pPr>
          </w:p>
        </w:tc>
        <w:tc>
          <w:tcPr>
            <w:tcW w:w="703" w:type="dxa"/>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完成及时率（4分）</w:t>
            </w:r>
          </w:p>
        </w:tc>
        <w:tc>
          <w:tcPr>
            <w:tcW w:w="530" w:type="dxa"/>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3</w:t>
            </w:r>
          </w:p>
        </w:tc>
        <w:tc>
          <w:tcPr>
            <w:tcW w:w="2892" w:type="dxa"/>
            <w:shd w:val="clear" w:color="auto" w:fill="auto"/>
            <w:tcMar>
              <w:left w:w="10" w:type="dxa"/>
              <w:right w:w="10" w:type="dxa"/>
            </w:tcMar>
            <w:vAlign w:val="center"/>
          </w:tcPr>
          <w:p w:rsidR="00B66FB7" w:rsidRPr="007B6523" w:rsidRDefault="00211D18" w:rsidP="003F5025">
            <w:pPr>
              <w:spacing w:line="260" w:lineRule="exact"/>
              <w:jc w:val="left"/>
              <w:rPr>
                <w:rFonts w:ascii="宋体" w:hAnsi="宋体" w:cstheme="minorEastAsia"/>
                <w:color w:val="333333"/>
              </w:rPr>
            </w:pPr>
            <w:r w:rsidRPr="007B6523">
              <w:rPr>
                <w:rFonts w:ascii="宋体" w:hAnsi="宋体" w:cstheme="minorEastAsia" w:hint="eastAsia"/>
                <w:color w:val="333333"/>
              </w:rPr>
              <w:t>部门在规定时限内及时完成的实际工作数与计划工作数的比率,用以反映和考核部门履职时效目标的实现程度。</w:t>
            </w:r>
          </w:p>
        </w:tc>
        <w:tc>
          <w:tcPr>
            <w:tcW w:w="3721" w:type="dxa"/>
            <w:shd w:val="clear" w:color="auto" w:fill="auto"/>
            <w:tcMar>
              <w:left w:w="10" w:type="dxa"/>
              <w:right w:w="10" w:type="dxa"/>
            </w:tcMar>
            <w:vAlign w:val="center"/>
          </w:tcPr>
          <w:p w:rsidR="00B66FB7" w:rsidRPr="007B6523" w:rsidRDefault="00211D18" w:rsidP="003F5025">
            <w:pPr>
              <w:spacing w:line="260" w:lineRule="exact"/>
              <w:jc w:val="left"/>
              <w:rPr>
                <w:rFonts w:ascii="宋体" w:hAnsi="宋体" w:cstheme="minorEastAsia"/>
                <w:color w:val="333333"/>
              </w:rPr>
            </w:pPr>
            <w:r w:rsidRPr="007B6523">
              <w:rPr>
                <w:rFonts w:ascii="宋体" w:hAnsi="宋体" w:cstheme="minorEastAsia" w:hint="eastAsia"/>
                <w:color w:val="333333"/>
              </w:rPr>
              <w:t>完成及时率=（及时完成实际工作数/计划工作数）×100%。1-4季度各得1分</w:t>
            </w:r>
          </w:p>
          <w:p w:rsidR="00B66FB7" w:rsidRPr="007B6523" w:rsidRDefault="00B66FB7" w:rsidP="003F5025">
            <w:pPr>
              <w:spacing w:line="260" w:lineRule="exact"/>
              <w:jc w:val="left"/>
              <w:rPr>
                <w:rFonts w:ascii="宋体" w:hAnsi="宋体" w:cstheme="minorEastAsia"/>
                <w:color w:val="333333"/>
              </w:rPr>
            </w:pPr>
          </w:p>
        </w:tc>
      </w:tr>
      <w:tr w:rsidR="00B66FB7" w:rsidRPr="007B6523" w:rsidTr="001167D8">
        <w:trPr>
          <w:trHeight w:val="567"/>
        </w:trPr>
        <w:tc>
          <w:tcPr>
            <w:tcW w:w="547" w:type="dxa"/>
            <w:vMerge/>
            <w:shd w:val="clear" w:color="auto" w:fill="auto"/>
            <w:vAlign w:val="center"/>
          </w:tcPr>
          <w:p w:rsidR="00B66FB7" w:rsidRPr="007B6523" w:rsidRDefault="00B66FB7" w:rsidP="003F5025">
            <w:pPr>
              <w:spacing w:line="260" w:lineRule="exact"/>
              <w:rPr>
                <w:rFonts w:ascii="宋体" w:hAnsi="宋体" w:cstheme="minorEastAsia"/>
              </w:rPr>
            </w:pPr>
          </w:p>
        </w:tc>
        <w:tc>
          <w:tcPr>
            <w:tcW w:w="570" w:type="dxa"/>
            <w:vMerge/>
            <w:shd w:val="clear" w:color="auto" w:fill="auto"/>
            <w:vAlign w:val="center"/>
          </w:tcPr>
          <w:p w:rsidR="00B66FB7" w:rsidRPr="007B6523" w:rsidRDefault="00B66FB7" w:rsidP="003F5025">
            <w:pPr>
              <w:spacing w:line="260" w:lineRule="exact"/>
              <w:rPr>
                <w:rFonts w:ascii="宋体" w:hAnsi="宋体" w:cstheme="minorEastAsia"/>
              </w:rPr>
            </w:pPr>
          </w:p>
        </w:tc>
        <w:tc>
          <w:tcPr>
            <w:tcW w:w="703" w:type="dxa"/>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质量达标率（8分）</w:t>
            </w:r>
          </w:p>
        </w:tc>
        <w:tc>
          <w:tcPr>
            <w:tcW w:w="530" w:type="dxa"/>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7</w:t>
            </w:r>
          </w:p>
        </w:tc>
        <w:tc>
          <w:tcPr>
            <w:tcW w:w="2892" w:type="dxa"/>
            <w:shd w:val="clear" w:color="auto" w:fill="auto"/>
            <w:tcMar>
              <w:left w:w="10" w:type="dxa"/>
              <w:right w:w="10" w:type="dxa"/>
            </w:tcMar>
            <w:vAlign w:val="center"/>
          </w:tcPr>
          <w:p w:rsidR="00B66FB7" w:rsidRPr="007B6523" w:rsidRDefault="00211D18" w:rsidP="003F5025">
            <w:pPr>
              <w:spacing w:line="260" w:lineRule="exact"/>
              <w:jc w:val="left"/>
              <w:rPr>
                <w:rFonts w:ascii="宋体" w:hAnsi="宋体" w:cstheme="minorEastAsia"/>
                <w:color w:val="333333"/>
              </w:rPr>
            </w:pPr>
            <w:r w:rsidRPr="007B6523">
              <w:rPr>
                <w:rFonts w:ascii="宋体" w:hAnsi="宋体" w:cstheme="minorEastAsia" w:hint="eastAsia"/>
                <w:color w:val="333333"/>
              </w:rPr>
              <w:t>达到质量标准（绩效标准值）的实际工作数与计划工作数的比率,用以反映和考核部门履职质量目标的实现程度。</w:t>
            </w:r>
          </w:p>
        </w:tc>
        <w:tc>
          <w:tcPr>
            <w:tcW w:w="3721" w:type="dxa"/>
            <w:shd w:val="clear" w:color="auto" w:fill="auto"/>
            <w:tcMar>
              <w:left w:w="10" w:type="dxa"/>
              <w:right w:w="10" w:type="dxa"/>
            </w:tcMar>
            <w:vAlign w:val="center"/>
          </w:tcPr>
          <w:p w:rsidR="00B66FB7" w:rsidRPr="007B6523" w:rsidRDefault="00211D18" w:rsidP="003F5025">
            <w:pPr>
              <w:spacing w:line="260" w:lineRule="exact"/>
              <w:jc w:val="left"/>
              <w:rPr>
                <w:rFonts w:ascii="宋体" w:hAnsi="宋体" w:cstheme="minorEastAsia"/>
                <w:color w:val="333333"/>
              </w:rPr>
            </w:pPr>
            <w:r w:rsidRPr="007B6523">
              <w:rPr>
                <w:rFonts w:ascii="宋体" w:hAnsi="宋体" w:cstheme="minorEastAsia" w:hint="eastAsia"/>
                <w:color w:val="333333"/>
              </w:rPr>
              <w:t>质量达标率=（质量达标实际工作数/计划工作数）×100%。实际得分=达标率*8分</w:t>
            </w:r>
          </w:p>
        </w:tc>
      </w:tr>
      <w:tr w:rsidR="00B66FB7" w:rsidRPr="007B6523" w:rsidTr="001167D8">
        <w:trPr>
          <w:trHeight w:val="567"/>
        </w:trPr>
        <w:tc>
          <w:tcPr>
            <w:tcW w:w="547" w:type="dxa"/>
            <w:vMerge/>
            <w:shd w:val="clear" w:color="auto" w:fill="auto"/>
            <w:vAlign w:val="center"/>
          </w:tcPr>
          <w:p w:rsidR="00B66FB7" w:rsidRPr="007B6523" w:rsidRDefault="00B66FB7" w:rsidP="003F5025">
            <w:pPr>
              <w:spacing w:line="260" w:lineRule="exact"/>
              <w:rPr>
                <w:rFonts w:ascii="宋体" w:hAnsi="宋体" w:cstheme="minorEastAsia"/>
              </w:rPr>
            </w:pPr>
          </w:p>
        </w:tc>
        <w:tc>
          <w:tcPr>
            <w:tcW w:w="570" w:type="dxa"/>
            <w:vMerge/>
            <w:shd w:val="clear" w:color="auto" w:fill="auto"/>
            <w:vAlign w:val="center"/>
          </w:tcPr>
          <w:p w:rsidR="00B66FB7" w:rsidRPr="007B6523" w:rsidRDefault="00B66FB7" w:rsidP="003F5025">
            <w:pPr>
              <w:spacing w:line="260" w:lineRule="exact"/>
              <w:rPr>
                <w:rFonts w:ascii="宋体" w:hAnsi="宋体" w:cstheme="minorEastAsia"/>
              </w:rPr>
            </w:pPr>
          </w:p>
        </w:tc>
        <w:tc>
          <w:tcPr>
            <w:tcW w:w="703" w:type="dxa"/>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重点工作</w:t>
            </w:r>
          </w:p>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办结率（10分）</w:t>
            </w:r>
          </w:p>
        </w:tc>
        <w:tc>
          <w:tcPr>
            <w:tcW w:w="530" w:type="dxa"/>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10</w:t>
            </w:r>
          </w:p>
        </w:tc>
        <w:tc>
          <w:tcPr>
            <w:tcW w:w="2892" w:type="dxa"/>
            <w:shd w:val="clear" w:color="auto" w:fill="auto"/>
            <w:tcMar>
              <w:left w:w="10" w:type="dxa"/>
              <w:right w:w="10" w:type="dxa"/>
            </w:tcMar>
            <w:vAlign w:val="center"/>
          </w:tcPr>
          <w:p w:rsidR="00B66FB7" w:rsidRPr="007B6523" w:rsidRDefault="00211D18" w:rsidP="003F5025">
            <w:pPr>
              <w:spacing w:line="260" w:lineRule="exact"/>
              <w:jc w:val="left"/>
              <w:rPr>
                <w:rFonts w:ascii="宋体" w:hAnsi="宋体" w:cstheme="minorEastAsia"/>
                <w:color w:val="333333"/>
              </w:rPr>
            </w:pPr>
            <w:r w:rsidRPr="007B6523">
              <w:rPr>
                <w:rFonts w:ascii="宋体" w:hAnsi="宋体" w:cstheme="minorEastAsia" w:hint="eastAsia"/>
                <w:color w:val="333333"/>
              </w:rPr>
              <w:t>部门年度重点工作实际完成数与交办或下达数的比率，用以反映部门对重点工作的办理落实程度。</w:t>
            </w:r>
          </w:p>
        </w:tc>
        <w:tc>
          <w:tcPr>
            <w:tcW w:w="3721" w:type="dxa"/>
            <w:shd w:val="clear" w:color="auto" w:fill="auto"/>
            <w:tcMar>
              <w:left w:w="10" w:type="dxa"/>
              <w:right w:w="10" w:type="dxa"/>
            </w:tcMar>
            <w:vAlign w:val="center"/>
          </w:tcPr>
          <w:p w:rsidR="00B66FB7" w:rsidRPr="007B6523" w:rsidRDefault="00211D18" w:rsidP="003F5025">
            <w:pPr>
              <w:spacing w:line="260" w:lineRule="exact"/>
              <w:jc w:val="left"/>
              <w:rPr>
                <w:rFonts w:ascii="宋体" w:hAnsi="宋体" w:cstheme="minorEastAsia"/>
                <w:color w:val="333333"/>
              </w:rPr>
            </w:pPr>
            <w:r w:rsidRPr="007B6523">
              <w:rPr>
                <w:rFonts w:ascii="宋体" w:hAnsi="宋体" w:cstheme="minorEastAsia" w:hint="eastAsia"/>
                <w:color w:val="333333"/>
              </w:rPr>
              <w:t>重点工作办结率=（重点工作实际完成数/交办或下达数）×100%。实际得分=办结率*10分</w:t>
            </w:r>
          </w:p>
        </w:tc>
      </w:tr>
      <w:tr w:rsidR="00B66FB7" w:rsidRPr="007B6523" w:rsidTr="001167D8">
        <w:trPr>
          <w:trHeight w:val="567"/>
        </w:trPr>
        <w:tc>
          <w:tcPr>
            <w:tcW w:w="547" w:type="dxa"/>
            <w:vMerge w:val="restart"/>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效   果（20分）</w:t>
            </w:r>
          </w:p>
        </w:tc>
        <w:tc>
          <w:tcPr>
            <w:tcW w:w="570" w:type="dxa"/>
            <w:vMerge w:val="restart"/>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履职</w:t>
            </w:r>
          </w:p>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效益（20分）</w:t>
            </w:r>
          </w:p>
        </w:tc>
        <w:tc>
          <w:tcPr>
            <w:tcW w:w="703" w:type="dxa"/>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经济效益（5分）</w:t>
            </w:r>
          </w:p>
        </w:tc>
        <w:tc>
          <w:tcPr>
            <w:tcW w:w="530" w:type="dxa"/>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4</w:t>
            </w:r>
          </w:p>
        </w:tc>
        <w:tc>
          <w:tcPr>
            <w:tcW w:w="2892" w:type="dxa"/>
            <w:shd w:val="clear" w:color="auto" w:fill="auto"/>
            <w:tcMar>
              <w:left w:w="10" w:type="dxa"/>
              <w:right w:w="10" w:type="dxa"/>
            </w:tcMar>
            <w:vAlign w:val="center"/>
          </w:tcPr>
          <w:p w:rsidR="00B66FB7" w:rsidRPr="007B6523" w:rsidRDefault="00211D18" w:rsidP="003F5025">
            <w:pPr>
              <w:spacing w:line="260" w:lineRule="exact"/>
              <w:jc w:val="left"/>
              <w:rPr>
                <w:rFonts w:ascii="宋体" w:hAnsi="宋体" w:cstheme="minorEastAsia"/>
                <w:color w:val="333333"/>
              </w:rPr>
            </w:pPr>
            <w:r w:rsidRPr="007B6523">
              <w:rPr>
                <w:rFonts w:ascii="宋体" w:hAnsi="宋体" w:cstheme="minorEastAsia" w:hint="eastAsia"/>
                <w:color w:val="333333"/>
              </w:rPr>
              <w:t>部门履行职责对经济发展所带来的直接或间接影响。</w:t>
            </w:r>
          </w:p>
        </w:tc>
        <w:tc>
          <w:tcPr>
            <w:tcW w:w="3721" w:type="dxa"/>
            <w:vMerge w:val="restart"/>
            <w:shd w:val="clear" w:color="auto" w:fill="auto"/>
            <w:tcMar>
              <w:left w:w="10" w:type="dxa"/>
              <w:right w:w="10" w:type="dxa"/>
            </w:tcMar>
            <w:vAlign w:val="center"/>
          </w:tcPr>
          <w:p w:rsidR="00B66FB7" w:rsidRPr="007B6523" w:rsidRDefault="00211D18" w:rsidP="003F5025">
            <w:pPr>
              <w:spacing w:line="260" w:lineRule="exact"/>
              <w:jc w:val="left"/>
              <w:rPr>
                <w:rFonts w:ascii="宋体" w:hAnsi="宋体" w:cstheme="minorEastAsia"/>
                <w:color w:val="333333"/>
              </w:rPr>
            </w:pPr>
            <w:r w:rsidRPr="007B6523">
              <w:rPr>
                <w:rFonts w:ascii="宋体" w:hAnsi="宋体" w:cstheme="minorEastAsia" w:hint="eastAsia"/>
                <w:color w:val="333333"/>
              </w:rPr>
              <w:t>按经济效益实现程度计算得分（5分）；按社会效益实现程度计算得分（5分）；按生态效益实现程度计算得分（5分）</w:t>
            </w:r>
          </w:p>
        </w:tc>
      </w:tr>
      <w:tr w:rsidR="00B66FB7" w:rsidRPr="007B6523" w:rsidTr="001167D8">
        <w:trPr>
          <w:trHeight w:val="567"/>
        </w:trPr>
        <w:tc>
          <w:tcPr>
            <w:tcW w:w="547" w:type="dxa"/>
            <w:vMerge/>
            <w:shd w:val="clear" w:color="auto" w:fill="auto"/>
            <w:vAlign w:val="center"/>
          </w:tcPr>
          <w:p w:rsidR="00B66FB7" w:rsidRPr="007B6523" w:rsidRDefault="00B66FB7" w:rsidP="003F5025">
            <w:pPr>
              <w:spacing w:line="260" w:lineRule="exact"/>
              <w:rPr>
                <w:rFonts w:ascii="宋体" w:hAnsi="宋体" w:cstheme="minorEastAsia"/>
              </w:rPr>
            </w:pPr>
          </w:p>
        </w:tc>
        <w:tc>
          <w:tcPr>
            <w:tcW w:w="570" w:type="dxa"/>
            <w:vMerge/>
            <w:shd w:val="clear" w:color="auto" w:fill="auto"/>
            <w:vAlign w:val="center"/>
          </w:tcPr>
          <w:p w:rsidR="00B66FB7" w:rsidRPr="007B6523" w:rsidRDefault="00B66FB7" w:rsidP="003F5025">
            <w:pPr>
              <w:spacing w:line="260" w:lineRule="exact"/>
              <w:rPr>
                <w:rFonts w:ascii="宋体" w:hAnsi="宋体" w:cstheme="minorEastAsia"/>
              </w:rPr>
            </w:pPr>
          </w:p>
        </w:tc>
        <w:tc>
          <w:tcPr>
            <w:tcW w:w="703" w:type="dxa"/>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社会效益（5分）</w:t>
            </w:r>
          </w:p>
        </w:tc>
        <w:tc>
          <w:tcPr>
            <w:tcW w:w="530" w:type="dxa"/>
            <w:shd w:val="clear" w:color="auto" w:fill="auto"/>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5</w:t>
            </w:r>
          </w:p>
        </w:tc>
        <w:tc>
          <w:tcPr>
            <w:tcW w:w="2892" w:type="dxa"/>
            <w:shd w:val="clear" w:color="auto" w:fill="auto"/>
            <w:tcMar>
              <w:left w:w="10" w:type="dxa"/>
              <w:right w:w="10" w:type="dxa"/>
            </w:tcMar>
            <w:vAlign w:val="center"/>
          </w:tcPr>
          <w:p w:rsidR="00B66FB7" w:rsidRPr="007B6523" w:rsidRDefault="00211D18" w:rsidP="003F5025">
            <w:pPr>
              <w:spacing w:line="260" w:lineRule="exact"/>
              <w:jc w:val="left"/>
              <w:rPr>
                <w:rFonts w:ascii="宋体" w:hAnsi="宋体" w:cstheme="minorEastAsia"/>
                <w:color w:val="333333"/>
              </w:rPr>
            </w:pPr>
            <w:r w:rsidRPr="007B6523">
              <w:rPr>
                <w:rFonts w:ascii="宋体" w:hAnsi="宋体" w:cstheme="minorEastAsia" w:hint="eastAsia"/>
                <w:color w:val="333333"/>
              </w:rPr>
              <w:t>部门履行职责对社会发展所带来的直接或间接影响。</w:t>
            </w:r>
          </w:p>
        </w:tc>
        <w:tc>
          <w:tcPr>
            <w:tcW w:w="3721" w:type="dxa"/>
            <w:vMerge/>
            <w:shd w:val="clear" w:color="auto" w:fill="auto"/>
            <w:vAlign w:val="center"/>
          </w:tcPr>
          <w:p w:rsidR="00B66FB7" w:rsidRPr="007B6523" w:rsidRDefault="00B66FB7" w:rsidP="003F5025">
            <w:pPr>
              <w:spacing w:line="260" w:lineRule="exact"/>
              <w:rPr>
                <w:rFonts w:ascii="宋体" w:hAnsi="宋体" w:cstheme="minorEastAsia"/>
              </w:rPr>
            </w:pPr>
          </w:p>
        </w:tc>
      </w:tr>
      <w:tr w:rsidR="00B66FB7" w:rsidRPr="007B6523" w:rsidTr="001167D8">
        <w:trPr>
          <w:trHeight w:val="567"/>
        </w:trPr>
        <w:tc>
          <w:tcPr>
            <w:tcW w:w="547" w:type="dxa"/>
            <w:vMerge/>
            <w:shd w:val="clear" w:color="auto" w:fill="auto"/>
            <w:vAlign w:val="center"/>
          </w:tcPr>
          <w:p w:rsidR="00B66FB7" w:rsidRPr="007B6523" w:rsidRDefault="00B66FB7" w:rsidP="003F5025">
            <w:pPr>
              <w:spacing w:line="260" w:lineRule="exact"/>
              <w:rPr>
                <w:rFonts w:ascii="宋体" w:hAnsi="宋体" w:cstheme="minorEastAsia"/>
              </w:rPr>
            </w:pPr>
          </w:p>
        </w:tc>
        <w:tc>
          <w:tcPr>
            <w:tcW w:w="570" w:type="dxa"/>
            <w:vMerge/>
            <w:shd w:val="clear" w:color="auto" w:fill="auto"/>
            <w:vAlign w:val="center"/>
          </w:tcPr>
          <w:p w:rsidR="00B66FB7" w:rsidRPr="007B6523" w:rsidRDefault="00B66FB7" w:rsidP="003F5025">
            <w:pPr>
              <w:spacing w:line="260" w:lineRule="exact"/>
              <w:rPr>
                <w:rFonts w:ascii="宋体" w:hAnsi="宋体" w:cstheme="minorEastAsia"/>
              </w:rPr>
            </w:pPr>
          </w:p>
        </w:tc>
        <w:tc>
          <w:tcPr>
            <w:tcW w:w="703" w:type="dxa"/>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生态效益（5分）</w:t>
            </w:r>
          </w:p>
        </w:tc>
        <w:tc>
          <w:tcPr>
            <w:tcW w:w="530" w:type="dxa"/>
            <w:shd w:val="clear" w:color="auto" w:fill="auto"/>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5</w:t>
            </w:r>
          </w:p>
        </w:tc>
        <w:tc>
          <w:tcPr>
            <w:tcW w:w="2892" w:type="dxa"/>
            <w:shd w:val="clear" w:color="auto" w:fill="auto"/>
            <w:tcMar>
              <w:left w:w="10" w:type="dxa"/>
              <w:right w:w="10" w:type="dxa"/>
            </w:tcMar>
            <w:vAlign w:val="center"/>
          </w:tcPr>
          <w:p w:rsidR="00B66FB7" w:rsidRPr="007B6523" w:rsidRDefault="00211D18" w:rsidP="003F5025">
            <w:pPr>
              <w:spacing w:line="260" w:lineRule="exact"/>
              <w:jc w:val="left"/>
              <w:rPr>
                <w:rFonts w:ascii="宋体" w:hAnsi="宋体" w:cstheme="minorEastAsia"/>
                <w:color w:val="333333"/>
              </w:rPr>
            </w:pPr>
            <w:r w:rsidRPr="007B6523">
              <w:rPr>
                <w:rFonts w:ascii="宋体" w:hAnsi="宋体" w:cstheme="minorEastAsia" w:hint="eastAsia"/>
                <w:color w:val="333333"/>
              </w:rPr>
              <w:t>部门履行职责对生态环境所带来的直接或间接影响。</w:t>
            </w:r>
          </w:p>
        </w:tc>
        <w:tc>
          <w:tcPr>
            <w:tcW w:w="3721" w:type="dxa"/>
            <w:vMerge/>
            <w:shd w:val="clear" w:color="auto" w:fill="auto"/>
            <w:vAlign w:val="center"/>
          </w:tcPr>
          <w:p w:rsidR="00B66FB7" w:rsidRPr="007B6523" w:rsidRDefault="00B66FB7" w:rsidP="003F5025">
            <w:pPr>
              <w:spacing w:line="260" w:lineRule="exact"/>
              <w:rPr>
                <w:rFonts w:ascii="宋体" w:hAnsi="宋体" w:cstheme="minorEastAsia"/>
              </w:rPr>
            </w:pPr>
          </w:p>
        </w:tc>
      </w:tr>
      <w:tr w:rsidR="00B66FB7" w:rsidRPr="007B6523" w:rsidTr="001167D8">
        <w:trPr>
          <w:trHeight w:val="1256"/>
        </w:trPr>
        <w:tc>
          <w:tcPr>
            <w:tcW w:w="547" w:type="dxa"/>
            <w:vMerge/>
            <w:shd w:val="clear" w:color="auto" w:fill="auto"/>
            <w:vAlign w:val="center"/>
          </w:tcPr>
          <w:p w:rsidR="00B66FB7" w:rsidRPr="007B6523" w:rsidRDefault="00B66FB7" w:rsidP="003F5025">
            <w:pPr>
              <w:spacing w:line="260" w:lineRule="exact"/>
              <w:rPr>
                <w:rFonts w:ascii="宋体" w:hAnsi="宋体" w:cstheme="minorEastAsia"/>
              </w:rPr>
            </w:pPr>
          </w:p>
        </w:tc>
        <w:tc>
          <w:tcPr>
            <w:tcW w:w="570" w:type="dxa"/>
            <w:vMerge/>
            <w:shd w:val="clear" w:color="auto" w:fill="auto"/>
            <w:vAlign w:val="center"/>
          </w:tcPr>
          <w:p w:rsidR="00B66FB7" w:rsidRPr="007B6523" w:rsidRDefault="00B66FB7" w:rsidP="003F5025">
            <w:pPr>
              <w:spacing w:line="260" w:lineRule="exact"/>
              <w:rPr>
                <w:rFonts w:ascii="宋体" w:hAnsi="宋体" w:cstheme="minorEastAsia"/>
              </w:rPr>
            </w:pPr>
          </w:p>
        </w:tc>
        <w:tc>
          <w:tcPr>
            <w:tcW w:w="703" w:type="dxa"/>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社会公众</w:t>
            </w:r>
          </w:p>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或服务对</w:t>
            </w:r>
          </w:p>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象满意</w:t>
            </w:r>
          </w:p>
        </w:tc>
        <w:tc>
          <w:tcPr>
            <w:tcW w:w="530" w:type="dxa"/>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5</w:t>
            </w:r>
          </w:p>
        </w:tc>
        <w:tc>
          <w:tcPr>
            <w:tcW w:w="2892" w:type="dxa"/>
            <w:shd w:val="clear" w:color="auto" w:fill="auto"/>
            <w:tcMar>
              <w:left w:w="10" w:type="dxa"/>
              <w:right w:w="10" w:type="dxa"/>
            </w:tcMar>
            <w:vAlign w:val="center"/>
          </w:tcPr>
          <w:p w:rsidR="00B66FB7" w:rsidRPr="007B6523" w:rsidRDefault="00211D18" w:rsidP="003F5025">
            <w:pPr>
              <w:spacing w:line="260" w:lineRule="exact"/>
              <w:jc w:val="left"/>
              <w:rPr>
                <w:rFonts w:ascii="宋体" w:hAnsi="宋体" w:cstheme="minorEastAsia"/>
                <w:color w:val="333333"/>
              </w:rPr>
            </w:pPr>
            <w:r w:rsidRPr="007B6523">
              <w:rPr>
                <w:rFonts w:ascii="宋体" w:hAnsi="宋体" w:cstheme="minorEastAsia" w:hint="eastAsia"/>
                <w:color w:val="333333"/>
              </w:rPr>
              <w:t>社会公众或部门的服务对象对部门履职效果的满意程度。</w:t>
            </w:r>
          </w:p>
        </w:tc>
        <w:tc>
          <w:tcPr>
            <w:tcW w:w="3721" w:type="dxa"/>
            <w:shd w:val="clear" w:color="auto" w:fill="auto"/>
            <w:tcMar>
              <w:left w:w="10" w:type="dxa"/>
              <w:right w:w="10" w:type="dxa"/>
            </w:tcMar>
            <w:vAlign w:val="center"/>
          </w:tcPr>
          <w:p w:rsidR="00B66FB7" w:rsidRPr="007B6523" w:rsidRDefault="00211D18" w:rsidP="003F5025">
            <w:pPr>
              <w:spacing w:line="260" w:lineRule="exact"/>
              <w:jc w:val="left"/>
              <w:rPr>
                <w:rFonts w:ascii="宋体" w:hAnsi="宋体" w:cstheme="minorEastAsia"/>
                <w:color w:val="333333"/>
              </w:rPr>
            </w:pPr>
            <w:r w:rsidRPr="007B6523">
              <w:rPr>
                <w:rFonts w:ascii="宋体" w:hAnsi="宋体" w:cstheme="minorEastAsia" w:hint="eastAsia"/>
                <w:color w:val="333333"/>
              </w:rPr>
              <w:t>按收集到的服务对象的满意率计算得分（5分）</w:t>
            </w:r>
          </w:p>
        </w:tc>
      </w:tr>
      <w:tr w:rsidR="00B66FB7" w:rsidRPr="007B6523" w:rsidTr="001167D8">
        <w:trPr>
          <w:trHeight w:val="435"/>
        </w:trPr>
        <w:tc>
          <w:tcPr>
            <w:tcW w:w="547" w:type="dxa"/>
            <w:shd w:val="clear" w:color="auto" w:fill="auto"/>
            <w:vAlign w:val="center"/>
          </w:tcPr>
          <w:p w:rsidR="00B66FB7" w:rsidRPr="007B6523" w:rsidRDefault="00211D18" w:rsidP="003F5025">
            <w:pPr>
              <w:spacing w:line="260" w:lineRule="exact"/>
              <w:ind w:left="113"/>
              <w:jc w:val="center"/>
              <w:rPr>
                <w:rFonts w:ascii="宋体" w:hAnsi="宋体" w:cstheme="minorEastAsia"/>
                <w:color w:val="333333"/>
              </w:rPr>
            </w:pPr>
            <w:r w:rsidRPr="007B6523">
              <w:rPr>
                <w:rFonts w:ascii="宋体" w:hAnsi="宋体" w:cstheme="minorEastAsia" w:hint="eastAsia"/>
                <w:color w:val="333333"/>
              </w:rPr>
              <w:t xml:space="preserve">总计 </w:t>
            </w:r>
          </w:p>
        </w:tc>
        <w:tc>
          <w:tcPr>
            <w:tcW w:w="570" w:type="dxa"/>
            <w:shd w:val="clear" w:color="auto" w:fill="auto"/>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 xml:space="preserve"> </w:t>
            </w:r>
          </w:p>
        </w:tc>
        <w:tc>
          <w:tcPr>
            <w:tcW w:w="703" w:type="dxa"/>
            <w:shd w:val="clear" w:color="auto" w:fill="auto"/>
            <w:tcMar>
              <w:left w:w="10" w:type="dxa"/>
              <w:right w:w="10" w:type="dxa"/>
            </w:tcMar>
            <w:vAlign w:val="center"/>
          </w:tcPr>
          <w:p w:rsidR="00B66FB7" w:rsidRPr="007B6523" w:rsidRDefault="00B66FB7" w:rsidP="003F5025">
            <w:pPr>
              <w:spacing w:line="260" w:lineRule="exact"/>
              <w:jc w:val="left"/>
              <w:rPr>
                <w:rFonts w:ascii="宋体" w:hAnsi="宋体" w:cstheme="minorEastAsia"/>
                <w:color w:val="333333"/>
              </w:rPr>
            </w:pPr>
          </w:p>
        </w:tc>
        <w:tc>
          <w:tcPr>
            <w:tcW w:w="530" w:type="dxa"/>
            <w:shd w:val="clear" w:color="auto" w:fill="auto"/>
            <w:tcMar>
              <w:left w:w="10" w:type="dxa"/>
              <w:right w:w="10" w:type="dxa"/>
            </w:tcMar>
            <w:vAlign w:val="center"/>
          </w:tcPr>
          <w:p w:rsidR="00B66FB7" w:rsidRPr="007B6523" w:rsidRDefault="00211D18" w:rsidP="003F5025">
            <w:pPr>
              <w:spacing w:line="260" w:lineRule="exact"/>
              <w:jc w:val="center"/>
              <w:rPr>
                <w:rFonts w:ascii="宋体" w:hAnsi="宋体" w:cstheme="minorEastAsia"/>
                <w:color w:val="333333"/>
              </w:rPr>
            </w:pPr>
            <w:r w:rsidRPr="007B6523">
              <w:rPr>
                <w:rFonts w:ascii="宋体" w:hAnsi="宋体" w:cstheme="minorEastAsia" w:hint="eastAsia"/>
                <w:color w:val="333333"/>
              </w:rPr>
              <w:t>93.5</w:t>
            </w:r>
          </w:p>
        </w:tc>
        <w:tc>
          <w:tcPr>
            <w:tcW w:w="2892" w:type="dxa"/>
            <w:shd w:val="clear" w:color="auto" w:fill="auto"/>
            <w:tcMar>
              <w:left w:w="10" w:type="dxa"/>
              <w:right w:w="10" w:type="dxa"/>
            </w:tcMar>
            <w:vAlign w:val="center"/>
          </w:tcPr>
          <w:p w:rsidR="00B66FB7" w:rsidRPr="007B6523" w:rsidRDefault="00211D18" w:rsidP="003F5025">
            <w:pPr>
              <w:spacing w:line="260" w:lineRule="exact"/>
              <w:jc w:val="left"/>
              <w:rPr>
                <w:rFonts w:ascii="宋体" w:hAnsi="宋体" w:cstheme="minorEastAsia"/>
                <w:color w:val="333333"/>
              </w:rPr>
            </w:pPr>
            <w:r w:rsidRPr="007B6523">
              <w:rPr>
                <w:rFonts w:ascii="宋体" w:hAnsi="宋体" w:cstheme="minorEastAsia" w:hint="eastAsia"/>
                <w:color w:val="333333"/>
              </w:rPr>
              <w:t xml:space="preserve"> </w:t>
            </w:r>
          </w:p>
        </w:tc>
        <w:tc>
          <w:tcPr>
            <w:tcW w:w="3721" w:type="dxa"/>
            <w:shd w:val="clear" w:color="auto" w:fill="auto"/>
            <w:tcMar>
              <w:left w:w="10" w:type="dxa"/>
              <w:right w:w="10" w:type="dxa"/>
            </w:tcMar>
            <w:vAlign w:val="center"/>
          </w:tcPr>
          <w:p w:rsidR="00B66FB7" w:rsidRPr="007B6523" w:rsidRDefault="00211D18" w:rsidP="003F5025">
            <w:pPr>
              <w:spacing w:line="260" w:lineRule="exact"/>
              <w:jc w:val="left"/>
              <w:rPr>
                <w:rFonts w:ascii="宋体" w:hAnsi="宋体" w:cstheme="minorEastAsia"/>
                <w:color w:val="333333"/>
              </w:rPr>
            </w:pPr>
            <w:r w:rsidRPr="007B6523">
              <w:rPr>
                <w:rFonts w:ascii="宋体" w:hAnsi="宋体" w:cstheme="minorEastAsia" w:hint="eastAsia"/>
                <w:color w:val="333333"/>
              </w:rPr>
              <w:t xml:space="preserve"> </w:t>
            </w:r>
          </w:p>
        </w:tc>
      </w:tr>
    </w:tbl>
    <w:p w:rsidR="00B66FB7" w:rsidRDefault="00211D18">
      <w:pPr>
        <w:shd w:val="clear" w:color="auto" w:fill="FFFFFF"/>
        <w:wordWrap w:val="0"/>
        <w:spacing w:line="600" w:lineRule="atLeast"/>
        <w:jc w:val="left"/>
        <w:rPr>
          <w:rFonts w:asciiTheme="minorEastAsia" w:eastAsiaTheme="minorEastAsia" w:hAnsiTheme="minorEastAsia" w:cstheme="minorEastAsia"/>
          <w:color w:val="333333"/>
          <w:sz w:val="24"/>
          <w:szCs w:val="24"/>
        </w:rPr>
      </w:pPr>
      <w:r>
        <w:rPr>
          <w:rFonts w:asciiTheme="minorEastAsia" w:eastAsiaTheme="minorEastAsia" w:hAnsiTheme="minorEastAsia" w:cstheme="minorEastAsia" w:hint="eastAsia"/>
          <w:color w:val="333333"/>
          <w:sz w:val="24"/>
          <w:szCs w:val="24"/>
        </w:rPr>
        <w:t xml:space="preserve"> </w:t>
      </w:r>
    </w:p>
    <w:p w:rsidR="00B66FB7" w:rsidRDefault="00B66FB7">
      <w:pPr>
        <w:shd w:val="clear" w:color="auto" w:fill="FFFFFF"/>
        <w:wordWrap w:val="0"/>
        <w:spacing w:line="528" w:lineRule="auto"/>
        <w:jc w:val="center"/>
        <w:rPr>
          <w:rFonts w:asciiTheme="minorEastAsia" w:eastAsiaTheme="minorEastAsia" w:hAnsiTheme="minorEastAsia" w:cstheme="minorEastAsia"/>
          <w:sz w:val="24"/>
          <w:szCs w:val="24"/>
        </w:rPr>
      </w:pPr>
    </w:p>
    <w:p w:rsidR="00B66FB7" w:rsidRDefault="00B66FB7">
      <w:pPr>
        <w:wordWrap w:val="0"/>
        <w:jc w:val="center"/>
        <w:rPr>
          <w:rFonts w:asciiTheme="minorEastAsia" w:eastAsiaTheme="minorEastAsia" w:hAnsiTheme="minorEastAsia" w:cstheme="minorEastAsia"/>
          <w:sz w:val="24"/>
          <w:szCs w:val="24"/>
        </w:rPr>
      </w:pPr>
    </w:p>
    <w:sectPr w:rsidR="00B66FB7" w:rsidSect="00D834F1">
      <w:footerReference w:type="default" r:id="rId7"/>
      <w:pgSz w:w="11906" w:h="16838" w:code="9"/>
      <w:pgMar w:top="2098" w:right="1474" w:bottom="1985" w:left="1588" w:header="709" w:footer="1701" w:gutter="0"/>
      <w:cols w:space="720"/>
      <w:docGrid w:linePitch="36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D8F" w:rsidRDefault="00D12D8F" w:rsidP="00D834F1">
      <w:r>
        <w:separator/>
      </w:r>
    </w:p>
  </w:endnote>
  <w:endnote w:type="continuationSeparator" w:id="0">
    <w:p w:rsidR="00D12D8F" w:rsidRDefault="00D12D8F" w:rsidP="00D83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1"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黑体">
    <w:altName w:val="黑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9077215"/>
      <w:docPartObj>
        <w:docPartGallery w:val="Page Numbers (Bottom of Page)"/>
        <w:docPartUnique/>
      </w:docPartObj>
    </w:sdtPr>
    <w:sdtContent>
      <w:p w:rsidR="00D834F1" w:rsidRDefault="00D834F1">
        <w:pPr>
          <w:pStyle w:val="a3"/>
          <w:jc w:val="center"/>
        </w:pPr>
        <w:r>
          <w:fldChar w:fldCharType="begin"/>
        </w:r>
        <w:r>
          <w:instrText>PAGE   \* MERGEFORMAT</w:instrText>
        </w:r>
        <w:r>
          <w:fldChar w:fldCharType="separate"/>
        </w:r>
        <w:r w:rsidR="003F5025" w:rsidRPr="003F5025">
          <w:rPr>
            <w:noProof/>
            <w:lang w:val="zh-CN"/>
          </w:rPr>
          <w:t>30</w:t>
        </w:r>
        <w:r>
          <w:fldChar w:fldCharType="end"/>
        </w:r>
      </w:p>
    </w:sdtContent>
  </w:sdt>
  <w:p w:rsidR="00D834F1" w:rsidRDefault="00D834F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D8F" w:rsidRDefault="00D12D8F" w:rsidP="00D834F1">
      <w:r>
        <w:separator/>
      </w:r>
    </w:p>
  </w:footnote>
  <w:footnote w:type="continuationSeparator" w:id="0">
    <w:p w:rsidR="00D12D8F" w:rsidRDefault="00D12D8F" w:rsidP="00D834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rawingGridHorizontalSpacing w:val="120"/>
  <w:drawingGridVerticalSpacing w:val="156"/>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useFELayout/>
    <w:compatSetting w:name="compatibilityMode" w:uri="http://schemas.microsoft.com/office/word" w:val="12"/>
  </w:compat>
  <w:rsids>
    <w:rsidRoot w:val="00B66FB7"/>
    <w:rsid w:val="001167D8"/>
    <w:rsid w:val="00211D18"/>
    <w:rsid w:val="003F5025"/>
    <w:rsid w:val="00405402"/>
    <w:rsid w:val="007B39F0"/>
    <w:rsid w:val="007B6523"/>
    <w:rsid w:val="00B13490"/>
    <w:rsid w:val="00B66FB7"/>
    <w:rsid w:val="00B96A52"/>
    <w:rsid w:val="00CA3549"/>
    <w:rsid w:val="00D12D8F"/>
    <w:rsid w:val="00D834F1"/>
    <w:rsid w:val="00F23C11"/>
    <w:rsid w:val="379E4401"/>
    <w:rsid w:val="39006347"/>
    <w:rsid w:val="44EA6915"/>
    <w:rsid w:val="4C5F4364"/>
    <w:rsid w:val="5EED767A"/>
    <w:rsid w:val="65A45BC5"/>
    <w:rsid w:val="7042712D"/>
    <w:rsid w:val="71A81317"/>
    <w:rsid w:val="782E4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271ED"/>
  <w15:docId w15:val="{D10B2F49-E9B7-4391-8375-154D512E5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37"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6FB7"/>
    <w:pPr>
      <w:jc w:val="both"/>
    </w:pPr>
    <w:rPr>
      <w:sz w:val="21"/>
      <w:szCs w:val="21"/>
    </w:rPr>
  </w:style>
  <w:style w:type="paragraph" w:styleId="1">
    <w:name w:val="heading 1"/>
    <w:next w:val="a"/>
    <w:qFormat/>
    <w:rsid w:val="00B66FB7"/>
    <w:pPr>
      <w:jc w:val="both"/>
      <w:outlineLvl w:val="0"/>
    </w:pPr>
    <w:rPr>
      <w:sz w:val="28"/>
      <w:szCs w:val="28"/>
    </w:rPr>
  </w:style>
  <w:style w:type="paragraph" w:styleId="2">
    <w:name w:val="heading 2"/>
    <w:next w:val="a"/>
    <w:qFormat/>
    <w:rsid w:val="00B66FB7"/>
    <w:pPr>
      <w:jc w:val="both"/>
      <w:outlineLvl w:val="1"/>
    </w:pPr>
    <w:rPr>
      <w:sz w:val="21"/>
      <w:szCs w:val="21"/>
    </w:rPr>
  </w:style>
  <w:style w:type="paragraph" w:styleId="3">
    <w:name w:val="heading 3"/>
    <w:next w:val="a"/>
    <w:rsid w:val="00B66FB7"/>
    <w:pPr>
      <w:ind w:left="1000" w:hanging="400"/>
      <w:jc w:val="both"/>
      <w:outlineLvl w:val="2"/>
    </w:pPr>
    <w:rPr>
      <w:sz w:val="21"/>
      <w:szCs w:val="21"/>
    </w:rPr>
  </w:style>
  <w:style w:type="paragraph" w:styleId="4">
    <w:name w:val="heading 4"/>
    <w:next w:val="a"/>
    <w:qFormat/>
    <w:rsid w:val="00B66FB7"/>
    <w:pPr>
      <w:ind w:left="1200" w:hanging="400"/>
      <w:jc w:val="both"/>
      <w:outlineLvl w:val="3"/>
    </w:pPr>
    <w:rPr>
      <w:b/>
      <w:sz w:val="21"/>
      <w:szCs w:val="21"/>
    </w:rPr>
  </w:style>
  <w:style w:type="paragraph" w:styleId="5">
    <w:name w:val="heading 5"/>
    <w:next w:val="a"/>
    <w:qFormat/>
    <w:rsid w:val="00B66FB7"/>
    <w:pPr>
      <w:ind w:left="1400" w:hanging="400"/>
      <w:jc w:val="both"/>
      <w:outlineLvl w:val="4"/>
    </w:pPr>
    <w:rPr>
      <w:sz w:val="21"/>
      <w:szCs w:val="21"/>
    </w:rPr>
  </w:style>
  <w:style w:type="paragraph" w:styleId="6">
    <w:name w:val="heading 6"/>
    <w:next w:val="a"/>
    <w:qFormat/>
    <w:rsid w:val="00B66FB7"/>
    <w:pPr>
      <w:ind w:left="1600" w:hanging="400"/>
      <w:jc w:val="both"/>
      <w:outlineLvl w:val="5"/>
    </w:pPr>
    <w:rPr>
      <w:b/>
      <w:sz w:val="21"/>
      <w:szCs w:val="21"/>
    </w:rPr>
  </w:style>
  <w:style w:type="paragraph" w:styleId="7">
    <w:name w:val="heading 7"/>
    <w:next w:val="a"/>
    <w:qFormat/>
    <w:rsid w:val="00B66FB7"/>
    <w:pPr>
      <w:ind w:left="1800" w:hanging="400"/>
      <w:jc w:val="both"/>
      <w:outlineLvl w:val="6"/>
    </w:pPr>
    <w:rPr>
      <w:sz w:val="21"/>
      <w:szCs w:val="21"/>
    </w:rPr>
  </w:style>
  <w:style w:type="paragraph" w:styleId="8">
    <w:name w:val="heading 8"/>
    <w:next w:val="a"/>
    <w:qFormat/>
    <w:rsid w:val="00B66FB7"/>
    <w:pPr>
      <w:ind w:left="2000" w:hanging="400"/>
      <w:jc w:val="both"/>
      <w:outlineLvl w:val="7"/>
    </w:pPr>
    <w:rPr>
      <w:sz w:val="21"/>
      <w:szCs w:val="21"/>
    </w:rPr>
  </w:style>
  <w:style w:type="paragraph" w:styleId="9">
    <w:name w:val="heading 9"/>
    <w:next w:val="a"/>
    <w:qFormat/>
    <w:rsid w:val="00B66FB7"/>
    <w:pPr>
      <w:ind w:left="2200" w:hanging="400"/>
      <w:jc w:val="both"/>
      <w:outlineLvl w:val="8"/>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next w:val="a"/>
    <w:qFormat/>
    <w:rsid w:val="00B66FB7"/>
    <w:pPr>
      <w:ind w:left="2550"/>
      <w:jc w:val="both"/>
    </w:pPr>
    <w:rPr>
      <w:sz w:val="21"/>
      <w:szCs w:val="21"/>
    </w:rPr>
  </w:style>
  <w:style w:type="paragraph" w:styleId="50">
    <w:name w:val="toc 5"/>
    <w:next w:val="a"/>
    <w:qFormat/>
    <w:rsid w:val="00B66FB7"/>
    <w:pPr>
      <w:ind w:left="1700"/>
      <w:jc w:val="both"/>
    </w:pPr>
    <w:rPr>
      <w:sz w:val="21"/>
      <w:szCs w:val="21"/>
    </w:rPr>
  </w:style>
  <w:style w:type="paragraph" w:styleId="30">
    <w:name w:val="toc 3"/>
    <w:next w:val="a"/>
    <w:qFormat/>
    <w:rsid w:val="00B66FB7"/>
    <w:pPr>
      <w:ind w:left="850"/>
      <w:jc w:val="both"/>
    </w:pPr>
    <w:rPr>
      <w:sz w:val="21"/>
      <w:szCs w:val="21"/>
    </w:rPr>
  </w:style>
  <w:style w:type="paragraph" w:styleId="80">
    <w:name w:val="toc 8"/>
    <w:next w:val="a"/>
    <w:qFormat/>
    <w:rsid w:val="00B66FB7"/>
    <w:pPr>
      <w:ind w:left="2975"/>
      <w:jc w:val="both"/>
    </w:pPr>
    <w:rPr>
      <w:sz w:val="21"/>
      <w:szCs w:val="21"/>
    </w:rPr>
  </w:style>
  <w:style w:type="paragraph" w:styleId="a3">
    <w:name w:val="footer"/>
    <w:basedOn w:val="a"/>
    <w:link w:val="a4"/>
    <w:uiPriority w:val="99"/>
    <w:qFormat/>
    <w:rsid w:val="00B66FB7"/>
    <w:pPr>
      <w:tabs>
        <w:tab w:val="center" w:pos="4153"/>
        <w:tab w:val="right" w:pos="8306"/>
      </w:tabs>
    </w:pPr>
    <w:rPr>
      <w:sz w:val="18"/>
      <w:szCs w:val="18"/>
    </w:rPr>
  </w:style>
  <w:style w:type="paragraph" w:styleId="a5">
    <w:name w:val="header"/>
    <w:basedOn w:val="a"/>
    <w:qFormat/>
    <w:rsid w:val="00B66FB7"/>
    <w:pPr>
      <w:tabs>
        <w:tab w:val="center" w:pos="4153"/>
        <w:tab w:val="right" w:pos="8306"/>
      </w:tabs>
      <w:jc w:val="center"/>
    </w:pPr>
    <w:rPr>
      <w:sz w:val="18"/>
      <w:szCs w:val="18"/>
    </w:rPr>
  </w:style>
  <w:style w:type="paragraph" w:styleId="10">
    <w:name w:val="toc 1"/>
    <w:next w:val="a"/>
    <w:qFormat/>
    <w:rsid w:val="00B66FB7"/>
    <w:pPr>
      <w:jc w:val="both"/>
    </w:pPr>
    <w:rPr>
      <w:sz w:val="21"/>
      <w:szCs w:val="21"/>
    </w:rPr>
  </w:style>
  <w:style w:type="paragraph" w:styleId="40">
    <w:name w:val="toc 4"/>
    <w:next w:val="a"/>
    <w:qFormat/>
    <w:rsid w:val="00B66FB7"/>
    <w:pPr>
      <w:ind w:left="1275"/>
      <w:jc w:val="both"/>
    </w:pPr>
    <w:rPr>
      <w:sz w:val="21"/>
      <w:szCs w:val="21"/>
    </w:rPr>
  </w:style>
  <w:style w:type="paragraph" w:styleId="a6">
    <w:name w:val="Subtitle"/>
    <w:qFormat/>
    <w:rsid w:val="00B66FB7"/>
    <w:pPr>
      <w:jc w:val="center"/>
    </w:pPr>
    <w:rPr>
      <w:sz w:val="24"/>
      <w:szCs w:val="24"/>
    </w:rPr>
  </w:style>
  <w:style w:type="paragraph" w:styleId="60">
    <w:name w:val="toc 6"/>
    <w:next w:val="a"/>
    <w:qFormat/>
    <w:rsid w:val="00B66FB7"/>
    <w:pPr>
      <w:ind w:left="2125"/>
      <w:jc w:val="both"/>
    </w:pPr>
    <w:rPr>
      <w:sz w:val="21"/>
      <w:szCs w:val="21"/>
    </w:rPr>
  </w:style>
  <w:style w:type="paragraph" w:styleId="20">
    <w:name w:val="toc 2"/>
    <w:next w:val="a"/>
    <w:qFormat/>
    <w:rsid w:val="00B66FB7"/>
    <w:pPr>
      <w:ind w:left="425"/>
      <w:jc w:val="both"/>
    </w:pPr>
    <w:rPr>
      <w:sz w:val="21"/>
      <w:szCs w:val="21"/>
    </w:rPr>
  </w:style>
  <w:style w:type="paragraph" w:styleId="90">
    <w:name w:val="toc 9"/>
    <w:next w:val="a"/>
    <w:qFormat/>
    <w:rsid w:val="00B66FB7"/>
    <w:pPr>
      <w:ind w:left="3400"/>
      <w:jc w:val="both"/>
    </w:pPr>
    <w:rPr>
      <w:sz w:val="21"/>
      <w:szCs w:val="21"/>
    </w:rPr>
  </w:style>
  <w:style w:type="paragraph" w:styleId="a7">
    <w:name w:val="Title"/>
    <w:qFormat/>
    <w:rsid w:val="00B66FB7"/>
    <w:pPr>
      <w:jc w:val="center"/>
    </w:pPr>
    <w:rPr>
      <w:b/>
      <w:sz w:val="32"/>
      <w:szCs w:val="32"/>
    </w:rPr>
  </w:style>
  <w:style w:type="character" w:styleId="a8">
    <w:name w:val="Strong"/>
    <w:qFormat/>
    <w:rsid w:val="00B66FB7"/>
    <w:rPr>
      <w:b/>
      <w:w w:val="100"/>
      <w:sz w:val="21"/>
      <w:szCs w:val="21"/>
      <w:shd w:val="clear" w:color="auto" w:fill="auto"/>
    </w:rPr>
  </w:style>
  <w:style w:type="character" w:styleId="a9">
    <w:name w:val="Emphasis"/>
    <w:qFormat/>
    <w:rsid w:val="00B66FB7"/>
    <w:rPr>
      <w:i/>
      <w:w w:val="100"/>
      <w:sz w:val="21"/>
      <w:szCs w:val="21"/>
      <w:shd w:val="clear" w:color="auto" w:fill="auto"/>
    </w:rPr>
  </w:style>
  <w:style w:type="paragraph" w:styleId="aa">
    <w:name w:val="No Spacing"/>
    <w:qFormat/>
    <w:rsid w:val="00B66FB7"/>
    <w:pPr>
      <w:jc w:val="both"/>
    </w:pPr>
    <w:rPr>
      <w:sz w:val="21"/>
      <w:szCs w:val="21"/>
    </w:rPr>
  </w:style>
  <w:style w:type="character" w:customStyle="1" w:styleId="11">
    <w:name w:val="不明显强调1"/>
    <w:qFormat/>
    <w:rsid w:val="00B66FB7"/>
    <w:rPr>
      <w:i/>
      <w:color w:val="404040"/>
      <w:w w:val="100"/>
      <w:sz w:val="21"/>
      <w:szCs w:val="21"/>
      <w:shd w:val="clear" w:color="auto" w:fill="auto"/>
    </w:rPr>
  </w:style>
  <w:style w:type="character" w:customStyle="1" w:styleId="12">
    <w:name w:val="明显强调1"/>
    <w:qFormat/>
    <w:rsid w:val="00B66FB7"/>
    <w:rPr>
      <w:i/>
      <w:color w:val="5B9BD5"/>
      <w:w w:val="100"/>
      <w:sz w:val="21"/>
      <w:szCs w:val="21"/>
      <w:shd w:val="clear" w:color="auto" w:fill="auto"/>
    </w:rPr>
  </w:style>
  <w:style w:type="paragraph" w:styleId="ab">
    <w:name w:val="Quote"/>
    <w:rsid w:val="00B66FB7"/>
    <w:pPr>
      <w:ind w:left="864" w:right="864"/>
      <w:jc w:val="center"/>
    </w:pPr>
    <w:rPr>
      <w:i/>
      <w:color w:val="404040"/>
      <w:sz w:val="21"/>
      <w:szCs w:val="21"/>
    </w:rPr>
  </w:style>
  <w:style w:type="paragraph" w:styleId="ac">
    <w:name w:val="Intense Quote"/>
    <w:rsid w:val="00B66FB7"/>
    <w:pPr>
      <w:ind w:left="950" w:right="950"/>
      <w:jc w:val="center"/>
    </w:pPr>
    <w:rPr>
      <w:i/>
      <w:color w:val="5B9BD5"/>
      <w:sz w:val="21"/>
      <w:szCs w:val="21"/>
    </w:rPr>
  </w:style>
  <w:style w:type="character" w:customStyle="1" w:styleId="13">
    <w:name w:val="不明显参考1"/>
    <w:rsid w:val="00B66FB7"/>
    <w:rPr>
      <w:smallCaps/>
      <w:color w:val="5A5A5A"/>
      <w:w w:val="100"/>
      <w:sz w:val="21"/>
      <w:szCs w:val="21"/>
      <w:shd w:val="clear" w:color="auto" w:fill="auto"/>
    </w:rPr>
  </w:style>
  <w:style w:type="character" w:customStyle="1" w:styleId="14">
    <w:name w:val="明显参考1"/>
    <w:qFormat/>
    <w:rsid w:val="00B66FB7"/>
    <w:rPr>
      <w:b/>
      <w:smallCaps/>
      <w:color w:val="5B9BD5"/>
      <w:w w:val="100"/>
      <w:sz w:val="21"/>
      <w:szCs w:val="21"/>
      <w:shd w:val="clear" w:color="auto" w:fill="auto"/>
    </w:rPr>
  </w:style>
  <w:style w:type="character" w:customStyle="1" w:styleId="15">
    <w:name w:val="书籍标题1"/>
    <w:qFormat/>
    <w:rsid w:val="00B66FB7"/>
    <w:rPr>
      <w:b/>
      <w:i/>
      <w:w w:val="100"/>
      <w:sz w:val="21"/>
      <w:szCs w:val="21"/>
      <w:shd w:val="clear" w:color="auto" w:fill="auto"/>
    </w:rPr>
  </w:style>
  <w:style w:type="paragraph" w:styleId="ad">
    <w:name w:val="List Paragraph"/>
    <w:qFormat/>
    <w:rsid w:val="00B66FB7"/>
    <w:pPr>
      <w:ind w:left="850"/>
      <w:jc w:val="both"/>
    </w:pPr>
    <w:rPr>
      <w:sz w:val="21"/>
      <w:szCs w:val="21"/>
    </w:rPr>
  </w:style>
  <w:style w:type="paragraph" w:customStyle="1" w:styleId="TOC1">
    <w:name w:val="TOC 标题1"/>
    <w:qFormat/>
    <w:rsid w:val="00B66FB7"/>
    <w:pPr>
      <w:jc w:val="both"/>
    </w:pPr>
    <w:rPr>
      <w:color w:val="2E74B5"/>
      <w:sz w:val="32"/>
      <w:szCs w:val="32"/>
    </w:rPr>
  </w:style>
  <w:style w:type="paragraph" w:customStyle="1" w:styleId="Default">
    <w:name w:val="Default"/>
    <w:qFormat/>
    <w:rsid w:val="00B66FB7"/>
    <w:pPr>
      <w:widowControl w:val="0"/>
      <w:autoSpaceDE w:val="0"/>
      <w:autoSpaceDN w:val="0"/>
      <w:adjustRightInd w:val="0"/>
    </w:pPr>
    <w:rPr>
      <w:rFonts w:ascii="黑体" w:eastAsia="黑体" w:cs="黑体"/>
      <w:color w:val="000000"/>
      <w:sz w:val="24"/>
      <w:szCs w:val="24"/>
    </w:rPr>
  </w:style>
  <w:style w:type="character" w:customStyle="1" w:styleId="a4">
    <w:name w:val="页脚 字符"/>
    <w:basedOn w:val="a0"/>
    <w:link w:val="a3"/>
    <w:uiPriority w:val="99"/>
    <w:rsid w:val="00D834F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30</Pages>
  <Words>2451</Words>
  <Characters>13974</Characters>
  <Application>Microsoft Office Word</Application>
  <DocSecurity>0</DocSecurity>
  <Lines>116</Lines>
  <Paragraphs>32</Paragraphs>
  <ScaleCrop>false</ScaleCrop>
  <Company/>
  <LinksUpToDate>false</LinksUpToDate>
  <CharactersWithSpaces>16393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cp:revision>
  <dcterms:created xsi:type="dcterms:W3CDTF">2022-04-19T01:08:00Z</dcterms:created>
  <dcterms:modified xsi:type="dcterms:W3CDTF">2022-05-29T05:24:00Z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2360248CC753463AAFA4612FD0673196</vt:lpwstr>
  </property>
</Properties>
</file>