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A5" w:rsidRDefault="00D753A5" w:rsidP="00D753A5">
      <w:pPr>
        <w:spacing w:line="560" w:lineRule="exact"/>
        <w:rPr>
          <w:rFonts w:ascii="仿宋_GB2312" w:eastAsia="仿宋_GB2312" w:hint="default"/>
          <w:sz w:val="32"/>
          <w:szCs w:val="32"/>
          <w:highlight w:val="white"/>
        </w:rPr>
      </w:pPr>
    </w:p>
    <w:p w:rsidR="00FD5C40" w:rsidRPr="00D753A5" w:rsidRDefault="0015160C" w:rsidP="00D753A5">
      <w:pPr>
        <w:spacing w:line="560" w:lineRule="exact"/>
        <w:jc w:val="center"/>
        <w:rPr>
          <w:rFonts w:ascii="方正小标宋简体" w:eastAsia="方正小标宋简体" w:hint="default"/>
          <w:sz w:val="42"/>
          <w:szCs w:val="42"/>
          <w:highlight w:val="white"/>
        </w:rPr>
      </w:pPr>
      <w:r w:rsidRPr="00D753A5">
        <w:rPr>
          <w:rFonts w:ascii="方正小标宋简体" w:eastAsia="方正小标宋简体"/>
          <w:sz w:val="42"/>
          <w:szCs w:val="42"/>
          <w:highlight w:val="white"/>
        </w:rPr>
        <w:t>2020年度益阳市衡龙桥镇人民政府部门决算</w:t>
      </w:r>
    </w:p>
    <w:p w:rsidR="00D753A5" w:rsidRDefault="00D753A5" w:rsidP="00D753A5">
      <w:pPr>
        <w:spacing w:line="560" w:lineRule="exact"/>
        <w:rPr>
          <w:rFonts w:ascii="仿宋_GB2312" w:eastAsia="仿宋_GB2312" w:hint="default"/>
          <w:sz w:val="32"/>
          <w:szCs w:val="32"/>
          <w:highlight w:val="white"/>
        </w:rPr>
      </w:pPr>
    </w:p>
    <w:p w:rsidR="00FD5C40" w:rsidRPr="00D753A5" w:rsidRDefault="0015160C" w:rsidP="00D753A5">
      <w:pPr>
        <w:spacing w:line="560" w:lineRule="exact"/>
        <w:jc w:val="center"/>
        <w:rPr>
          <w:rFonts w:ascii="黑体" w:eastAsia="黑体" w:hAnsi="黑体" w:hint="default"/>
          <w:sz w:val="32"/>
          <w:szCs w:val="32"/>
          <w:highlight w:val="white"/>
        </w:rPr>
      </w:pPr>
      <w:r w:rsidRPr="00D753A5">
        <w:rPr>
          <w:rFonts w:ascii="黑体" w:eastAsia="黑体" w:hAnsi="黑体"/>
          <w:sz w:val="32"/>
          <w:szCs w:val="32"/>
          <w:highlight w:val="white"/>
        </w:rPr>
        <w:t>目</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录</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第一部分</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益阳市衡龙桥镇人民政府概况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一、部门职责</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二、机构设置</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第二部分</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益阳市衡龙桥镇人民政府2020年度部门决算表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一、收入支出决算总表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二、收入决算表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三、支出决算表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四、财政拨款收入支出决算总表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五、一般公共预算财政拨款支出决算表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六、一般公共预算财政拨款基本支出决算表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七、一般公共预算财政拨款“三公”经费支出决算表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八、政府性基金预算财政拨款收入支出决算表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九、国有资本经营预算财政拨款支出决算表</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第三部分</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益阳市衡龙桥镇人民政府2020年度部门决算情况说明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一、收入支出决算总体情况说明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二、收入决算情况说明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三、支出决算情况说明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四、财政拨款收入支出决算总体情况说明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五、一般公共预算财政拨款支出决算情况说明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六、一般公共预算财政拨款基本支出决算情况说明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七、一般公共预算财政拨款三公经费支出决算情况说明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八、政府性基金预算收入支出决算情况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九、国有资本经营预算财政拨款支出决算情况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十、关于机关运行经费支出说明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十一、一般性支出情况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十二、关于政府采购支出说明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十三、关于国有资产占用情况说明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十四、关于2020年度预算绩效情况的说明</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第四部分</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名词解释</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第五部分</w:t>
      </w:r>
      <w:r w:rsidR="00D753A5">
        <w:rPr>
          <w:rFonts w:ascii="黑体" w:eastAsia="黑体" w:hAnsi="黑体"/>
          <w:sz w:val="32"/>
          <w:szCs w:val="32"/>
          <w:highlight w:val="white"/>
        </w:rPr>
        <w:t xml:space="preserve">  </w:t>
      </w:r>
      <w:r w:rsidRPr="00D753A5">
        <w:rPr>
          <w:rFonts w:ascii="黑体" w:eastAsia="黑体" w:hAnsi="黑体"/>
          <w:sz w:val="32"/>
          <w:szCs w:val="32"/>
          <w:highlight w:val="white"/>
        </w:rPr>
        <w:t>附件</w:t>
      </w:r>
    </w:p>
    <w:p w:rsidR="00FD5C40" w:rsidRPr="00D753A5" w:rsidRDefault="00FD5C40" w:rsidP="00D753A5">
      <w:pPr>
        <w:spacing w:line="560" w:lineRule="exact"/>
        <w:ind w:firstLineChars="200" w:firstLine="640"/>
        <w:rPr>
          <w:rFonts w:ascii="仿宋_GB2312" w:eastAsia="仿宋_GB2312" w:hint="default"/>
          <w:sz w:val="32"/>
          <w:szCs w:val="32"/>
          <w:highlight w:val="white"/>
        </w:rPr>
      </w:pPr>
    </w:p>
    <w:p w:rsidR="009C086F" w:rsidRDefault="009C086F">
      <w:pPr>
        <w:widowControl/>
        <w:jc w:val="left"/>
        <w:rPr>
          <w:rFonts w:ascii="黑体" w:eastAsia="黑体" w:hAnsi="黑体" w:hint="default"/>
          <w:sz w:val="32"/>
          <w:szCs w:val="32"/>
          <w:highlight w:val="white"/>
        </w:rPr>
      </w:pPr>
      <w:r>
        <w:rPr>
          <w:rFonts w:ascii="黑体" w:eastAsia="黑体" w:hAnsi="黑体" w:hint="default"/>
          <w:sz w:val="32"/>
          <w:szCs w:val="32"/>
          <w:highlight w:val="white"/>
        </w:rPr>
        <w:br w:type="page"/>
      </w:r>
    </w:p>
    <w:p w:rsidR="00D753A5" w:rsidRPr="00D753A5" w:rsidRDefault="0015160C" w:rsidP="00D753A5">
      <w:pPr>
        <w:spacing w:line="560" w:lineRule="exact"/>
        <w:rPr>
          <w:rFonts w:ascii="黑体" w:eastAsia="黑体" w:hAnsi="黑体" w:hint="default"/>
          <w:sz w:val="32"/>
          <w:szCs w:val="32"/>
          <w:highlight w:val="white"/>
        </w:rPr>
      </w:pPr>
      <w:r w:rsidRPr="00D753A5">
        <w:rPr>
          <w:rFonts w:ascii="黑体" w:eastAsia="黑体" w:hAnsi="黑体"/>
          <w:sz w:val="32"/>
          <w:szCs w:val="32"/>
          <w:highlight w:val="white"/>
        </w:rPr>
        <w:lastRenderedPageBreak/>
        <w:t>第一部分</w:t>
      </w:r>
      <w:r w:rsidR="00D753A5" w:rsidRPr="00D753A5">
        <w:rPr>
          <w:rFonts w:ascii="黑体" w:eastAsia="黑体" w:hAnsi="黑体"/>
          <w:sz w:val="32"/>
          <w:szCs w:val="32"/>
          <w:highlight w:val="white"/>
        </w:rPr>
        <w:t>：</w:t>
      </w:r>
    </w:p>
    <w:p w:rsidR="00FD5C40" w:rsidRPr="00D753A5" w:rsidRDefault="0015160C" w:rsidP="00D753A5">
      <w:pPr>
        <w:spacing w:line="560" w:lineRule="exact"/>
        <w:jc w:val="center"/>
        <w:rPr>
          <w:rFonts w:ascii="方正小标宋简体" w:eastAsia="方正小标宋简体" w:hint="default"/>
          <w:sz w:val="42"/>
          <w:szCs w:val="42"/>
          <w:highlight w:val="white"/>
        </w:rPr>
      </w:pPr>
      <w:r w:rsidRPr="00D753A5">
        <w:rPr>
          <w:rFonts w:ascii="方正小标宋简体" w:eastAsia="方正小标宋简体"/>
          <w:sz w:val="42"/>
          <w:szCs w:val="42"/>
          <w:highlight w:val="white"/>
        </w:rPr>
        <w:t>益阳市衡龙桥镇人民政府概况</w:t>
      </w:r>
    </w:p>
    <w:p w:rsidR="00D753A5" w:rsidRDefault="00D753A5" w:rsidP="00D753A5">
      <w:pPr>
        <w:spacing w:line="560" w:lineRule="exact"/>
        <w:ind w:firstLineChars="200" w:firstLine="640"/>
        <w:rPr>
          <w:rFonts w:ascii="仿宋_GB2312" w:eastAsia="仿宋_GB2312" w:hint="default"/>
          <w:sz w:val="32"/>
          <w:szCs w:val="32"/>
          <w:highlight w:val="white"/>
        </w:rPr>
      </w:pP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一、部门职责</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益阳市衡龙桥镇人民政府系正科级行政机关。单位办公地址为衡龙桥镇衡龙桥村。根据赫山区机构编制委会办公室《关于印发&lt;赫山区乡镇机关职能配置、内设机构和人员编制〉规定的通知》文件精神，其职能职责为：</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（一）</w:t>
      </w:r>
      <w:r w:rsidR="0015160C" w:rsidRPr="00D753A5">
        <w:rPr>
          <w:rFonts w:ascii="仿宋_GB2312" w:eastAsia="仿宋_GB2312"/>
          <w:sz w:val="32"/>
          <w:szCs w:val="32"/>
        </w:rPr>
        <w:t>执行本级人民代表大会决议和上级国家行政机关的决定和命令，发布决定和命令;落实国家政策，严格依法行政；处理乡镇党委、人大、政府日常事务和政协委员联络事务。</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（二）</w:t>
      </w:r>
      <w:r w:rsidR="0015160C" w:rsidRPr="00D753A5">
        <w:rPr>
          <w:rFonts w:ascii="仿宋_GB2312" w:eastAsia="仿宋_GB2312"/>
          <w:sz w:val="32"/>
          <w:szCs w:val="32"/>
        </w:rPr>
        <w:t>负责基层党组织建设和党员队伍建设工作；负责机关纪检监察工作；负责干部人事、宣传、统战、武装、机构编制工作；负责离退休干部管理服务工作；负责工会、共青团、妇联等群团组织的日常工作。</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（三）</w:t>
      </w:r>
      <w:r w:rsidR="0015160C" w:rsidRPr="00D753A5">
        <w:rPr>
          <w:rFonts w:ascii="仿宋_GB2312" w:eastAsia="仿宋_GB2312"/>
          <w:sz w:val="32"/>
          <w:szCs w:val="32"/>
        </w:rPr>
        <w:t>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械、畜牧兽医水产渔政、水利、移民开发、农民负担监督等方面的综合行政管理工作。</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lastRenderedPageBreak/>
        <w:t>（四）</w:t>
      </w:r>
      <w:r w:rsidR="0015160C" w:rsidRPr="00D753A5">
        <w:rPr>
          <w:rFonts w:ascii="仿宋_GB2312" w:eastAsia="仿宋_GB2312"/>
          <w:sz w:val="32"/>
          <w:szCs w:val="32"/>
        </w:rPr>
        <w:t>负责科技、教育、人力资源与社会保障、民政、社会救助、社区建设、医疗保障、卫生健康与计划生育、文化旅游广电体育、民族宗教、侨务、退役军人事务等方面的综合行政管理工作。</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（五）</w:t>
      </w:r>
      <w:r w:rsidR="0015160C" w:rsidRPr="00D753A5">
        <w:rPr>
          <w:rFonts w:ascii="仿宋_GB2312" w:eastAsia="仿宋_GB2312"/>
          <w:sz w:val="32"/>
          <w:szCs w:val="32"/>
        </w:rPr>
        <w:t>负责自然资源（含林政资源）、生态环境保护、村镇规划、村镇建设、城市（村镇）管理等方面的综合行政管理工作，负责生态环境、地质灾害隐患排查，突发环境污染事件的应急管理与处置。</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（六）</w:t>
      </w:r>
      <w:r w:rsidR="0015160C" w:rsidRPr="00D753A5">
        <w:rPr>
          <w:rFonts w:ascii="仿宋_GB2312" w:eastAsia="仿宋_GB2312"/>
          <w:sz w:val="32"/>
          <w:szCs w:val="32"/>
        </w:rPr>
        <w:t>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（七）</w:t>
      </w:r>
      <w:r w:rsidR="0015160C" w:rsidRPr="00D753A5">
        <w:rPr>
          <w:rFonts w:ascii="仿宋_GB2312" w:eastAsia="仿宋_GB2312"/>
          <w:sz w:val="32"/>
          <w:szCs w:val="32"/>
        </w:rPr>
        <w:t>负责财政预算编制、居民补贴资金发放、财政性资金监督管理、国有资产管理、债权债务管理；组织协调收入征收；负责机关和直属单位财务管理和政府采购等工作；负责村级财务监督，推行村级账务政府购买服务。</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（八）</w:t>
      </w:r>
      <w:r w:rsidR="0015160C" w:rsidRPr="00D753A5">
        <w:rPr>
          <w:rFonts w:ascii="仿宋_GB2312" w:eastAsia="仿宋_GB2312"/>
          <w:sz w:val="32"/>
          <w:szCs w:val="32"/>
        </w:rPr>
        <w:t>办理上级人民政府交办的其他事项。</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二、机构设置</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（一）内设机构设置</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本单位内设机构12个，分别为：党政办公室、党建办公室、经济发展办公室、社会事务办公室、自然资源和生态环境办公室、</w:t>
      </w:r>
      <w:r w:rsidRPr="00D753A5">
        <w:rPr>
          <w:rFonts w:ascii="仿宋_GB2312" w:eastAsia="仿宋_GB2312"/>
          <w:sz w:val="32"/>
          <w:szCs w:val="32"/>
        </w:rPr>
        <w:lastRenderedPageBreak/>
        <w:t>社会治安和应急管理办公室、财政财务管理办公室、社会事务综合服务中心、农业综合服务中心、党群和政务服务中心、退役军人服务站、综合行政执法大队。</w:t>
      </w:r>
    </w:p>
    <w:p w:rsidR="00FD5C40" w:rsidRPr="00D753A5" w:rsidRDefault="00FD0E88"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（二）</w:t>
      </w:r>
      <w:r w:rsidR="0015160C" w:rsidRPr="00D753A5">
        <w:rPr>
          <w:rFonts w:ascii="仿宋_GB2312" w:eastAsia="仿宋_GB2312"/>
          <w:sz w:val="32"/>
          <w:szCs w:val="32"/>
        </w:rPr>
        <w:t>决算单位构成</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益阳市赫山区衡龙桥镇人民政府只有本级，有其他二级预算单位，因此，纳入2021年部门预算编制范围的只有益阳市赫山区衡龙桥镇人民政府部门本级。</w:t>
      </w:r>
    </w:p>
    <w:p w:rsidR="00FD5C40" w:rsidRPr="00D753A5" w:rsidRDefault="00FD5C40" w:rsidP="00D753A5">
      <w:pPr>
        <w:spacing w:line="560" w:lineRule="exact"/>
        <w:ind w:firstLineChars="200" w:firstLine="640"/>
        <w:rPr>
          <w:rFonts w:ascii="仿宋_GB2312" w:eastAsia="仿宋_GB2312" w:hint="default"/>
          <w:sz w:val="32"/>
          <w:szCs w:val="32"/>
        </w:rPr>
      </w:pPr>
    </w:p>
    <w:p w:rsidR="009C086F" w:rsidRPr="009C086F" w:rsidRDefault="0015160C" w:rsidP="009C086F">
      <w:pPr>
        <w:spacing w:line="560" w:lineRule="exact"/>
        <w:rPr>
          <w:rFonts w:ascii="黑体" w:eastAsia="黑体" w:hAnsi="黑体" w:hint="default"/>
          <w:sz w:val="32"/>
          <w:szCs w:val="32"/>
          <w:highlight w:val="white"/>
        </w:rPr>
      </w:pPr>
      <w:r w:rsidRPr="009C086F">
        <w:rPr>
          <w:rFonts w:ascii="黑体" w:eastAsia="黑体" w:hAnsi="黑体"/>
          <w:sz w:val="32"/>
          <w:szCs w:val="32"/>
          <w:highlight w:val="white"/>
        </w:rPr>
        <w:t>第二部分</w:t>
      </w:r>
      <w:r w:rsidR="009C086F" w:rsidRPr="009C086F">
        <w:rPr>
          <w:rFonts w:ascii="黑体" w:eastAsia="黑体" w:hAnsi="黑体"/>
          <w:sz w:val="32"/>
          <w:szCs w:val="32"/>
          <w:highlight w:val="white"/>
        </w:rPr>
        <w:t>：</w:t>
      </w:r>
    </w:p>
    <w:p w:rsidR="009C086F" w:rsidRDefault="0015160C" w:rsidP="009C086F">
      <w:pPr>
        <w:spacing w:line="560" w:lineRule="exact"/>
        <w:jc w:val="center"/>
        <w:rPr>
          <w:rFonts w:ascii="方正小标宋简体" w:eastAsia="方正小标宋简体" w:hint="default"/>
          <w:sz w:val="42"/>
          <w:szCs w:val="42"/>
          <w:highlight w:val="white"/>
        </w:rPr>
      </w:pPr>
      <w:r w:rsidRPr="009C086F">
        <w:rPr>
          <w:rFonts w:ascii="方正小标宋简体" w:eastAsia="方正小标宋简体"/>
          <w:sz w:val="42"/>
          <w:szCs w:val="42"/>
          <w:highlight w:val="white"/>
        </w:rPr>
        <w:t>益阳市衡龙桥镇人民政府</w:t>
      </w:r>
    </w:p>
    <w:p w:rsidR="00FD5C40" w:rsidRPr="009C086F" w:rsidRDefault="0015160C" w:rsidP="009C086F">
      <w:pPr>
        <w:spacing w:line="560" w:lineRule="exact"/>
        <w:jc w:val="center"/>
        <w:rPr>
          <w:rFonts w:ascii="方正小标宋简体" w:eastAsia="方正小标宋简体" w:hint="default"/>
          <w:sz w:val="42"/>
          <w:szCs w:val="42"/>
          <w:highlight w:val="white"/>
        </w:rPr>
      </w:pPr>
      <w:r w:rsidRPr="009C086F">
        <w:rPr>
          <w:rFonts w:ascii="方正小标宋简体" w:eastAsia="方正小标宋简体"/>
          <w:sz w:val="42"/>
          <w:szCs w:val="42"/>
          <w:highlight w:val="white"/>
        </w:rPr>
        <w:t>2020年度部门决算表（见附表）</w:t>
      </w:r>
    </w:p>
    <w:p w:rsidR="00FD5C40" w:rsidRPr="00D753A5" w:rsidRDefault="00FD5C40" w:rsidP="00D753A5">
      <w:pPr>
        <w:spacing w:line="560" w:lineRule="exact"/>
        <w:ind w:firstLineChars="200" w:firstLine="640"/>
        <w:rPr>
          <w:rFonts w:ascii="仿宋_GB2312" w:eastAsia="仿宋_GB2312" w:hint="default"/>
          <w:sz w:val="32"/>
          <w:szCs w:val="32"/>
          <w:highlight w:val="white"/>
        </w:rPr>
      </w:pPr>
    </w:p>
    <w:p w:rsidR="009C086F" w:rsidRPr="009C086F" w:rsidRDefault="0015160C" w:rsidP="009C086F">
      <w:pPr>
        <w:spacing w:line="560" w:lineRule="exact"/>
        <w:rPr>
          <w:rFonts w:ascii="黑体" w:eastAsia="黑体" w:hAnsi="黑体" w:hint="default"/>
          <w:sz w:val="32"/>
          <w:szCs w:val="32"/>
          <w:highlight w:val="white"/>
        </w:rPr>
      </w:pPr>
      <w:r w:rsidRPr="009C086F">
        <w:rPr>
          <w:rFonts w:ascii="黑体" w:eastAsia="黑体" w:hAnsi="黑体"/>
          <w:sz w:val="32"/>
          <w:szCs w:val="32"/>
          <w:highlight w:val="white"/>
        </w:rPr>
        <w:t>第三部分</w:t>
      </w:r>
      <w:r w:rsidR="009C086F" w:rsidRPr="009C086F">
        <w:rPr>
          <w:rFonts w:ascii="黑体" w:eastAsia="黑体" w:hAnsi="黑体"/>
          <w:sz w:val="32"/>
          <w:szCs w:val="32"/>
          <w:highlight w:val="white"/>
        </w:rPr>
        <w:t>：</w:t>
      </w:r>
    </w:p>
    <w:p w:rsidR="009C086F" w:rsidRDefault="0015160C" w:rsidP="009C086F">
      <w:pPr>
        <w:spacing w:line="560" w:lineRule="exact"/>
        <w:jc w:val="center"/>
        <w:rPr>
          <w:rFonts w:ascii="方正小标宋简体" w:eastAsia="方正小标宋简体" w:hint="default"/>
          <w:sz w:val="42"/>
          <w:szCs w:val="42"/>
          <w:highlight w:val="white"/>
        </w:rPr>
      </w:pPr>
      <w:r w:rsidRPr="009C086F">
        <w:rPr>
          <w:rFonts w:ascii="方正小标宋简体" w:eastAsia="方正小标宋简体"/>
          <w:sz w:val="42"/>
          <w:szCs w:val="42"/>
          <w:highlight w:val="white"/>
        </w:rPr>
        <w:t>益阳市衡龙桥镇人民政府</w:t>
      </w:r>
    </w:p>
    <w:p w:rsidR="00FD5C40" w:rsidRPr="009C086F" w:rsidRDefault="0015160C" w:rsidP="009C086F">
      <w:pPr>
        <w:spacing w:line="560" w:lineRule="exact"/>
        <w:jc w:val="center"/>
        <w:rPr>
          <w:rFonts w:ascii="方正小标宋简体" w:eastAsia="方正小标宋简体" w:hint="default"/>
          <w:sz w:val="42"/>
          <w:szCs w:val="42"/>
          <w:highlight w:val="white"/>
        </w:rPr>
      </w:pPr>
      <w:r w:rsidRPr="009C086F">
        <w:rPr>
          <w:rFonts w:ascii="方正小标宋简体" w:eastAsia="方正小标宋简体"/>
          <w:sz w:val="42"/>
          <w:szCs w:val="42"/>
          <w:highlight w:val="white"/>
        </w:rPr>
        <w:t>2020年度部门决算情况说明</w:t>
      </w:r>
    </w:p>
    <w:p w:rsidR="009C086F" w:rsidRDefault="009C086F" w:rsidP="00D753A5">
      <w:pPr>
        <w:spacing w:line="560" w:lineRule="exact"/>
        <w:ind w:firstLineChars="200" w:firstLine="640"/>
        <w:rPr>
          <w:rFonts w:ascii="黑体" w:eastAsia="黑体" w:hAnsi="黑体" w:hint="default"/>
          <w:sz w:val="32"/>
          <w:szCs w:val="32"/>
          <w:highlight w:val="white"/>
        </w:rPr>
      </w:pP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一、收入支出决算总体情况说明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2020年度收入2803.82万元，年初结转和结余438.13万元，总计3241.95万元，与2019年收入（3016.56万元）相比，减少212.74万元，下降7.05%。主要原因是：人员减少，经费减少。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2020年度支出2912.81万元，年末结转和结余329.14万元，</w:t>
      </w:r>
      <w:r w:rsidRPr="00D753A5">
        <w:rPr>
          <w:rFonts w:ascii="仿宋_GB2312" w:eastAsia="仿宋_GB2312"/>
          <w:sz w:val="32"/>
          <w:szCs w:val="32"/>
          <w:highlight w:val="white"/>
        </w:rPr>
        <w:lastRenderedPageBreak/>
        <w:t>总计3241.95万元，与2019年支出（3195.78万元）相比，减少282.97万元，下降8.85%。主要原因是：人员经费拨款及支出减少。</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二、收入决算情况说明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本年收入合计2803.82万元，其中：一般公共预算财政拨款收入2592.82万元，占92.47%；政府性基金预算财政拨款收入211万元，占7.53%。</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三、支出决算情况说明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本年支出合计2912.81万元，其中：基本支出1651.90万元，占56.71%；项目支出1260.91万元，占43.29%。</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四、财政拨款收入支出决算总体情况说明</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2020年度财政拨款收入2803.82万元，年初财政拨款结转和结余438.12万元，总计3241.95万元，与2019年度财政拨款收入（3016.56万元）相比，减少212.74万元，下降7.05%。主要原因是：</w:t>
      </w:r>
      <w:r w:rsidRPr="00D753A5">
        <w:rPr>
          <w:rFonts w:ascii="仿宋_GB2312" w:eastAsia="仿宋_GB2312"/>
          <w:sz w:val="32"/>
          <w:szCs w:val="32"/>
          <w:highlight w:val="white"/>
        </w:rPr>
        <w:t>人员减少，经费减少。</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2020年度财政拨款支出2912.81万元，年末财政拨款结转和结余329.14万元，总计3241.95万元，与2019年度财政拨款支出（3195.78万元）相比，减少282.97万元，下降8.85%。主要原因是：经费节省。</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五、一般公共预算财政拨款支出决算情况说明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（一）一般公共预算财政拨款支出决算总体情况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2020年度一般公共预算财政拨款支出2701.81万元，占本</w:t>
      </w:r>
      <w:r w:rsidRPr="00D753A5">
        <w:rPr>
          <w:rFonts w:ascii="仿宋_GB2312" w:eastAsia="仿宋_GB2312"/>
          <w:sz w:val="32"/>
          <w:szCs w:val="32"/>
          <w:highlight w:val="white"/>
        </w:rPr>
        <w:lastRenderedPageBreak/>
        <w:t>年支出合计的92.76%。与2019年度一般公共预算财政拨款支出（3119.78万元）相比，减少417.97万元，下降13.40%,主要原因是：经费节省。</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（二）一般公共预算财政拨款支出决算结构情况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一般公共预算财政拨款支出2701.81万元，主要用于以下方面：一般公共服务（类）支出805.44万元，占29.81%；科学技术（类）支出18.16万元，占0.67%；文化旅游体育与传媒（类）支出212.47万元，占7.86%；社会保障和就业（类）支出97.95万元，占3.63%；卫生健康（类）支出148.38万元，占5.49%；节能环保支出42.40万元，占1.57%；农林水（类）支出1321.78万元，占48.92%；住房保障（类）支出50.24万元，占1.86%；灾害防治及应急管理（类）支出5万元，占0.19%。</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（三）一般公共预算财政拨款支出决算具体情况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2020年度一般公共预算财政拨款支出年初预算为1619.21万元，支出决算为2701.81万元，完成年初预算的166.86%。其中：</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hint="default"/>
          <w:sz w:val="32"/>
          <w:szCs w:val="32"/>
          <w:highlight w:val="white"/>
        </w:rPr>
        <w:t>1.</w:t>
      </w:r>
      <w:r w:rsidR="0015160C" w:rsidRPr="00D753A5">
        <w:rPr>
          <w:rFonts w:ascii="仿宋_GB2312" w:eastAsia="仿宋_GB2312"/>
          <w:sz w:val="32"/>
          <w:szCs w:val="32"/>
          <w:highlight w:val="white"/>
        </w:rPr>
        <w:t>一般公共服务支出（类）政府办公厅（室）及相关机构事务（款）行政运行（项）。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年初预算为1111.82万元，支出决算为718.13万元，完成年初预算的64.59%，决算数小于年初预算数的主要原因是：严控开支，减少了不必要支出。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w:t>
      </w:r>
      <w:r w:rsidR="009C086F">
        <w:rPr>
          <w:rFonts w:ascii="仿宋_GB2312" w:eastAsia="仿宋_GB2312"/>
          <w:sz w:val="32"/>
          <w:szCs w:val="32"/>
          <w:highlight w:val="white"/>
        </w:rPr>
        <w:t>.</w:t>
      </w:r>
      <w:r w:rsidRPr="00D753A5">
        <w:rPr>
          <w:rFonts w:ascii="仿宋_GB2312" w:eastAsia="仿宋_GB2312"/>
          <w:sz w:val="32"/>
          <w:szCs w:val="32"/>
          <w:highlight w:val="white"/>
        </w:rPr>
        <w:t>一般公共服务（类）政府办公厅（室）及相关机构事务（款）</w:t>
      </w:r>
      <w:r w:rsidRPr="00D753A5">
        <w:rPr>
          <w:rFonts w:ascii="仿宋_GB2312" w:eastAsia="仿宋_GB2312"/>
          <w:sz w:val="32"/>
          <w:szCs w:val="32"/>
          <w:highlight w:val="white"/>
        </w:rPr>
        <w:lastRenderedPageBreak/>
        <w:t>其他政府办公厅（室）及相关机构事物支出（项）。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年初预算为0万元，支出决算为63.31万元。决算数大于年初预算数的主要原因是：追加预算。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3</w:t>
      </w:r>
      <w:r w:rsidR="009C086F">
        <w:rPr>
          <w:rFonts w:ascii="仿宋_GB2312" w:eastAsia="仿宋_GB2312"/>
          <w:sz w:val="32"/>
          <w:szCs w:val="32"/>
          <w:highlight w:val="white"/>
        </w:rPr>
        <w:t>.</w:t>
      </w:r>
      <w:r w:rsidRPr="00D753A5">
        <w:rPr>
          <w:rFonts w:ascii="仿宋_GB2312" w:eastAsia="仿宋_GB2312"/>
          <w:sz w:val="32"/>
          <w:szCs w:val="32"/>
          <w:highlight w:val="white"/>
        </w:rPr>
        <w:t>一般公共服务支出（类）财政事务（款）一般行政管理事务（项）。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年初预算为0万元，支出决算为10万元，决算数大于年初预算数的主要原因是：追加预算。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4</w:t>
      </w:r>
      <w:r w:rsidR="009C086F">
        <w:rPr>
          <w:rFonts w:ascii="仿宋_GB2312" w:eastAsia="仿宋_GB2312"/>
          <w:sz w:val="32"/>
          <w:szCs w:val="32"/>
          <w:highlight w:val="white"/>
        </w:rPr>
        <w:t>.</w:t>
      </w:r>
      <w:r w:rsidRPr="00D753A5">
        <w:rPr>
          <w:rFonts w:ascii="仿宋_GB2312" w:eastAsia="仿宋_GB2312"/>
          <w:sz w:val="32"/>
          <w:szCs w:val="32"/>
          <w:highlight w:val="white"/>
        </w:rPr>
        <w:t>一般公共服务支出（类）财政事务（款）财政国库业务（项）。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年初预算为0万元，支出决算为4万元，决算数大于年初预算数的主要原因是：追加预算。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5</w:t>
      </w:r>
      <w:r w:rsidR="009C086F">
        <w:rPr>
          <w:rFonts w:ascii="仿宋_GB2312" w:eastAsia="仿宋_GB2312"/>
          <w:sz w:val="32"/>
          <w:szCs w:val="32"/>
          <w:highlight w:val="white"/>
        </w:rPr>
        <w:t>.</w:t>
      </w:r>
      <w:r w:rsidRPr="00D753A5">
        <w:rPr>
          <w:rFonts w:ascii="仿宋_GB2312" w:eastAsia="仿宋_GB2312"/>
          <w:sz w:val="32"/>
          <w:szCs w:val="32"/>
          <w:highlight w:val="white"/>
        </w:rPr>
        <w:t>一般公共服务支出（类）财政事务（款）其他财政事务支出（项）。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年初预算为0万元，支出决算为1万元，决算数大于年初预算数的主要原因是：追加预算。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6</w:t>
      </w:r>
      <w:r w:rsidR="009C086F">
        <w:rPr>
          <w:rFonts w:ascii="仿宋_GB2312" w:eastAsia="仿宋_GB2312"/>
          <w:sz w:val="32"/>
          <w:szCs w:val="32"/>
          <w:highlight w:val="white"/>
        </w:rPr>
        <w:t>.</w:t>
      </w:r>
      <w:r w:rsidRPr="00D753A5">
        <w:rPr>
          <w:rFonts w:ascii="仿宋_GB2312" w:eastAsia="仿宋_GB2312"/>
          <w:sz w:val="32"/>
          <w:szCs w:val="32"/>
          <w:highlight w:val="white"/>
        </w:rPr>
        <w:t>一般公共服务支出（类）其他一般公共事务支出（款）其他一般公共事务支出（项）。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年初预算为0万元，支出决算为9万元，决算数大于年初预算数的主要原因是：追加预算。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7</w:t>
      </w:r>
      <w:r w:rsidR="009C086F">
        <w:rPr>
          <w:rFonts w:ascii="仿宋_GB2312" w:eastAsia="仿宋_GB2312"/>
          <w:sz w:val="32"/>
          <w:szCs w:val="32"/>
          <w:highlight w:val="white"/>
        </w:rPr>
        <w:t>.</w:t>
      </w:r>
      <w:r w:rsidRPr="00D753A5">
        <w:rPr>
          <w:rFonts w:ascii="仿宋_GB2312" w:eastAsia="仿宋_GB2312"/>
          <w:sz w:val="32"/>
          <w:szCs w:val="32"/>
          <w:highlight w:val="white"/>
        </w:rPr>
        <w:t>科学技术支出（类）科学技术管理事务（款）其他科学技术管理事务支出（项）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年初预算为0万元，支出决算为7万元。决算数大于年初预算数的主要原因是：预算有所调整。</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8</w:t>
      </w:r>
      <w:r w:rsidR="009C086F">
        <w:rPr>
          <w:rFonts w:ascii="仿宋_GB2312" w:eastAsia="仿宋_GB2312"/>
          <w:sz w:val="32"/>
          <w:szCs w:val="32"/>
          <w:highlight w:val="white"/>
        </w:rPr>
        <w:t>.</w:t>
      </w:r>
      <w:r w:rsidRPr="00D753A5">
        <w:rPr>
          <w:rFonts w:ascii="仿宋_GB2312" w:eastAsia="仿宋_GB2312"/>
          <w:sz w:val="32"/>
          <w:szCs w:val="32"/>
          <w:highlight w:val="white"/>
        </w:rPr>
        <w:t>科学技术支出（类）其他科学技术支出（款）其他科学技术支出（项）。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年初预算为0万元，支出决算为11.16万元，决算数大于年初预算数的主要原因是：追加预算。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9</w:t>
      </w:r>
      <w:r w:rsidR="009C086F">
        <w:rPr>
          <w:rFonts w:ascii="仿宋_GB2312" w:eastAsia="仿宋_GB2312"/>
          <w:sz w:val="32"/>
          <w:szCs w:val="32"/>
          <w:highlight w:val="white"/>
        </w:rPr>
        <w:t>.</w:t>
      </w:r>
      <w:r w:rsidRPr="00D753A5">
        <w:rPr>
          <w:rFonts w:ascii="仿宋_GB2312" w:eastAsia="仿宋_GB2312"/>
          <w:sz w:val="32"/>
          <w:szCs w:val="32"/>
          <w:highlight w:val="white"/>
        </w:rPr>
        <w:t>文化旅游体育与传媒支出（类）文化和旅游（款）行政运行（项）。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年初预算为0万元，支出决算为212.47万元，决算数大于年初预算数的主要原因是：追加预算。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10</w:t>
      </w:r>
      <w:r w:rsidR="009C086F">
        <w:rPr>
          <w:rFonts w:ascii="仿宋_GB2312" w:eastAsia="仿宋_GB2312"/>
          <w:sz w:val="32"/>
          <w:szCs w:val="32"/>
          <w:highlight w:val="white"/>
        </w:rPr>
        <w:t>.</w:t>
      </w:r>
      <w:r w:rsidRPr="00D753A5">
        <w:rPr>
          <w:rFonts w:ascii="仿宋_GB2312" w:eastAsia="仿宋_GB2312"/>
          <w:sz w:val="32"/>
          <w:szCs w:val="32"/>
          <w:highlight w:val="white"/>
        </w:rPr>
        <w:t>社会保障和就业支出（类）行政事业单位养老支出（款）机关事业单位基本养老保险缴费支出（项）。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年初预算为78.22万元，支出决算为68.5万元，完成年初预算的87.57%，决算数小于年初预算数的主要原因是：人员减少。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11</w:t>
      </w:r>
      <w:r w:rsidR="009C086F">
        <w:rPr>
          <w:rFonts w:ascii="仿宋_GB2312" w:eastAsia="仿宋_GB2312"/>
          <w:sz w:val="32"/>
          <w:szCs w:val="32"/>
          <w:highlight w:val="white"/>
        </w:rPr>
        <w:t>.</w:t>
      </w:r>
      <w:r w:rsidRPr="00D753A5">
        <w:rPr>
          <w:rFonts w:ascii="仿宋_GB2312" w:eastAsia="仿宋_GB2312"/>
          <w:sz w:val="32"/>
          <w:szCs w:val="32"/>
          <w:highlight w:val="white"/>
        </w:rPr>
        <w:t>社会保障和就业支出（类）抚恤（款）死亡抚恤（项）。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年初预算为0万元，支出决算为29.45万元，决算数小于年初预算数的主要原因是：追加预算。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12</w:t>
      </w:r>
      <w:r w:rsidR="009C086F">
        <w:rPr>
          <w:rFonts w:ascii="仿宋_GB2312" w:eastAsia="仿宋_GB2312"/>
          <w:sz w:val="32"/>
          <w:szCs w:val="32"/>
          <w:highlight w:val="white"/>
        </w:rPr>
        <w:t>.</w:t>
      </w:r>
      <w:r w:rsidRPr="00D753A5">
        <w:rPr>
          <w:rFonts w:ascii="仿宋_GB2312" w:eastAsia="仿宋_GB2312"/>
          <w:sz w:val="32"/>
          <w:szCs w:val="32"/>
          <w:highlight w:val="white"/>
        </w:rPr>
        <w:t>卫生健康支出（类）公共卫生（款）突发公共卫生事件应急处理（项）。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年初预算为0万元，支出决算为79.67万元，决算数小于年初预算数的主要原因是：追加预算。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13</w:t>
      </w:r>
      <w:r w:rsidR="009C086F">
        <w:rPr>
          <w:rFonts w:ascii="仿宋_GB2312" w:eastAsia="仿宋_GB2312"/>
          <w:sz w:val="32"/>
          <w:szCs w:val="32"/>
          <w:highlight w:val="white"/>
        </w:rPr>
        <w:t>.</w:t>
      </w:r>
      <w:r w:rsidRPr="00D753A5">
        <w:rPr>
          <w:rFonts w:ascii="仿宋_GB2312" w:eastAsia="仿宋_GB2312"/>
          <w:sz w:val="32"/>
          <w:szCs w:val="32"/>
          <w:highlight w:val="white"/>
        </w:rPr>
        <w:t>卫生健康支出（类）计划生育事务（款）其他计划生育事务支出（项）。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年初预算为0万元，支出决算为5.43万元，决算数小于年初预算数的主要原因是：追加预算。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14</w:t>
      </w:r>
      <w:r w:rsidR="009C086F">
        <w:rPr>
          <w:rFonts w:ascii="仿宋_GB2312" w:eastAsia="仿宋_GB2312"/>
          <w:sz w:val="32"/>
          <w:szCs w:val="32"/>
          <w:highlight w:val="white"/>
        </w:rPr>
        <w:t>.</w:t>
      </w:r>
      <w:r w:rsidRPr="00D753A5">
        <w:rPr>
          <w:rFonts w:ascii="仿宋_GB2312" w:eastAsia="仿宋_GB2312"/>
          <w:sz w:val="32"/>
          <w:szCs w:val="32"/>
          <w:highlight w:val="white"/>
        </w:rPr>
        <w:t>卫生健康支出（类）行政事业单位医疗（款）行政单位医疗（项）。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年初预算为49.26万元，支出决算为63.28万元，决算数大于年初预算数的主要原因是：追加预算。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15</w:t>
      </w:r>
      <w:r w:rsidR="009C086F">
        <w:rPr>
          <w:rFonts w:ascii="仿宋_GB2312" w:eastAsia="仿宋_GB2312"/>
          <w:sz w:val="32"/>
          <w:szCs w:val="32"/>
          <w:highlight w:val="white"/>
        </w:rPr>
        <w:t>.</w:t>
      </w:r>
      <w:r w:rsidRPr="00D753A5">
        <w:rPr>
          <w:rFonts w:ascii="仿宋_GB2312" w:eastAsia="仿宋_GB2312"/>
          <w:sz w:val="32"/>
          <w:szCs w:val="32"/>
          <w:highlight w:val="white"/>
        </w:rPr>
        <w:t>节能环保支出（类）自然生态保护（款）农村环境保护（项）。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年初预算为0万元，支出决算为42.4万元，决算数小于年初预算数的主要原因是：追加预算。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16</w:t>
      </w:r>
      <w:r w:rsidR="009C086F">
        <w:rPr>
          <w:rFonts w:ascii="仿宋_GB2312" w:eastAsia="仿宋_GB2312"/>
          <w:sz w:val="32"/>
          <w:szCs w:val="32"/>
          <w:highlight w:val="white"/>
        </w:rPr>
        <w:t>.</w:t>
      </w:r>
      <w:r w:rsidRPr="00D753A5">
        <w:rPr>
          <w:rFonts w:ascii="仿宋_GB2312" w:eastAsia="仿宋_GB2312"/>
          <w:sz w:val="32"/>
          <w:szCs w:val="32"/>
          <w:highlight w:val="white"/>
        </w:rPr>
        <w:t>农林水支出（类）农业农村（款）行政运行（项）。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年初预算为0万元，支出决算为403.58万元，决算数小于年初预算数的主要原因是：追加预算。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17</w:t>
      </w:r>
      <w:r w:rsidR="009C086F">
        <w:rPr>
          <w:rFonts w:ascii="仿宋_GB2312" w:eastAsia="仿宋_GB2312"/>
          <w:sz w:val="32"/>
          <w:szCs w:val="32"/>
          <w:highlight w:val="white"/>
        </w:rPr>
        <w:t>.</w:t>
      </w:r>
      <w:r w:rsidRPr="00D753A5">
        <w:rPr>
          <w:rFonts w:ascii="仿宋_GB2312" w:eastAsia="仿宋_GB2312"/>
          <w:sz w:val="32"/>
          <w:szCs w:val="32"/>
          <w:highlight w:val="white"/>
        </w:rPr>
        <w:t>农林水支出（类）农业农村（款）农业生产发展（项）。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年初预算为0万元，支出决算为100万元，决算数小于年初预算数的主要原因是：追加预算。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18</w:t>
      </w:r>
      <w:r w:rsidR="009C086F">
        <w:rPr>
          <w:rFonts w:ascii="仿宋_GB2312" w:eastAsia="仿宋_GB2312"/>
          <w:sz w:val="32"/>
          <w:szCs w:val="32"/>
          <w:highlight w:val="white"/>
        </w:rPr>
        <w:t>.</w:t>
      </w:r>
      <w:r w:rsidRPr="00D753A5">
        <w:rPr>
          <w:rFonts w:ascii="仿宋_GB2312" w:eastAsia="仿宋_GB2312"/>
          <w:sz w:val="32"/>
          <w:szCs w:val="32"/>
          <w:highlight w:val="white"/>
        </w:rPr>
        <w:t>农林水支出（类）农业农村（款）其他农业农村支出（项）。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年初预算为0万元，支出决算为446.33万元，决算数小于年初预算数的主要原因是：追加预算。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19</w:t>
      </w:r>
      <w:r w:rsidR="009C086F">
        <w:rPr>
          <w:rFonts w:ascii="仿宋_GB2312" w:eastAsia="仿宋_GB2312"/>
          <w:sz w:val="32"/>
          <w:szCs w:val="32"/>
          <w:highlight w:val="white"/>
        </w:rPr>
        <w:t>.</w:t>
      </w:r>
      <w:r w:rsidRPr="00D753A5">
        <w:rPr>
          <w:rFonts w:ascii="仿宋_GB2312" w:eastAsia="仿宋_GB2312"/>
          <w:sz w:val="32"/>
          <w:szCs w:val="32"/>
          <w:highlight w:val="white"/>
        </w:rPr>
        <w:t>农林水支出（类）农村综合改革（款）对村民委员会和村党支部的补助（项）。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年初预算为322.38万元，支出决算为361.87万元，完成年</w:t>
      </w:r>
      <w:r w:rsidRPr="00D753A5">
        <w:rPr>
          <w:rFonts w:ascii="仿宋_GB2312" w:eastAsia="仿宋_GB2312"/>
          <w:sz w:val="32"/>
          <w:szCs w:val="32"/>
          <w:highlight w:val="white"/>
        </w:rPr>
        <w:lastRenderedPageBreak/>
        <w:t>初预算的112.25%，决算数大于年初预算数的主要原因是：追加预算。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w:t>
      </w:r>
      <w:r w:rsidR="009C086F">
        <w:rPr>
          <w:rFonts w:ascii="仿宋_GB2312" w:eastAsia="仿宋_GB2312"/>
          <w:sz w:val="32"/>
          <w:szCs w:val="32"/>
          <w:highlight w:val="white"/>
        </w:rPr>
        <w:t>.</w:t>
      </w:r>
      <w:r w:rsidRPr="00D753A5">
        <w:rPr>
          <w:rFonts w:ascii="仿宋_GB2312" w:eastAsia="仿宋_GB2312"/>
          <w:sz w:val="32"/>
          <w:szCs w:val="32"/>
          <w:highlight w:val="white"/>
        </w:rPr>
        <w:t>农林水支出（类）其他农林水支出（款）其他农林水支出（项）。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年初预算为0万元，支出决算为10万元，决算数小于年初预算数的主要原因是：追加预算。</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21</w:t>
      </w:r>
      <w:r w:rsidR="009C086F">
        <w:rPr>
          <w:rFonts w:ascii="仿宋_GB2312" w:eastAsia="仿宋_GB2312"/>
          <w:sz w:val="32"/>
          <w:szCs w:val="32"/>
          <w:highlight w:val="white"/>
        </w:rPr>
        <w:t>.</w:t>
      </w:r>
      <w:r w:rsidRPr="00D753A5">
        <w:rPr>
          <w:rFonts w:ascii="仿宋_GB2312" w:eastAsia="仿宋_GB2312"/>
          <w:sz w:val="32"/>
          <w:szCs w:val="32"/>
          <w:highlight w:val="white"/>
        </w:rPr>
        <w:t>住房保障支出（类）住房改革支出（款）住房公积金（项）。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年初预算为57.52万元，支出决算为50.24万元，完成年初预算的87.34%，决算数小于年初预算数的主要原因是：人员减少。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22</w:t>
      </w:r>
      <w:r w:rsidR="009C086F">
        <w:rPr>
          <w:rFonts w:ascii="仿宋_GB2312" w:eastAsia="仿宋_GB2312"/>
          <w:sz w:val="32"/>
          <w:szCs w:val="32"/>
          <w:highlight w:val="white"/>
        </w:rPr>
        <w:t>.</w:t>
      </w:r>
      <w:r w:rsidRPr="00D753A5">
        <w:rPr>
          <w:rFonts w:ascii="仿宋_GB2312" w:eastAsia="仿宋_GB2312"/>
          <w:sz w:val="32"/>
          <w:szCs w:val="32"/>
          <w:highlight w:val="white"/>
        </w:rPr>
        <w:t>灾害防治及应急管理支出（类）消防事务（款）消防应急救援（项）。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年初预算为0万元，支出决算为5万元，决算数小于年初预算数的主要原因是：追加预算。</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六、一般公共预算财政拨款基本支出决算情况说明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度一般公共预算财政拨款基本支出1651.90万元，其中:人员经费881.05万元，占基本支出的53.34%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770.86</w:t>
      </w:r>
      <w:r w:rsidRPr="00D753A5">
        <w:rPr>
          <w:rFonts w:ascii="仿宋_GB2312" w:eastAsia="仿宋_GB2312"/>
          <w:sz w:val="32"/>
          <w:szCs w:val="32"/>
          <w:highlight w:val="white"/>
        </w:rPr>
        <w:lastRenderedPageBreak/>
        <w:t>万元，占基本支出的46.66%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七、一般公共预算财政拨款“三公”经费支出决算情况说明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（一）“三公”经费财政拨款支出决算总体情况说明</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highlight w:val="white"/>
        </w:rPr>
        <w:t>2020年度“三公”经费财政拨款支出预算</w:t>
      </w:r>
      <w:r w:rsidRPr="00D753A5">
        <w:rPr>
          <w:rFonts w:ascii="仿宋_GB2312" w:eastAsia="仿宋_GB2312"/>
          <w:sz w:val="32"/>
          <w:szCs w:val="32"/>
        </w:rPr>
        <w:t>为8万元，支出决算为36万元，完成预算的450%，其中：</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无因公出国（境）费支出预算与决算。</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公务用车购置费及运行维护费支出预算为8万元，支出决算为2万元，完成预算的25%，决算数小于预算数的主要原因是认真贯彻落实中央“八项规定”精神和厉行节约要求，从严控制“三公”经费开支，全年实际支出比预算有所节约。与上年相比持平。</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公务接待费支出预算为0万元，支出决算为34万元，决算数大于预算数的主要原因是调整预算数。</w:t>
      </w:r>
    </w:p>
    <w:p w:rsidR="00FD5C40" w:rsidRPr="00D753A5" w:rsidRDefault="009C086F" w:rsidP="00D753A5">
      <w:pPr>
        <w:spacing w:line="560" w:lineRule="exact"/>
        <w:ind w:firstLineChars="200" w:firstLine="640"/>
        <w:rPr>
          <w:rFonts w:ascii="仿宋_GB2312" w:eastAsia="仿宋_GB2312" w:hint="default"/>
          <w:sz w:val="32"/>
          <w:szCs w:val="32"/>
        </w:rPr>
      </w:pPr>
      <w:r>
        <w:rPr>
          <w:rFonts w:ascii="仿宋_GB2312" w:eastAsia="仿宋_GB2312"/>
          <w:sz w:val="32"/>
          <w:szCs w:val="32"/>
        </w:rPr>
        <w:t>（二）</w:t>
      </w:r>
      <w:r w:rsidR="0015160C" w:rsidRPr="00D753A5">
        <w:rPr>
          <w:rFonts w:ascii="仿宋_GB2312" w:eastAsia="仿宋_GB2312"/>
          <w:sz w:val="32"/>
          <w:szCs w:val="32"/>
        </w:rPr>
        <w:t>“三公”经费财政拨款支出决算具体情况说明</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2020年度“三公”经费财政拨款支出决算中，公务用车运行维护费决算2万元，占5.56%；公务接待费决算34万元，占94.44%。具体情况如下：</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lastRenderedPageBreak/>
        <w:t>因公出国（境）费支出决算为0万元；公务用车购置及运行费支出决算为2万元，主要是继续加强公务用车管理，公务用车费用有所节约。其中：</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公务用车运行支出2万元。主要是按规定保留的公务用车的燃料费、维修费、过桥过路费、保险费、安全奖励费用等支出。截至2020年12月31日，机关单位开支财政拨款的公务用车保有量为2辆。</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公务接待费预算为0万元，支出决算为34万元。其中：</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其他国内公务接待支出34万元。主要用于与有关单位交流工作情况及接受相关部门检查指导工作发生的接待支出。益阳市衡龙桥镇人民政府2020年共接待国内公务接待批次700个、接待人次7000人次（不包括陪同人员）。</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八、政府性基金预算收入支出决算情况</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度政府性基金本年收入211万元,占本年收入合计的7.53%，与2019年度政府性基金收入（76万元）相比，增加135万元，增长177.63%。2020年政府性基金本年支出211元,占本年支出合计的7.24%，与2019年政府性基金支出（76万元）相比，增加135万元，增长177.63%。其中：项目支出211万元,比上年增加177.63%。</w:t>
      </w:r>
    </w:p>
    <w:p w:rsidR="00FD5C40" w:rsidRPr="00D753A5" w:rsidRDefault="009C086F" w:rsidP="00D753A5">
      <w:pPr>
        <w:spacing w:line="560" w:lineRule="exact"/>
        <w:ind w:firstLineChars="200" w:firstLine="640"/>
        <w:rPr>
          <w:rFonts w:ascii="黑体" w:eastAsia="黑体" w:hAnsi="黑体" w:hint="default"/>
          <w:sz w:val="32"/>
          <w:szCs w:val="32"/>
          <w:highlight w:val="white"/>
        </w:rPr>
      </w:pPr>
      <w:r>
        <w:rPr>
          <w:rFonts w:ascii="黑体" w:eastAsia="黑体" w:hAnsi="黑体"/>
          <w:sz w:val="32"/>
          <w:szCs w:val="32"/>
          <w:highlight w:val="white"/>
        </w:rPr>
        <w:t>九</w:t>
      </w:r>
      <w:r>
        <w:rPr>
          <w:rFonts w:ascii="黑体" w:eastAsia="黑体" w:hAnsi="黑体" w:hint="default"/>
          <w:sz w:val="32"/>
          <w:szCs w:val="32"/>
          <w:highlight w:val="white"/>
        </w:rPr>
        <w:t>、</w:t>
      </w:r>
      <w:r w:rsidR="0015160C" w:rsidRPr="00D753A5">
        <w:rPr>
          <w:rFonts w:ascii="黑体" w:eastAsia="黑体" w:hAnsi="黑体"/>
          <w:sz w:val="32"/>
          <w:szCs w:val="32"/>
          <w:highlight w:val="white"/>
        </w:rPr>
        <w:t>国有资本经营预算财政拨款支出决算情况</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本部门2020年度无国有资本经营预算财政拨款支出。</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十、关于机关运行经费支出说明</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lastRenderedPageBreak/>
        <w:t>益阳市衡龙桥镇人民政府2020年机关运行经费支出770.86万元。比年初预算数（61）增加709.86万元，增长1163.70%，主要原因是：追加预算。</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十一、一般性支出情况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2020年本部门开支会议费1万元，用于会议支出，人数350人，内容为日常工作会议；本年度本部门开支培训费1万元，用于培训支出，人数360人，内容为日常业务培训。</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十二、关于政府采购支出说明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本年度无政府采购。</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十三、关于国有资产占有情况说明</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截至2020年12月31日，益阳市衡龙桥镇人民政府共有车辆2辆。其中：主要领导干部用车2辆；年末无单价50万元以上通用设备；年末无单价100万元以上专用设备。</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十四、预算绩效情况说明</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（一）绩效管理工作开展情况</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本单位按照有关政策文件和赫山区财政局要求开展预算绩效管理工作，加强了绩效目标管理。在编制2020年单位预算时，本单位将所有预算资金纳入绩效目标管理，实现了绩效目标与单位预算同步编制、同步申报。</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（二）部门决算中项目绩效自评结果</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2020年本单位在绩效管理中不断优化经济发展环境，加强项目建设；十分注重民生保障，服务人民群众；狠抓社会管理，</w:t>
      </w:r>
      <w:r w:rsidRPr="00D753A5">
        <w:rPr>
          <w:rFonts w:ascii="仿宋_GB2312" w:eastAsia="仿宋_GB2312"/>
          <w:sz w:val="32"/>
          <w:szCs w:val="32"/>
        </w:rPr>
        <w:lastRenderedPageBreak/>
        <w:t>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（三）以部门为主体开展的重点绩效评价结果</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衡龙桥镇政府项目绩效评估领导小组通过评估，衡龙桥镇部门整体支出绩效得分91分。</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1.投入得20分，基础信息更新按照县级部门预算编制通知和有关要求，按时完成基础库、项目库报送工作，预算编制准确，部门预算审查合法，部门整体绩效目标编制完整、合理，项目绩效目标编制明确、量化。</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2.过程得26.5分，按规定及时分配上级财力专项预算，部门按要求严格预算执行管理，行政成本严格执行节能降耗、严格执行“三公经费”预算。</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3.产出得27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w:t>
      </w:r>
      <w:r w:rsidRPr="00D753A5">
        <w:rPr>
          <w:rFonts w:ascii="仿宋_GB2312" w:eastAsia="仿宋_GB2312"/>
          <w:sz w:val="32"/>
          <w:szCs w:val="32"/>
        </w:rPr>
        <w:lastRenderedPageBreak/>
        <w:t>绩效评价项目资金覆盖情况。</w:t>
      </w:r>
    </w:p>
    <w:p w:rsidR="00FD5C40" w:rsidRPr="00D753A5" w:rsidRDefault="0015160C" w:rsidP="00D753A5">
      <w:pPr>
        <w:spacing w:line="560" w:lineRule="exact"/>
        <w:ind w:firstLineChars="200" w:firstLine="640"/>
        <w:rPr>
          <w:rFonts w:ascii="仿宋_GB2312" w:eastAsia="仿宋_GB2312" w:hint="default"/>
          <w:sz w:val="32"/>
          <w:szCs w:val="32"/>
        </w:rPr>
      </w:pPr>
      <w:r w:rsidRPr="00D753A5">
        <w:rPr>
          <w:rFonts w:ascii="仿宋_GB2312" w:eastAsia="仿宋_GB2312"/>
          <w:sz w:val="32"/>
          <w:szCs w:val="32"/>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rsidR="00FD5C40" w:rsidRPr="00D753A5" w:rsidRDefault="00FD5C40" w:rsidP="00D753A5">
      <w:pPr>
        <w:spacing w:line="560" w:lineRule="exact"/>
        <w:ind w:firstLineChars="200" w:firstLine="640"/>
        <w:rPr>
          <w:rFonts w:ascii="仿宋_GB2312" w:eastAsia="仿宋_GB2312" w:hint="default"/>
          <w:sz w:val="32"/>
          <w:szCs w:val="32"/>
          <w:highlight w:val="white"/>
        </w:rPr>
      </w:pPr>
    </w:p>
    <w:p w:rsidR="009C086F" w:rsidRPr="009C086F" w:rsidRDefault="0015160C" w:rsidP="009C086F">
      <w:pPr>
        <w:spacing w:line="560" w:lineRule="exact"/>
        <w:rPr>
          <w:rFonts w:ascii="黑体" w:eastAsia="黑体" w:hAnsi="黑体" w:hint="default"/>
          <w:sz w:val="32"/>
          <w:szCs w:val="32"/>
          <w:highlight w:val="white"/>
        </w:rPr>
      </w:pPr>
      <w:r w:rsidRPr="009C086F">
        <w:rPr>
          <w:rFonts w:ascii="黑体" w:eastAsia="黑体" w:hAnsi="黑体"/>
          <w:sz w:val="32"/>
          <w:szCs w:val="32"/>
          <w:highlight w:val="white"/>
        </w:rPr>
        <w:t>第四部分</w:t>
      </w:r>
      <w:r w:rsidR="009C086F" w:rsidRPr="009C086F">
        <w:rPr>
          <w:rFonts w:ascii="黑体" w:eastAsia="黑体" w:hAnsi="黑体"/>
          <w:sz w:val="32"/>
          <w:szCs w:val="32"/>
          <w:highlight w:val="white"/>
        </w:rPr>
        <w:t>：</w:t>
      </w:r>
    </w:p>
    <w:p w:rsidR="00FD5C40" w:rsidRPr="009C086F" w:rsidRDefault="0015160C" w:rsidP="009C086F">
      <w:pPr>
        <w:spacing w:line="560" w:lineRule="exact"/>
        <w:jc w:val="center"/>
        <w:rPr>
          <w:rFonts w:ascii="方正小标宋简体" w:eastAsia="方正小标宋简体" w:hint="default"/>
          <w:sz w:val="42"/>
          <w:szCs w:val="42"/>
          <w:highlight w:val="white"/>
        </w:rPr>
      </w:pPr>
      <w:r w:rsidRPr="009C086F">
        <w:rPr>
          <w:rFonts w:ascii="方正小标宋简体" w:eastAsia="方正小标宋简体"/>
          <w:sz w:val="42"/>
          <w:szCs w:val="42"/>
          <w:highlight w:val="white"/>
        </w:rPr>
        <w:t>名词解释</w:t>
      </w:r>
    </w:p>
    <w:p w:rsidR="009C086F" w:rsidRDefault="009C086F" w:rsidP="00D753A5">
      <w:pPr>
        <w:spacing w:line="560" w:lineRule="exact"/>
        <w:ind w:firstLineChars="200" w:firstLine="640"/>
        <w:rPr>
          <w:rFonts w:ascii="仿宋_GB2312" w:eastAsia="仿宋_GB2312" w:hint="default"/>
          <w:sz w:val="32"/>
          <w:szCs w:val="32"/>
          <w:highlight w:val="white"/>
        </w:rPr>
      </w:pP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财政拨款收入：指本级财政当年拨付的资金。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政府性基金预算财政拨款收入：指本级财政当年拨付的政府性基金预算资金。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上年结转和结余：指以前年度尚未完成、结转到本年按有关规定继续使用的资金。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w:t>
      </w:r>
      <w:r w:rsidRPr="00D753A5">
        <w:rPr>
          <w:rFonts w:ascii="仿宋_GB2312" w:eastAsia="仿宋_GB2312"/>
          <w:sz w:val="32"/>
          <w:szCs w:val="32"/>
          <w:highlight w:val="white"/>
        </w:rPr>
        <w:lastRenderedPageBreak/>
        <w:t>民族事务、档案事务、民主党派及工商。</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科学技术支出（类）：是指用于科学技术方面的支出，包括保障机构正常运转、完成日常和特定的工作任务或事业发展目标的支出。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文化体育与传媒支出（类）：是指用于文化、文物、体育、新闻出版广播影视等方面的支出，包括保障机构正常运转、完成日常和特定的工作任务或事业发展目标的支出。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节能环保支出（类）：是指用于节能环保支出，包括保障机构正常运转、完成日常和特定的工作任务或事业发展目标的支出。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城乡社区支出（类）：是指用于城乡社区事务支出，包括保障机构正常运转、完成日常和特定的工作任务或事业发展目标的支出。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农林水支出（类）：是指用于农林水事务支出，包括保障机构正常运转、完成日常和特定的工作任务或事业发展目标的支出。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资源勘探信息等支出（类）：是指用于资源勘探、制造业、</w:t>
      </w:r>
      <w:r w:rsidRPr="00D753A5">
        <w:rPr>
          <w:rFonts w:ascii="仿宋_GB2312" w:eastAsia="仿宋_GB2312"/>
          <w:sz w:val="32"/>
          <w:szCs w:val="32"/>
          <w:highlight w:val="white"/>
        </w:rPr>
        <w:lastRenderedPageBreak/>
        <w:t>建筑业、工业信息等方面支出，包括保障机构正常运转、完成日常和特定的工作任务或事业发展目标的支出。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住房保障支出（类）：是指用于住房方面的支出，包括保障机构正常运转、完成日常和特定的工作任务或事业发展目标的支出。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基本支出：指保障机构正常运转、完成支日常工作任务而发生的人员支出和公用支出。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项目支出：指在基本支出之外为完成特定行政任务和事业发展目标所发生的支出。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工资福利支出：反映单位开支的在职职工和编制外长期聘用</w:t>
      </w:r>
      <w:r w:rsidRPr="00D753A5">
        <w:rPr>
          <w:rFonts w:ascii="仿宋_GB2312" w:eastAsia="仿宋_GB2312"/>
          <w:sz w:val="32"/>
          <w:szCs w:val="32"/>
          <w:highlight w:val="white"/>
        </w:rPr>
        <w:lastRenderedPageBreak/>
        <w:t>人员的各类劳动报酬，以及为上述人员缴纳的各项社会保险费等。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奖金：反映机关工作人员年终一次性奖金。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伙食补助费：反映单位发给职工的伙食补助费，如误餐补助等。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职业年金缴费：反映机关事业单位实际缴纳的职业年金支出。由单位代扣的工作人员职业年金缴费，不在此科目反映。</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职工基本医疗保险缴费：反映单位为职工缴纳的基本医疗保险费。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住房公积金：反映行政事业单位按人力资源和社会保障部、财政部规定的基本工资和津贴补贴以及规定比例为职工缴纳的住房公积金。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商品和服务支出：反映单位购买商品和服务的支出（不包括用于购置固定资产的支出、战略性和应急储备支出）。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办公费：反映单位购买按财务会计制度规定不符合固定资产确认标准的日常办公用品、书报杂志等支出。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印刷费：反映单位的印刷费支出。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水费：反映单位支付的水费、污水处理费等支出。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电费：反映单位的电费支出。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差旅费：反映单位工作人员出差发生的城市间交通费、住宿费、伙食补贴费和市内交通费。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租赁费：反映租赁办公用房、宿舍、专用通讯网以及其他设备等方面的费用。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会议费：反映会议中按规定开支的住宿费、伙食费、会议室租金、交通费、文件印刷费、医药费等。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培训费：反映除因公出国（境）培训费以外的各类培训支出。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公务接待费：反映单位按规定开支的各类公务接待（含外宾接待）费用。</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专用燃料费：反映用作业务工作设备的车、船设施等的油料支出。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劳务费：反映支付给单位和个人的劳务费用，如临时聘用人员、钟点工工资，稿费、翻译费，评审费等。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委托业务费：反映因委托外单位办理业务而支付的委托业务费。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工会经费：反映单位按规定提取的工会经费。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公务用车运行维护费：反映单位按规定保留的公务用车燃料费、维修费、过桥过路费、保险费、安全奖励费用等支出。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其他商品和服务支出：反映上述科目未包括的日常公用支出。</w:t>
      </w:r>
      <w:r w:rsidRPr="00D753A5">
        <w:rPr>
          <w:rFonts w:ascii="仿宋_GB2312" w:eastAsia="仿宋_GB2312"/>
          <w:sz w:val="32"/>
          <w:szCs w:val="32"/>
          <w:highlight w:val="white"/>
        </w:rPr>
        <w:lastRenderedPageBreak/>
        <w:t>如行政赔偿费和诉讼费、国内组织的会员费、来访费、广告宣传、其他劳务费及离休人员特需费、公用经费等。</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对个人和家庭的补助：反映政府用于对个人和家庭的补助支出。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离休费：反映行政事业单位和军队移交政府安置的离休人员的离休费、护理费和其他补贴。</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退休费：反映行政事业单位和军队移交政府安置的退休人员的退休费和其他补贴。</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办公设备购置：反映用于购置并按财务会计制度规定纳入固</w:t>
      </w:r>
      <w:r w:rsidRPr="00D753A5">
        <w:rPr>
          <w:rFonts w:ascii="仿宋_GB2312" w:eastAsia="仿宋_GB2312"/>
          <w:sz w:val="32"/>
          <w:szCs w:val="32"/>
          <w:highlight w:val="white"/>
        </w:rPr>
        <w:lastRenderedPageBreak/>
        <w:t>定资产核算范围的办公家具和办公设备的支出，以及按规定提取的修购基金。</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p>
    <w:p w:rsidR="00FD5C40" w:rsidRPr="00D753A5" w:rsidRDefault="00FD5C40" w:rsidP="00D753A5">
      <w:pPr>
        <w:spacing w:line="560" w:lineRule="exact"/>
        <w:ind w:firstLineChars="200" w:firstLine="640"/>
        <w:rPr>
          <w:rFonts w:ascii="仿宋_GB2312" w:eastAsia="仿宋_GB2312" w:hint="default"/>
          <w:sz w:val="32"/>
          <w:szCs w:val="32"/>
          <w:highlight w:val="white"/>
        </w:rPr>
      </w:pPr>
    </w:p>
    <w:p w:rsidR="00FD5C40" w:rsidRPr="009C086F" w:rsidRDefault="0015160C" w:rsidP="009C086F">
      <w:pPr>
        <w:spacing w:line="560" w:lineRule="exact"/>
        <w:rPr>
          <w:rFonts w:ascii="黑体" w:eastAsia="黑体" w:hAnsi="黑体" w:hint="default"/>
          <w:sz w:val="32"/>
          <w:szCs w:val="32"/>
        </w:rPr>
      </w:pPr>
      <w:r w:rsidRPr="009C086F">
        <w:rPr>
          <w:rFonts w:ascii="黑体" w:eastAsia="黑体" w:hAnsi="黑体"/>
          <w:sz w:val="32"/>
          <w:szCs w:val="32"/>
        </w:rPr>
        <w:t>第五部分</w:t>
      </w:r>
      <w:r w:rsidR="009C086F" w:rsidRPr="009C086F">
        <w:rPr>
          <w:rFonts w:ascii="黑体" w:eastAsia="黑体" w:hAnsi="黑体"/>
          <w:sz w:val="32"/>
          <w:szCs w:val="32"/>
        </w:rPr>
        <w:t>：</w:t>
      </w:r>
      <w:r w:rsidRPr="009C086F">
        <w:rPr>
          <w:rFonts w:ascii="黑体" w:eastAsia="黑体" w:hAnsi="黑体"/>
          <w:sz w:val="32"/>
          <w:szCs w:val="32"/>
        </w:rPr>
        <w:t>附件</w:t>
      </w:r>
    </w:p>
    <w:p w:rsidR="00FD5C40" w:rsidRPr="009C086F" w:rsidRDefault="0015160C" w:rsidP="009C086F">
      <w:pPr>
        <w:spacing w:line="560" w:lineRule="exact"/>
        <w:jc w:val="center"/>
        <w:rPr>
          <w:rFonts w:ascii="方正小标宋简体" w:eastAsia="方正小标宋简体" w:hint="default"/>
          <w:sz w:val="42"/>
          <w:szCs w:val="42"/>
        </w:rPr>
      </w:pPr>
      <w:r w:rsidRPr="009C086F">
        <w:rPr>
          <w:rFonts w:ascii="方正小标宋简体" w:eastAsia="方正小标宋简体"/>
          <w:sz w:val="42"/>
          <w:szCs w:val="42"/>
        </w:rPr>
        <w:t>益阳市衡龙桥镇人民政府2020年度</w:t>
      </w:r>
    </w:p>
    <w:p w:rsidR="00FD5C40" w:rsidRPr="009C086F" w:rsidRDefault="0015160C" w:rsidP="009C086F">
      <w:pPr>
        <w:spacing w:line="560" w:lineRule="exact"/>
        <w:jc w:val="center"/>
        <w:rPr>
          <w:rFonts w:ascii="方正小标宋简体" w:eastAsia="方正小标宋简体" w:hint="default"/>
          <w:sz w:val="42"/>
          <w:szCs w:val="42"/>
        </w:rPr>
      </w:pPr>
      <w:r w:rsidRPr="009C086F">
        <w:rPr>
          <w:rFonts w:ascii="方正小标宋简体" w:eastAsia="方正小标宋简体"/>
          <w:sz w:val="42"/>
          <w:szCs w:val="42"/>
        </w:rPr>
        <w:t>部门整体支出绩效评价报告</w:t>
      </w:r>
    </w:p>
    <w:p w:rsidR="009C086F" w:rsidRDefault="009C086F" w:rsidP="00D753A5">
      <w:pPr>
        <w:spacing w:line="560" w:lineRule="exact"/>
        <w:ind w:firstLineChars="200" w:firstLine="640"/>
        <w:rPr>
          <w:rFonts w:ascii="仿宋_GB2312" w:eastAsia="仿宋_GB2312" w:hint="default"/>
          <w:sz w:val="32"/>
          <w:szCs w:val="32"/>
          <w:highlight w:val="white"/>
        </w:rPr>
      </w:pP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为进一步规范财政资金管理，牢固树立预算绩效理念，强化部门支出责任，提高财政资金使用效益，根据《益阳市赫山区人民政府关于全面推进预算绩效管理的实施意见》（益赫财绩</w:t>
      </w:r>
      <w:r w:rsidR="009C086F">
        <w:rPr>
          <w:rFonts w:ascii="仿宋_GB2312" w:eastAsia="仿宋_GB2312"/>
          <w:sz w:val="32"/>
          <w:szCs w:val="32"/>
          <w:highlight w:val="white"/>
        </w:rPr>
        <w:t>〔</w:t>
      </w:r>
      <w:r w:rsidRPr="00D753A5">
        <w:rPr>
          <w:rFonts w:ascii="仿宋_GB2312" w:eastAsia="仿宋_GB2312"/>
          <w:sz w:val="32"/>
          <w:szCs w:val="32"/>
          <w:highlight w:val="white"/>
        </w:rPr>
        <w:t>2016</w:t>
      </w:r>
      <w:r w:rsidR="009C086F">
        <w:rPr>
          <w:rFonts w:ascii="仿宋_GB2312" w:eastAsia="仿宋_GB2312"/>
          <w:sz w:val="32"/>
          <w:szCs w:val="32"/>
          <w:highlight w:val="white"/>
        </w:rPr>
        <w:t>〕</w:t>
      </w:r>
      <w:r w:rsidRPr="00D753A5">
        <w:rPr>
          <w:rFonts w:ascii="仿宋_GB2312" w:eastAsia="仿宋_GB2312"/>
          <w:sz w:val="32"/>
          <w:szCs w:val="32"/>
          <w:highlight w:val="white"/>
        </w:rPr>
        <w:t>12号）、《中共中央国务院关于全面实施预算绩效管理的意见》（中发</w:t>
      </w:r>
      <w:r w:rsidR="009C086F">
        <w:rPr>
          <w:rFonts w:ascii="仿宋_GB2312" w:eastAsia="仿宋_GB2312"/>
          <w:sz w:val="32"/>
          <w:szCs w:val="32"/>
          <w:highlight w:val="white"/>
        </w:rPr>
        <w:t>〔</w:t>
      </w:r>
      <w:r w:rsidRPr="00D753A5">
        <w:rPr>
          <w:rFonts w:ascii="仿宋_GB2312" w:eastAsia="仿宋_GB2312"/>
          <w:sz w:val="32"/>
          <w:szCs w:val="32"/>
          <w:highlight w:val="white"/>
        </w:rPr>
        <w:t>2018</w:t>
      </w:r>
      <w:r w:rsidR="009C086F">
        <w:rPr>
          <w:rFonts w:ascii="仿宋_GB2312" w:eastAsia="仿宋_GB2312"/>
          <w:sz w:val="32"/>
          <w:szCs w:val="32"/>
          <w:highlight w:val="white"/>
        </w:rPr>
        <w:t>〕</w:t>
      </w:r>
      <w:r w:rsidRPr="00D753A5">
        <w:rPr>
          <w:rFonts w:ascii="仿宋_GB2312" w:eastAsia="仿宋_GB2312"/>
          <w:sz w:val="32"/>
          <w:szCs w:val="32"/>
          <w:highlight w:val="white"/>
        </w:rPr>
        <w:t>34号）、《财政部&lt;项目支出绩效评价管理办法&gt;的通知》（财预</w:t>
      </w:r>
      <w:r w:rsidR="009C086F">
        <w:rPr>
          <w:rFonts w:ascii="仿宋_GB2312" w:eastAsia="仿宋_GB2312"/>
          <w:sz w:val="32"/>
          <w:szCs w:val="32"/>
          <w:highlight w:val="white"/>
        </w:rPr>
        <w:t>〔</w:t>
      </w:r>
      <w:r w:rsidRPr="00D753A5">
        <w:rPr>
          <w:rFonts w:ascii="仿宋_GB2312" w:eastAsia="仿宋_GB2312"/>
          <w:sz w:val="32"/>
          <w:szCs w:val="32"/>
          <w:highlight w:val="white"/>
        </w:rPr>
        <w:t>2020</w:t>
      </w:r>
      <w:r w:rsidR="009C086F">
        <w:rPr>
          <w:rFonts w:ascii="仿宋_GB2312" w:eastAsia="仿宋_GB2312"/>
          <w:sz w:val="32"/>
          <w:szCs w:val="32"/>
          <w:highlight w:val="white"/>
        </w:rPr>
        <w:t>〕</w:t>
      </w:r>
      <w:r w:rsidRPr="00D753A5">
        <w:rPr>
          <w:rFonts w:ascii="仿宋_GB2312" w:eastAsia="仿宋_GB2312"/>
          <w:sz w:val="32"/>
          <w:szCs w:val="32"/>
          <w:highlight w:val="white"/>
        </w:rPr>
        <w:t>10号）和《中共湖南省委办公厅</w:t>
      </w:r>
      <w:r w:rsidRPr="00D753A5">
        <w:rPr>
          <w:rFonts w:ascii="仿宋_GB2312" w:eastAsia="仿宋_GB2312"/>
          <w:sz w:val="32"/>
          <w:szCs w:val="32"/>
          <w:highlight w:val="white"/>
        </w:rPr>
        <w:t> </w:t>
      </w:r>
      <w:r w:rsidRPr="00D753A5">
        <w:rPr>
          <w:rFonts w:ascii="仿宋_GB2312" w:eastAsia="仿宋_GB2312"/>
          <w:sz w:val="32"/>
          <w:szCs w:val="32"/>
          <w:highlight w:val="white"/>
        </w:rPr>
        <w:t>湖南省人民政府办公厅关于全面实施预算绩效管理的实施意见》（湘政发</w:t>
      </w:r>
      <w:r w:rsidR="009C086F">
        <w:rPr>
          <w:rFonts w:ascii="仿宋_GB2312" w:eastAsia="仿宋_GB2312"/>
          <w:sz w:val="32"/>
          <w:szCs w:val="32"/>
          <w:highlight w:val="white"/>
        </w:rPr>
        <w:t>〔</w:t>
      </w:r>
      <w:r w:rsidRPr="00D753A5">
        <w:rPr>
          <w:rFonts w:ascii="仿宋_GB2312" w:eastAsia="仿宋_GB2312"/>
          <w:sz w:val="32"/>
          <w:szCs w:val="32"/>
          <w:highlight w:val="white"/>
        </w:rPr>
        <w:t>2019</w:t>
      </w:r>
      <w:r w:rsidR="009C086F">
        <w:rPr>
          <w:rFonts w:ascii="仿宋_GB2312" w:eastAsia="仿宋_GB2312"/>
          <w:sz w:val="32"/>
          <w:szCs w:val="32"/>
          <w:highlight w:val="white"/>
        </w:rPr>
        <w:t>〕</w:t>
      </w:r>
      <w:r w:rsidRPr="00D753A5">
        <w:rPr>
          <w:rFonts w:ascii="仿宋_GB2312" w:eastAsia="仿宋_GB2312"/>
          <w:sz w:val="32"/>
          <w:szCs w:val="32"/>
          <w:highlight w:val="white"/>
        </w:rPr>
        <w:t>10号）等有关文件精神，现将我单位2021年度对部门整体支出进行了绩效评价,有关情况报告如下：</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Calibri" w:eastAsia="黑体" w:hAnsi="Calibri" w:cs="Calibri" w:hint="default"/>
          <w:sz w:val="32"/>
          <w:szCs w:val="32"/>
          <w:highlight w:val="white"/>
        </w:rPr>
        <w:t> </w:t>
      </w:r>
      <w:r w:rsidRPr="00D753A5">
        <w:rPr>
          <w:rFonts w:ascii="黑体" w:eastAsia="黑体" w:hAnsi="黑体"/>
          <w:sz w:val="32"/>
          <w:szCs w:val="32"/>
          <w:highlight w:val="white"/>
        </w:rPr>
        <w:t>一、部门概况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lastRenderedPageBreak/>
        <w:t> </w:t>
      </w:r>
      <w:r w:rsidR="009C086F">
        <w:rPr>
          <w:rFonts w:ascii="仿宋_GB2312" w:eastAsia="仿宋_GB2312"/>
          <w:sz w:val="32"/>
          <w:szCs w:val="32"/>
          <w:highlight w:val="white"/>
        </w:rPr>
        <w:t>（一）</w:t>
      </w:r>
      <w:r w:rsidRPr="00D753A5">
        <w:rPr>
          <w:rFonts w:ascii="仿宋_GB2312" w:eastAsia="仿宋_GB2312"/>
          <w:sz w:val="32"/>
          <w:szCs w:val="32"/>
          <w:highlight w:val="white"/>
        </w:rPr>
        <w:t>部门基本情况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衡龙桥镇人民政府(简称本单位)系正科级行政机关。单位办公地址为衡龙桥镇衡龙桥村。根益阳市赫山区机构编制委员会办公室《关于印发&lt;赫山区乡镇机关职能配置、内设机构和人员编制〉规定的通知》文件精神，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保障宪法和法律赋予妇女的男女平等、同工同酬和婚姻自由等各项权利。6、办理上级人民政府交办的其他事项。</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衡龙桥镇人民政府系正科级行政机关，机关工作机构统一设置为：党政办公室、党建办公室、经济发展办公室（挂农业农村和扶贫办公室牌子）、社会事务办公室、自然资源和生态环境办公室（挂村镇规划建设和管理办公室牌子）、社会治安和应急管理办公室、财政所、综合执法大队、社会事务综合服务中心（挂文化综合服务站牌子）、农业综合服务中心、党群和政务服务中心、退役军人事务站。衡龙桥镇人民政府统筹各部门，承担本辖</w:t>
      </w:r>
      <w:r w:rsidRPr="00D753A5">
        <w:rPr>
          <w:rFonts w:ascii="仿宋_GB2312" w:eastAsia="仿宋_GB2312"/>
          <w:sz w:val="32"/>
          <w:szCs w:val="32"/>
          <w:highlight w:val="white"/>
        </w:rPr>
        <w:lastRenderedPageBreak/>
        <w:t>区内的所有基本公共服务职能。</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单位经区编核定的编制人数为110人，其中行政编制43人、行政工勤编3人、事业编制64人、目前实有在职行政编制人员33人，在职事业编制人员57人，在职自收自支人员15人、离退休人员80人，另政府返聘与临聘人员11人，城管队3人。</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009C086F">
        <w:rPr>
          <w:rFonts w:ascii="仿宋_GB2312" w:eastAsia="仿宋_GB2312"/>
          <w:sz w:val="32"/>
          <w:szCs w:val="32"/>
          <w:highlight w:val="white"/>
        </w:rPr>
        <w:t>（二）</w:t>
      </w:r>
      <w:r w:rsidRPr="00D753A5">
        <w:rPr>
          <w:rFonts w:ascii="仿宋_GB2312" w:eastAsia="仿宋_GB2312"/>
          <w:sz w:val="32"/>
          <w:szCs w:val="32"/>
          <w:highlight w:val="white"/>
        </w:rPr>
        <w:t>部门整体支出规模、使用方向和主要内容、涉及范围</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2020年度部门整体支出规模为4790万元。</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1</w:t>
      </w:r>
      <w:r w:rsidR="009C086F">
        <w:rPr>
          <w:rFonts w:ascii="仿宋_GB2312" w:eastAsia="仿宋_GB2312"/>
          <w:sz w:val="32"/>
          <w:szCs w:val="32"/>
          <w:highlight w:val="white"/>
        </w:rPr>
        <w:t>.</w:t>
      </w:r>
      <w:r w:rsidRPr="00D753A5">
        <w:rPr>
          <w:rFonts w:ascii="仿宋_GB2312" w:eastAsia="仿宋_GB2312"/>
          <w:sz w:val="32"/>
          <w:szCs w:val="32"/>
          <w:highlight w:val="white"/>
        </w:rPr>
        <w:t>基本公共服务支出1966.6万元。其中：包括行政运行760万元、机关事业单位基本养老保险87万元、住房公积金51万元、机关事业单位职业年金34万元、退休人员工资197万元、分流人员三金及生活费316.6万元、机关公用支出260万元、招商引资30万元（其中包含统计工作经费支出5万）、会议费20万元、公务用车运行及维护费20万元、机关修缮费30万元、人大事务支出8万元、政协事务支出2万元、工会事务支出40万元、纪委事务支出8万元、党建事务支出35万元、政法事务支出10万元、武装工作事务支出8万元、社会治安和应急管理事务支出50万元(其中包含禁毒经费5万元)。</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w:t>
      </w:r>
      <w:r w:rsidR="009C086F">
        <w:rPr>
          <w:rFonts w:ascii="仿宋_GB2312" w:eastAsia="仿宋_GB2312"/>
          <w:sz w:val="32"/>
          <w:szCs w:val="32"/>
          <w:highlight w:val="white"/>
        </w:rPr>
        <w:t>.</w:t>
      </w:r>
      <w:r w:rsidRPr="00D753A5">
        <w:rPr>
          <w:rFonts w:ascii="仿宋_GB2312" w:eastAsia="仿宋_GB2312"/>
          <w:sz w:val="32"/>
          <w:szCs w:val="32"/>
          <w:highlight w:val="white"/>
        </w:rPr>
        <w:t>教育支出19万元、文化体育与传媒支出45万元、社会保障和就业支出881万元、医疗卫生与计划生育支出231万元、环境保护支出460万元、城乡社区事务支出155万元、农林水事务支出882万元、其他支出150.4万元。</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lastRenderedPageBreak/>
        <w:t>二、部门整体支出管理及使用情况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为贯彻中央八项规定和中央《党政机关厉行节约反对浪费条例》，根据区财政局的相关规定，我镇制定了关于严格“三公”经费预算管理的规定、关于落实厉行节约反对浪费条例的实施意见、机关财务管理制度、出差管理制度、机关内接待管理规定、机关公务用车管理等相关制度;加强了资金的使用管理，坚持勤俭节约，反对奢侈浪费，制定了机关财务管理制度、联审会签制度、集中采购制度等，按制度办事，确保每一分钱都落到实处，每一环节按程序进行，部门财务管理工作做到了细、严、实。基本支出的主要用于发放人员工资、办公行政支出，2020年三公经费总额50万元，其中公务用车费用10万元，公务接待费用30万元，无公费旅游费用；会议费10万元。</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三、部门专项组织实施情况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2020年我镇投资150万元一事一议的补助完成了村组级公路的硬化、桥梁维修、水塘维修加固清淤、饮水工程等。</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四、固定资产管理情况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为规范固定资产管理，实现固定资产的优化配置，我镇制定了固定资产管理制度，固定资产指定专人管理，及时登记，科学使用，每年年末对固定资产进行清查盘点，国定资产的调出、处置、报废、报损严格执行国家有关规定的审批程序办理。</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黑体" w:eastAsia="黑体" w:hAnsi="黑体"/>
          <w:sz w:val="32"/>
          <w:szCs w:val="32"/>
          <w:highlight w:val="white"/>
        </w:rPr>
        <w:t>五、部门整体支出绩效情况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2020年，根据年初计划的重点工作，本单位通过对财政资</w:t>
      </w:r>
      <w:r w:rsidRPr="00D753A5">
        <w:rPr>
          <w:rFonts w:ascii="仿宋_GB2312" w:eastAsia="仿宋_GB2312"/>
          <w:sz w:val="32"/>
          <w:szCs w:val="32"/>
          <w:highlight w:val="white"/>
        </w:rPr>
        <w:lastRenderedPageBreak/>
        <w:t>金的使用，取得了如下绩效：</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（一）</w:t>
      </w:r>
      <w:r w:rsidR="0015160C" w:rsidRPr="00D753A5">
        <w:rPr>
          <w:rFonts w:ascii="仿宋_GB2312" w:eastAsia="仿宋_GB2312"/>
          <w:sz w:val="32"/>
          <w:szCs w:val="32"/>
          <w:highlight w:val="white"/>
        </w:rPr>
        <w:t>优化经济发展环境，招商引资。2020年，我镇积极实施税收协控联管，定期召开政企联络会议，实现税收3213.2万元；积极招商引资与立项争资，全镇共有招商引资和在建项目7个，立项争资金额660万元。</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（二）</w:t>
      </w:r>
      <w:r w:rsidR="0015160C" w:rsidRPr="00D753A5">
        <w:rPr>
          <w:rFonts w:ascii="仿宋_GB2312" w:eastAsia="仿宋_GB2312"/>
          <w:sz w:val="32"/>
          <w:szCs w:val="32"/>
          <w:highlight w:val="white"/>
        </w:rPr>
        <w:t>做好农林水工作，服务群众。2020年认真落实了减负政策，发放如下涉农资金。其中耕地地力补贴资金353万元、退耕还林、公益林支付资金9.76万元、退伍兵补助29.6万元、独生子女保健、计划生育将扶费65.55万元、农机具购置补贴11.14万元、扶贫寄宿生生活费13.5万元、库区移民资金53.77万元等。</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（三）</w:t>
      </w:r>
      <w:r w:rsidR="0015160C" w:rsidRPr="00D753A5">
        <w:rPr>
          <w:rFonts w:ascii="仿宋_GB2312" w:eastAsia="仿宋_GB2312"/>
          <w:sz w:val="32"/>
          <w:szCs w:val="32"/>
          <w:highlight w:val="white"/>
        </w:rPr>
        <w:t>社会管理。一是确保安全生产不出事故。集中力量狠抓农用车载客、安全运营和河沙整治等安全生产查处工作，制定了有效的工作方案措施，明确综治工作职责和责任追究制度。加大安全生产宣传力度，制作安全生产警示牌，对道路交通安全、学校食堂餐馆食品卫生安全、地质灾害监测点防汛安全等进行了不定期的全面大排查、大整治，开展了过境车辆治超治限工作。二是及时调解纠纷。认真落实矛盾纠纷排查调处制度，做到重点信访对象有效稳控，无进京、赴省信访发生，其他州县共性存在的信访群体不参与上访。纠纷调解及时，调解成功率达100%，无刑事案件发生，治安形势较好。三是狠抓“查违控违”工作。加大对“两违”整治工作巡查、查处力度，以“零容忍”的态度</w:t>
      </w:r>
      <w:r w:rsidR="0015160C" w:rsidRPr="00D753A5">
        <w:rPr>
          <w:rFonts w:ascii="仿宋_GB2312" w:eastAsia="仿宋_GB2312"/>
          <w:sz w:val="32"/>
          <w:szCs w:val="32"/>
          <w:highlight w:val="white"/>
        </w:rPr>
        <w:lastRenderedPageBreak/>
        <w:t>坚决打击“两违”势力冒头。强化宣传力度，创新宣传方式，“两违”工作深入人心，群众知晓率达100%。四是全面推进卫生城市工作。开展整脏治乱和灭“四害”等工作，为场上主街道安装路灯，做到街道亮化;规范齐门经营划分标志线，固定停靠点，做到规范有序;切实做好环境整治，投入资金将村级环境卫生保洁任务发包到责任人，大大改善了全镇的人居环境。</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（四）</w:t>
      </w:r>
      <w:r w:rsidR="0015160C" w:rsidRPr="00D753A5">
        <w:rPr>
          <w:rFonts w:ascii="仿宋_GB2312" w:eastAsia="仿宋_GB2312"/>
          <w:sz w:val="32"/>
          <w:szCs w:val="32"/>
          <w:highlight w:val="white"/>
        </w:rPr>
        <w:t>科教文卫不断完善，多面发展。认真履行教育工作职责，抓好控辍保学工作，高度注重校车安全，定期对校车超载等现象进行突击检查；多次召开专题会议，扎实整治校园周边环境。镇政府在教师节等特定节假对优秀教师进行表彰，对贫困教师和离退休教师进行走访慰问;争取上级资金，解决学校危房安全隐患问题，较好地提高了学校师生的学习、生活条件。争取专项资金，购进篮球架、健身器材等，极大改善、丰富了农村文化生活。</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Calibri" w:eastAsia="黑体" w:hAnsi="Calibri" w:cs="Calibri" w:hint="default"/>
          <w:sz w:val="32"/>
          <w:szCs w:val="32"/>
          <w:highlight w:val="white"/>
        </w:rPr>
        <w:t> </w:t>
      </w:r>
      <w:r w:rsidRPr="00D753A5">
        <w:rPr>
          <w:rFonts w:ascii="黑体" w:eastAsia="黑体" w:hAnsi="黑体"/>
          <w:sz w:val="32"/>
          <w:szCs w:val="32"/>
          <w:highlight w:val="white"/>
        </w:rPr>
        <w:t>六、存在的主要问题</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一是工作机制有待进一步完善，由于在平时工作中未加强绩效监控工作的重视，绩效监控工作容易滞后，未形成对绩效目标进行监控的习惯。</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二是单位各部门衔接不及时，无法及时监控预算绩效目标实施情况。</w:t>
      </w:r>
    </w:p>
    <w:p w:rsidR="00FD5C40" w:rsidRPr="00D753A5" w:rsidRDefault="0015160C" w:rsidP="00D753A5">
      <w:pPr>
        <w:spacing w:line="560" w:lineRule="exact"/>
        <w:ind w:firstLineChars="200" w:firstLine="640"/>
        <w:rPr>
          <w:rFonts w:ascii="仿宋_GB2312" w:eastAsia="仿宋_GB2312" w:hint="default"/>
          <w:sz w:val="32"/>
          <w:szCs w:val="32"/>
          <w:highlight w:val="white"/>
        </w:rPr>
      </w:pPr>
      <w:r w:rsidRPr="00D753A5">
        <w:rPr>
          <w:rFonts w:ascii="仿宋_GB2312" w:eastAsia="仿宋_GB2312"/>
          <w:sz w:val="32"/>
          <w:szCs w:val="32"/>
          <w:highlight w:val="white"/>
        </w:rPr>
        <w:t> </w:t>
      </w:r>
      <w:r w:rsidRPr="00D753A5">
        <w:rPr>
          <w:rFonts w:ascii="仿宋_GB2312" w:eastAsia="仿宋_GB2312"/>
          <w:sz w:val="32"/>
          <w:szCs w:val="32"/>
          <w:highlight w:val="white"/>
        </w:rPr>
        <w:t>三是政府和财务部门在部门整体支出的资金安排和使用上仍有不可预见性，在实际工作中有资金延迟到位的情况。</w:t>
      </w:r>
    </w:p>
    <w:p w:rsidR="00FD5C40" w:rsidRPr="00D753A5" w:rsidRDefault="0015160C" w:rsidP="00D753A5">
      <w:pPr>
        <w:spacing w:line="560" w:lineRule="exact"/>
        <w:ind w:firstLineChars="200" w:firstLine="640"/>
        <w:rPr>
          <w:rFonts w:ascii="黑体" w:eastAsia="黑体" w:hAnsi="黑体" w:hint="default"/>
          <w:sz w:val="32"/>
          <w:szCs w:val="32"/>
          <w:highlight w:val="white"/>
        </w:rPr>
      </w:pPr>
      <w:r w:rsidRPr="00D753A5">
        <w:rPr>
          <w:rFonts w:ascii="Calibri" w:eastAsia="黑体" w:hAnsi="Calibri" w:cs="Calibri" w:hint="default"/>
          <w:sz w:val="32"/>
          <w:szCs w:val="32"/>
          <w:highlight w:val="white"/>
        </w:rPr>
        <w:t> </w:t>
      </w:r>
      <w:r w:rsidRPr="00D753A5">
        <w:rPr>
          <w:rFonts w:ascii="黑体" w:eastAsia="黑体" w:hAnsi="黑体"/>
          <w:sz w:val="32"/>
          <w:szCs w:val="32"/>
          <w:highlight w:val="white"/>
        </w:rPr>
        <w:t>七、改进措施和有关建议</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lastRenderedPageBreak/>
        <w:t>（一）</w:t>
      </w:r>
      <w:r w:rsidR="0015160C" w:rsidRPr="00D753A5">
        <w:rPr>
          <w:rFonts w:ascii="仿宋_GB2312" w:eastAsia="仿宋_GB2312"/>
          <w:sz w:val="32"/>
          <w:szCs w:val="32"/>
          <w:highlight w:val="white"/>
        </w:rPr>
        <w:t>政府在平时工作中进一步加强对绩效目标监控的重视，定期对预算执行情况进行监督，使绩效目标监控与政府工作、财务工作挂钩，做到及时监控，及时控制，避免疏忽。</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（二）</w:t>
      </w:r>
      <w:r w:rsidR="0015160C" w:rsidRPr="00D753A5">
        <w:rPr>
          <w:rFonts w:ascii="仿宋_GB2312" w:eastAsia="仿宋_GB2312"/>
          <w:sz w:val="32"/>
          <w:szCs w:val="32"/>
          <w:highlight w:val="white"/>
        </w:rPr>
        <w:t>加强各部门衔接，使预算绩效目标实施进度得到及时反馈，便于及时汇总监控。</w:t>
      </w:r>
    </w:p>
    <w:p w:rsidR="00FD5C40" w:rsidRPr="00D753A5" w:rsidRDefault="009C086F" w:rsidP="00D753A5">
      <w:pPr>
        <w:spacing w:line="560" w:lineRule="exact"/>
        <w:ind w:firstLineChars="200" w:firstLine="640"/>
        <w:rPr>
          <w:rFonts w:ascii="仿宋_GB2312" w:eastAsia="仿宋_GB2312" w:hint="default"/>
          <w:sz w:val="32"/>
          <w:szCs w:val="32"/>
          <w:highlight w:val="white"/>
        </w:rPr>
      </w:pPr>
      <w:r>
        <w:rPr>
          <w:rFonts w:ascii="仿宋_GB2312" w:eastAsia="仿宋_GB2312"/>
          <w:sz w:val="32"/>
          <w:szCs w:val="32"/>
          <w:highlight w:val="white"/>
        </w:rPr>
        <w:t>（三）</w:t>
      </w:r>
      <w:r w:rsidR="0015160C" w:rsidRPr="00D753A5">
        <w:rPr>
          <w:rFonts w:ascii="仿宋_GB2312" w:eastAsia="仿宋_GB2312"/>
          <w:sz w:val="32"/>
          <w:szCs w:val="32"/>
          <w:highlight w:val="white"/>
        </w:rPr>
        <w:t>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rsidR="009C086F" w:rsidRDefault="009C086F">
      <w:pPr>
        <w:widowControl/>
        <w:jc w:val="left"/>
        <w:rPr>
          <w:rFonts w:ascii="宋体" w:hAnsi="宋体" w:cs="宋体" w:hint="default"/>
          <w:b/>
          <w:bCs/>
          <w:color w:val="333333"/>
          <w:kern w:val="0"/>
          <w:sz w:val="36"/>
          <w:szCs w:val="36"/>
          <w:shd w:val="clear" w:color="auto" w:fill="FFFFFF"/>
        </w:rPr>
      </w:pPr>
      <w:r>
        <w:rPr>
          <w:rFonts w:ascii="宋体" w:hAnsi="宋体" w:cs="宋体" w:hint="default"/>
          <w:b/>
          <w:bCs/>
          <w:color w:val="333333"/>
          <w:sz w:val="36"/>
          <w:szCs w:val="36"/>
          <w:shd w:val="clear" w:color="auto" w:fill="FFFFFF"/>
        </w:rPr>
        <w:br w:type="page"/>
      </w:r>
    </w:p>
    <w:p w:rsidR="00FD5C40" w:rsidRDefault="0015160C">
      <w:pPr>
        <w:pStyle w:val="a5"/>
        <w:widowControl/>
        <w:shd w:val="clear" w:color="auto" w:fill="FFFFFF"/>
        <w:spacing w:beforeAutospacing="0" w:afterAutospacing="0" w:line="480" w:lineRule="atLeast"/>
        <w:jc w:val="center"/>
        <w:rPr>
          <w:rFonts w:ascii="宋体" w:hint="default"/>
          <w:sz w:val="32"/>
          <w:szCs w:val="32"/>
        </w:rPr>
      </w:pPr>
      <w:r>
        <w:rPr>
          <w:rFonts w:ascii="宋体" w:hAnsi="宋体" w:cs="宋体"/>
          <w:b/>
          <w:bCs/>
          <w:color w:val="333333"/>
          <w:sz w:val="36"/>
          <w:szCs w:val="36"/>
          <w:shd w:val="clear" w:color="auto" w:fill="FFFFFF"/>
        </w:rPr>
        <w:lastRenderedPageBreak/>
        <w:t>2020年度部门整体支出绩效自评指标计分表</w:t>
      </w:r>
    </w:p>
    <w:p w:rsidR="00FD5C40" w:rsidRDefault="00FD5C40">
      <w:pPr>
        <w:rPr>
          <w:rFonts w:ascii="宋体" w:hint="default"/>
          <w:sz w:val="32"/>
          <w:szCs w:val="32"/>
        </w:rPr>
      </w:pP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FD5C40">
        <w:trPr>
          <w:trHeight w:val="489"/>
          <w:tblHeader/>
          <w:jc w:val="center"/>
        </w:trPr>
        <w:tc>
          <w:tcPr>
            <w:tcW w:w="307" w:type="pct"/>
            <w:tcMar>
              <w:top w:w="10" w:type="dxa"/>
              <w:left w:w="10" w:type="dxa"/>
              <w:bottom w:w="0" w:type="dxa"/>
              <w:right w:w="10" w:type="dxa"/>
            </w:tcMar>
            <w:vAlign w:val="center"/>
          </w:tcPr>
          <w:p w:rsidR="00FD5C40" w:rsidRDefault="0015160C">
            <w:pPr>
              <w:spacing w:line="240" w:lineRule="exact"/>
              <w:jc w:val="center"/>
              <w:rPr>
                <w:rFonts w:ascii="宋体" w:cs="宋体" w:hint="default"/>
                <w:b/>
                <w:bCs/>
              </w:rPr>
            </w:pPr>
            <w:r>
              <w:rPr>
                <w:rFonts w:ascii="宋体" w:hAnsi="宋体" w:cs="宋体"/>
                <w:b/>
                <w:bCs/>
              </w:rPr>
              <w:t>一级</w:t>
            </w:r>
            <w:r>
              <w:rPr>
                <w:rFonts w:ascii="宋体" w:cs="宋体"/>
                <w:b/>
                <w:bCs/>
              </w:rPr>
              <w:br/>
            </w:r>
            <w:r>
              <w:rPr>
                <w:rFonts w:ascii="宋体" w:hAnsi="宋体" w:cs="宋体"/>
                <w:b/>
                <w:bCs/>
              </w:rPr>
              <w:t>指标</w:t>
            </w:r>
          </w:p>
        </w:tc>
        <w:tc>
          <w:tcPr>
            <w:tcW w:w="375" w:type="pct"/>
            <w:tcMar>
              <w:top w:w="10" w:type="dxa"/>
              <w:left w:w="10" w:type="dxa"/>
              <w:bottom w:w="0" w:type="dxa"/>
              <w:right w:w="10" w:type="dxa"/>
            </w:tcMar>
            <w:vAlign w:val="center"/>
          </w:tcPr>
          <w:p w:rsidR="00FD5C40" w:rsidRDefault="0015160C">
            <w:pPr>
              <w:spacing w:line="240" w:lineRule="exact"/>
              <w:ind w:rightChars="-83" w:right="-174"/>
              <w:jc w:val="center"/>
              <w:rPr>
                <w:rFonts w:ascii="宋体" w:cs="宋体" w:hint="default"/>
                <w:b/>
                <w:bCs/>
              </w:rPr>
            </w:pPr>
            <w:r>
              <w:rPr>
                <w:rFonts w:ascii="宋体" w:hAnsi="宋体" w:cs="宋体"/>
                <w:b/>
                <w:bCs/>
              </w:rPr>
              <w:t>二级</w:t>
            </w:r>
          </w:p>
          <w:p w:rsidR="00FD5C40" w:rsidRDefault="0015160C">
            <w:pPr>
              <w:spacing w:line="240" w:lineRule="exact"/>
              <w:ind w:rightChars="-83" w:right="-174"/>
              <w:jc w:val="center"/>
              <w:rPr>
                <w:rFonts w:ascii="宋体" w:cs="宋体" w:hint="default"/>
                <w:b/>
                <w:bCs/>
              </w:rPr>
            </w:pPr>
            <w:r>
              <w:rPr>
                <w:rFonts w:ascii="宋体" w:hAnsi="宋体" w:cs="宋体"/>
                <w:b/>
                <w:bCs/>
              </w:rPr>
              <w:t>指标</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b/>
                <w:bCs/>
              </w:rPr>
            </w:pPr>
            <w:r>
              <w:rPr>
                <w:rFonts w:ascii="宋体" w:hAnsi="宋体" w:cs="宋体"/>
                <w:b/>
                <w:bCs/>
              </w:rPr>
              <w:t>三级</w:t>
            </w:r>
          </w:p>
          <w:p w:rsidR="00FD5C40" w:rsidRDefault="0015160C">
            <w:pPr>
              <w:spacing w:line="240" w:lineRule="exact"/>
              <w:jc w:val="center"/>
              <w:rPr>
                <w:rFonts w:ascii="宋体" w:cs="宋体" w:hint="default"/>
                <w:b/>
                <w:bCs/>
              </w:rPr>
            </w:pPr>
            <w:r>
              <w:rPr>
                <w:rFonts w:ascii="宋体" w:hAnsi="宋体" w:cs="宋体"/>
                <w:b/>
                <w:bCs/>
              </w:rPr>
              <w:t>指标</w:t>
            </w:r>
          </w:p>
        </w:tc>
        <w:tc>
          <w:tcPr>
            <w:tcW w:w="375" w:type="pct"/>
            <w:vAlign w:val="center"/>
          </w:tcPr>
          <w:p w:rsidR="00FD5C40" w:rsidRDefault="0015160C">
            <w:pPr>
              <w:spacing w:line="240" w:lineRule="exact"/>
              <w:ind w:leftChars="50" w:left="105" w:rightChars="50" w:right="105"/>
              <w:jc w:val="center"/>
              <w:rPr>
                <w:rFonts w:ascii="宋体" w:cs="宋体" w:hint="default"/>
                <w:b/>
                <w:bCs/>
              </w:rPr>
            </w:pPr>
            <w:r>
              <w:rPr>
                <w:rFonts w:ascii="宋体" w:hAnsi="宋体" w:cs="宋体"/>
                <w:b/>
                <w:bCs/>
              </w:rPr>
              <w:t>自评分</w:t>
            </w:r>
          </w:p>
        </w:tc>
        <w:tc>
          <w:tcPr>
            <w:tcW w:w="1576" w:type="pct"/>
            <w:tcMar>
              <w:top w:w="10" w:type="dxa"/>
              <w:left w:w="10" w:type="dxa"/>
              <w:bottom w:w="0" w:type="dxa"/>
              <w:right w:w="10" w:type="dxa"/>
            </w:tcMar>
            <w:vAlign w:val="center"/>
          </w:tcPr>
          <w:p w:rsidR="00FD5C40" w:rsidRDefault="0015160C">
            <w:pPr>
              <w:spacing w:line="240" w:lineRule="exact"/>
              <w:ind w:leftChars="50" w:left="105" w:rightChars="50" w:right="105"/>
              <w:jc w:val="center"/>
              <w:rPr>
                <w:rFonts w:ascii="宋体" w:cs="宋体" w:hint="default"/>
                <w:b/>
                <w:bCs/>
              </w:rPr>
            </w:pPr>
            <w:r>
              <w:rPr>
                <w:rFonts w:ascii="宋体" w:hAnsi="宋体" w:cs="宋体"/>
                <w:b/>
                <w:bCs/>
              </w:rPr>
              <w:t>指标解释</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jc w:val="center"/>
              <w:rPr>
                <w:rFonts w:ascii="宋体" w:cs="宋体" w:hint="default"/>
                <w:b/>
                <w:bCs/>
              </w:rPr>
            </w:pPr>
            <w:r>
              <w:rPr>
                <w:rFonts w:ascii="宋体" w:hAnsi="宋体" w:cs="宋体"/>
                <w:b/>
                <w:bCs/>
              </w:rPr>
              <w:t>指标说明</w:t>
            </w:r>
          </w:p>
        </w:tc>
      </w:tr>
      <w:tr w:rsidR="00FD5C40">
        <w:trPr>
          <w:trHeight w:val="1892"/>
          <w:jc w:val="center"/>
        </w:trPr>
        <w:tc>
          <w:tcPr>
            <w:tcW w:w="307" w:type="pct"/>
            <w:vMerge w:val="restart"/>
            <w:noWrap/>
            <w:tcMar>
              <w:top w:w="10" w:type="dxa"/>
              <w:left w:w="10" w:type="dxa"/>
              <w:bottom w:w="0" w:type="dxa"/>
              <w:right w:w="10" w:type="dxa"/>
            </w:tcMar>
            <w:textDirection w:val="tbRlV"/>
            <w:vAlign w:val="center"/>
          </w:tcPr>
          <w:p w:rsidR="00FD5C40" w:rsidRDefault="0015160C">
            <w:pPr>
              <w:spacing w:line="240" w:lineRule="exact"/>
              <w:jc w:val="center"/>
              <w:rPr>
                <w:rFonts w:ascii="宋体" w:cs="宋体" w:hint="default"/>
              </w:rPr>
            </w:pPr>
            <w:r>
              <w:rPr>
                <w:rFonts w:ascii="宋体" w:hAnsi="宋体" w:cs="宋体"/>
              </w:rPr>
              <w:t>投入（20分）</w:t>
            </w: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目标</w:t>
            </w:r>
            <w:r>
              <w:rPr>
                <w:rFonts w:ascii="宋体" w:cs="宋体"/>
              </w:rPr>
              <w:br/>
            </w:r>
            <w:r>
              <w:rPr>
                <w:rFonts w:ascii="宋体" w:hAnsi="宋体" w:cs="宋体"/>
              </w:rPr>
              <w:t>设定（5分）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绩效目标</w:t>
            </w:r>
          </w:p>
          <w:p w:rsidR="00FD5C40" w:rsidRDefault="0015160C">
            <w:pPr>
              <w:spacing w:line="240" w:lineRule="exact"/>
              <w:jc w:val="center"/>
              <w:rPr>
                <w:rFonts w:ascii="宋体" w:cs="宋体" w:hint="default"/>
              </w:rPr>
            </w:pPr>
            <w:r>
              <w:rPr>
                <w:rFonts w:ascii="宋体" w:hAnsi="宋体" w:cs="宋体"/>
              </w:rPr>
              <w:t>合理性（2分）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①是否符合国家法律法规、国民经济和社会发展总体规划；</w:t>
            </w:r>
            <w:r>
              <w:rPr>
                <w:rFonts w:ascii="宋体" w:cs="宋体"/>
              </w:rPr>
              <w:br/>
            </w:r>
            <w:r>
              <w:rPr>
                <w:rFonts w:ascii="宋体" w:hAnsi="宋体" w:cs="宋体"/>
              </w:rPr>
              <w:t>②是否符合部门“三定”方案确定的职责；</w:t>
            </w:r>
            <w:r>
              <w:rPr>
                <w:rFonts w:ascii="宋体" w:cs="宋体"/>
              </w:rPr>
              <w:br/>
            </w:r>
            <w:r>
              <w:rPr>
                <w:rFonts w:ascii="宋体" w:hAnsi="宋体" w:cs="宋体"/>
              </w:rPr>
              <w:t>③是否符合部门制定的中长期实施规划。</w:t>
            </w:r>
          </w:p>
        </w:tc>
      </w:tr>
      <w:tr w:rsidR="00FD5C40">
        <w:trPr>
          <w:trHeight w:val="2137"/>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绩效指标</w:t>
            </w:r>
          </w:p>
          <w:p w:rsidR="00FD5C40" w:rsidRDefault="0015160C">
            <w:pPr>
              <w:spacing w:line="240" w:lineRule="exact"/>
              <w:jc w:val="center"/>
              <w:rPr>
                <w:rFonts w:ascii="宋体" w:cs="宋体" w:hint="default"/>
              </w:rPr>
            </w:pPr>
            <w:r>
              <w:rPr>
                <w:rFonts w:ascii="宋体" w:hAnsi="宋体" w:cs="宋体"/>
              </w:rPr>
              <w:t>明确性（3分）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3</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①是否将部门整体的绩效目标细化分解为具体的工作任务；</w:t>
            </w:r>
            <w:r>
              <w:rPr>
                <w:rFonts w:ascii="宋体" w:cs="宋体"/>
              </w:rPr>
              <w:br/>
            </w:r>
            <w:r>
              <w:rPr>
                <w:rFonts w:ascii="宋体" w:hAnsi="宋体" w:cs="宋体"/>
              </w:rPr>
              <w:t>②是否通过清晰、可衡量的指标值予以体现。③是否与部门年度的任务数或计划数相对应；</w:t>
            </w:r>
            <w:r>
              <w:rPr>
                <w:rFonts w:ascii="宋体" w:cs="宋体"/>
              </w:rPr>
              <w:br/>
            </w:r>
            <w:r>
              <w:rPr>
                <w:rFonts w:ascii="宋体" w:hAnsi="宋体" w:cs="宋体"/>
              </w:rPr>
              <w:t>④是否与本年度部门预算资金相匹配。</w:t>
            </w:r>
          </w:p>
        </w:tc>
      </w:tr>
      <w:tr w:rsidR="00FD5C40">
        <w:trPr>
          <w:trHeight w:val="1931"/>
          <w:jc w:val="center"/>
        </w:trPr>
        <w:tc>
          <w:tcPr>
            <w:tcW w:w="307" w:type="pct"/>
            <w:vMerge/>
            <w:vAlign w:val="center"/>
          </w:tcPr>
          <w:p w:rsidR="00FD5C40" w:rsidRDefault="00FD5C40">
            <w:pPr>
              <w:spacing w:line="240" w:lineRule="exact"/>
              <w:rPr>
                <w:rFonts w:ascii="宋体" w:cs="宋体" w:hint="default"/>
              </w:rPr>
            </w:pP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预算</w:t>
            </w:r>
            <w:r>
              <w:rPr>
                <w:rFonts w:ascii="宋体" w:cs="宋体"/>
              </w:rPr>
              <w:br/>
            </w:r>
            <w:r>
              <w:rPr>
                <w:rFonts w:ascii="宋体" w:hAnsi="宋体" w:cs="宋体"/>
              </w:rPr>
              <w:t>配置（15分）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在职人员</w:t>
            </w:r>
          </w:p>
          <w:p w:rsidR="00FD5C40" w:rsidRDefault="0015160C">
            <w:pPr>
              <w:spacing w:line="240" w:lineRule="exact"/>
              <w:jc w:val="center"/>
              <w:rPr>
                <w:rFonts w:ascii="宋体" w:cs="宋体" w:hint="default"/>
              </w:rPr>
            </w:pPr>
            <w:r>
              <w:rPr>
                <w:rFonts w:ascii="宋体" w:hAnsi="宋体" w:cs="宋体"/>
              </w:rPr>
              <w:t>控制率（5分）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在职人员控制率=（在职人员数/编制数）×100%。</w:t>
            </w:r>
            <w:r>
              <w:rPr>
                <w:rFonts w:ascii="宋体" w:cs="宋体"/>
              </w:rPr>
              <w:br/>
            </w:r>
            <w:r>
              <w:rPr>
                <w:rFonts w:ascii="宋体" w:hAnsi="宋体" w:cs="宋体"/>
              </w:rPr>
              <w:t>在职人员数：部门实际在职人数，以财政部确定的部门决算编制口径为准。</w:t>
            </w:r>
            <w:r>
              <w:rPr>
                <w:rFonts w:ascii="宋体" w:cs="宋体"/>
              </w:rPr>
              <w:br/>
            </w:r>
            <w:r>
              <w:rPr>
                <w:rFonts w:ascii="宋体" w:hAnsi="宋体" w:cs="宋体"/>
              </w:rPr>
              <w:t>编制数：机构编制部门核定批复的部门的人员编制数。</w:t>
            </w:r>
          </w:p>
        </w:tc>
      </w:tr>
      <w:tr w:rsidR="00FD5C40">
        <w:trPr>
          <w:trHeight w:val="2030"/>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“三公经费”</w:t>
            </w:r>
          </w:p>
          <w:p w:rsidR="00FD5C40" w:rsidRDefault="0015160C">
            <w:pPr>
              <w:spacing w:line="240" w:lineRule="exact"/>
              <w:jc w:val="center"/>
              <w:rPr>
                <w:rFonts w:ascii="宋体" w:cs="宋体" w:hint="default"/>
              </w:rPr>
            </w:pPr>
            <w:r>
              <w:rPr>
                <w:rFonts w:ascii="宋体" w:hAnsi="宋体" w:cs="宋体"/>
              </w:rPr>
              <w:t>变动率（5分）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“三公经费”变动率=[（本年度“三公经费”总额</w:t>
            </w:r>
            <w:r>
              <w:rPr>
                <w:rFonts w:ascii="宋体" w:cs="宋体"/>
              </w:rPr>
              <w:t>-</w:t>
            </w:r>
            <w:r>
              <w:rPr>
                <w:rFonts w:ascii="宋体" w:hAnsi="宋体" w:cs="宋体"/>
              </w:rPr>
              <w:t>上年度“三公经费”总额）/上年度“三公经费”总额]×100%。</w:t>
            </w:r>
            <w:r>
              <w:rPr>
                <w:rFonts w:ascii="宋体" w:cs="宋体"/>
              </w:rPr>
              <w:br/>
            </w:r>
            <w:r>
              <w:rPr>
                <w:rFonts w:ascii="宋体" w:hAnsi="宋体" w:cs="宋体"/>
              </w:rPr>
              <w:t>“三公经费”：年度预算安排的因公出国（境）费、公务车辆购置及运行费和公务招待费。</w:t>
            </w:r>
          </w:p>
        </w:tc>
      </w:tr>
      <w:tr w:rsidR="00FD5C40">
        <w:trPr>
          <w:trHeight w:val="2510"/>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重点支出</w:t>
            </w:r>
          </w:p>
          <w:p w:rsidR="00FD5C40" w:rsidRDefault="0015160C">
            <w:pPr>
              <w:spacing w:line="240" w:lineRule="exact"/>
              <w:jc w:val="center"/>
              <w:rPr>
                <w:rFonts w:ascii="宋体" w:cs="宋体" w:hint="default"/>
              </w:rPr>
            </w:pPr>
            <w:r>
              <w:rPr>
                <w:rFonts w:ascii="宋体" w:hAnsi="宋体" w:cs="宋体"/>
              </w:rPr>
              <w:t>安排率（5分）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重点支出安排率=（重点预算支出/预算总支出）×100%。</w:t>
            </w:r>
            <w:r>
              <w:rPr>
                <w:rFonts w:ascii="宋体" w:cs="宋体"/>
              </w:rPr>
              <w:br/>
            </w:r>
            <w:r>
              <w:rPr>
                <w:rFonts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rPr>
              <w:t>预算总支出：部门年度预算安排的预算支出支出总额。</w:t>
            </w:r>
          </w:p>
        </w:tc>
      </w:tr>
      <w:tr w:rsidR="00FD5C40">
        <w:trPr>
          <w:trHeight w:val="1462"/>
          <w:jc w:val="center"/>
        </w:trPr>
        <w:tc>
          <w:tcPr>
            <w:tcW w:w="307" w:type="pct"/>
            <w:vMerge w:val="restart"/>
            <w:noWrap/>
            <w:tcMar>
              <w:top w:w="10" w:type="dxa"/>
              <w:left w:w="10" w:type="dxa"/>
              <w:bottom w:w="0" w:type="dxa"/>
              <w:right w:w="10" w:type="dxa"/>
            </w:tcMar>
            <w:textDirection w:val="tbRlV"/>
            <w:vAlign w:val="center"/>
          </w:tcPr>
          <w:p w:rsidR="00FD5C40" w:rsidRDefault="0015160C">
            <w:pPr>
              <w:spacing w:line="240" w:lineRule="exact"/>
              <w:jc w:val="center"/>
              <w:rPr>
                <w:rFonts w:ascii="宋体" w:cs="宋体" w:hint="default"/>
              </w:rPr>
            </w:pPr>
            <w:r>
              <w:rPr>
                <w:rFonts w:ascii="宋体" w:hAnsi="宋体" w:cs="宋体"/>
              </w:rPr>
              <w:lastRenderedPageBreak/>
              <w:t>过程（30分）</w:t>
            </w: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预算</w:t>
            </w:r>
            <w:r>
              <w:rPr>
                <w:rFonts w:ascii="宋体" w:cs="宋体"/>
              </w:rPr>
              <w:br/>
            </w:r>
            <w:r>
              <w:rPr>
                <w:rFonts w:ascii="宋体" w:hAnsi="宋体" w:cs="宋体"/>
              </w:rPr>
              <w:t>执行（20分）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预算</w:t>
            </w:r>
          </w:p>
          <w:p w:rsidR="00FD5C40" w:rsidRDefault="0015160C">
            <w:pPr>
              <w:spacing w:line="240" w:lineRule="exact"/>
              <w:jc w:val="center"/>
              <w:rPr>
                <w:rFonts w:ascii="宋体" w:cs="宋体" w:hint="default"/>
              </w:rPr>
            </w:pPr>
            <w:r>
              <w:rPr>
                <w:rFonts w:ascii="宋体" w:hAnsi="宋体" w:cs="宋体"/>
              </w:rPr>
              <w:t>执行率（4分）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预算执行率=（预算执行数/预算数）×100%。</w:t>
            </w:r>
            <w:r>
              <w:rPr>
                <w:rFonts w:ascii="宋体" w:cs="宋体"/>
              </w:rPr>
              <w:br/>
            </w:r>
            <w:r>
              <w:rPr>
                <w:rFonts w:ascii="宋体" w:hAnsi="宋体" w:cs="宋体"/>
              </w:rPr>
              <w:t>预算执行数：部门本年度实际完成的预算数。</w:t>
            </w:r>
            <w:r>
              <w:rPr>
                <w:rFonts w:ascii="宋体" w:cs="宋体"/>
              </w:rPr>
              <w:br/>
            </w:r>
            <w:r>
              <w:rPr>
                <w:rFonts w:ascii="宋体" w:hAnsi="宋体" w:cs="宋体"/>
              </w:rPr>
              <w:t>预算数：财政部门批复的本年度部门预算数。</w:t>
            </w:r>
          </w:p>
        </w:tc>
      </w:tr>
      <w:tr w:rsidR="00FD5C40">
        <w:trPr>
          <w:trHeight w:val="1824"/>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预算</w:t>
            </w:r>
          </w:p>
          <w:p w:rsidR="00FD5C40" w:rsidRDefault="0015160C">
            <w:pPr>
              <w:spacing w:line="240" w:lineRule="exact"/>
              <w:jc w:val="center"/>
              <w:rPr>
                <w:rFonts w:ascii="宋体" w:cs="宋体" w:hint="default"/>
              </w:rPr>
            </w:pPr>
            <w:r>
              <w:rPr>
                <w:rFonts w:ascii="宋体" w:hAnsi="宋体" w:cs="宋体"/>
              </w:rPr>
              <w:t>调整率（2分）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预算调整率=（预算调整数/预算数）×100%。</w:t>
            </w:r>
            <w:r>
              <w:rPr>
                <w:rFonts w:ascii="宋体" w:cs="宋体"/>
              </w:rPr>
              <w:br/>
            </w:r>
            <w:r>
              <w:rPr>
                <w:rFonts w:ascii="宋体" w:hAnsi="宋体" w:cs="宋体"/>
              </w:rPr>
              <w:t>预算调整数：部门在本年度内涉及预算的追加、追减或结构调整的资金总和（因落实国家政策、发生不可抗力、上级部门或本级党委政府临时交办而产生的调整除外）。</w:t>
            </w:r>
          </w:p>
        </w:tc>
      </w:tr>
      <w:tr w:rsidR="00FD5C40">
        <w:trPr>
          <w:trHeight w:val="2531"/>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支付</w:t>
            </w:r>
          </w:p>
          <w:p w:rsidR="00FD5C40" w:rsidRDefault="0015160C">
            <w:pPr>
              <w:spacing w:line="240" w:lineRule="exact"/>
              <w:jc w:val="center"/>
              <w:rPr>
                <w:rFonts w:ascii="宋体" w:cs="宋体" w:hint="default"/>
              </w:rPr>
            </w:pPr>
            <w:r>
              <w:rPr>
                <w:rFonts w:ascii="宋体" w:hAnsi="宋体" w:cs="宋体"/>
              </w:rPr>
              <w:t>进度率（2分）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支付进度率=（实际支付进度/既定支付进度）×100%。</w:t>
            </w:r>
            <w:r>
              <w:rPr>
                <w:rFonts w:ascii="宋体" w:cs="宋体"/>
              </w:rPr>
              <w:br/>
            </w:r>
            <w:r>
              <w:rPr>
                <w:rFonts w:ascii="宋体" w:hAnsi="宋体" w:cs="宋体"/>
              </w:rPr>
              <w:t>实际支付进度：部门在某一时点的支出预算执行总数与年度支出预算数的比率。</w:t>
            </w:r>
            <w:r>
              <w:rPr>
                <w:rFonts w:ascii="宋体" w:cs="宋体"/>
              </w:rPr>
              <w:br/>
            </w:r>
            <w:r>
              <w:rPr>
                <w:rFonts w:ascii="宋体" w:hAnsi="宋体" w:cs="宋体"/>
              </w:rPr>
              <w:t>既定支付进度：由部门在申报部门整体绩效目标时，参照序时支付进度、前三年支付进度、本级部门平均支付进度水平等确定的，在某一时点应达到的支付进度（比率）。</w:t>
            </w:r>
          </w:p>
        </w:tc>
      </w:tr>
      <w:tr w:rsidR="00FD5C40">
        <w:trPr>
          <w:trHeight w:val="1209"/>
          <w:jc w:val="center"/>
        </w:trPr>
        <w:tc>
          <w:tcPr>
            <w:tcW w:w="307" w:type="pct"/>
            <w:vMerge/>
            <w:noWrap/>
            <w:tcMar>
              <w:top w:w="10" w:type="dxa"/>
              <w:left w:w="10" w:type="dxa"/>
              <w:bottom w:w="0" w:type="dxa"/>
              <w:right w:w="10" w:type="dxa"/>
            </w:tcMar>
            <w:textDirection w:val="tbRlV"/>
            <w:vAlign w:val="center"/>
          </w:tcPr>
          <w:p w:rsidR="00FD5C40" w:rsidRDefault="00FD5C40">
            <w:pPr>
              <w:spacing w:line="240" w:lineRule="exact"/>
              <w:jc w:val="center"/>
              <w:rPr>
                <w:rFonts w:ascii="宋体" w:cs="宋体" w:hint="default"/>
              </w:rPr>
            </w:pPr>
          </w:p>
        </w:tc>
        <w:tc>
          <w:tcPr>
            <w:tcW w:w="375" w:type="pct"/>
            <w:vMerge/>
            <w:tcMar>
              <w:top w:w="10" w:type="dxa"/>
              <w:left w:w="10" w:type="dxa"/>
              <w:bottom w:w="0" w:type="dxa"/>
              <w:right w:w="10" w:type="dxa"/>
            </w:tcMar>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结转</w:t>
            </w:r>
          </w:p>
          <w:p w:rsidR="00FD5C40" w:rsidRDefault="0015160C">
            <w:pPr>
              <w:spacing w:line="240" w:lineRule="exact"/>
              <w:jc w:val="center"/>
              <w:rPr>
                <w:rFonts w:ascii="宋体" w:cs="宋体" w:hint="default"/>
              </w:rPr>
            </w:pPr>
            <w:r>
              <w:rPr>
                <w:rFonts w:ascii="宋体" w:hAnsi="宋体" w:cs="宋体"/>
              </w:rPr>
              <w:t>结余率（2分）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结转结余率=结转结余总额/支出预算数×100%。</w:t>
            </w:r>
            <w:r>
              <w:rPr>
                <w:rFonts w:ascii="宋体" w:cs="宋体"/>
              </w:rPr>
              <w:br/>
            </w:r>
            <w:r>
              <w:rPr>
                <w:rFonts w:ascii="宋体" w:hAnsi="宋体" w:cs="宋体"/>
              </w:rPr>
              <w:t>结转结余总额：部门本年度的结转资金与结余资金之和（以决算数为准）。</w:t>
            </w:r>
          </w:p>
        </w:tc>
      </w:tr>
      <w:tr w:rsidR="00FD5C40">
        <w:trPr>
          <w:trHeight w:val="1113"/>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结转结余</w:t>
            </w:r>
          </w:p>
          <w:p w:rsidR="00FD5C40" w:rsidRDefault="0015160C">
            <w:pPr>
              <w:spacing w:line="240" w:lineRule="exact"/>
              <w:jc w:val="center"/>
              <w:rPr>
                <w:rFonts w:ascii="宋体" w:cs="宋体" w:hint="default"/>
              </w:rPr>
            </w:pPr>
            <w:r>
              <w:rPr>
                <w:rFonts w:ascii="宋体" w:hAnsi="宋体" w:cs="宋体"/>
              </w:rPr>
              <w:t>变动率（2分）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结转结余变动率=[（本年度累计结转结余资金总额</w:t>
            </w:r>
            <w:r>
              <w:rPr>
                <w:rFonts w:ascii="宋体" w:cs="宋体"/>
              </w:rPr>
              <w:t>-</w:t>
            </w:r>
            <w:r>
              <w:rPr>
                <w:rFonts w:ascii="宋体" w:hAnsi="宋体" w:cs="宋体"/>
              </w:rPr>
              <w:t>上年度累计结转结余资金总额）/上年度累计结转结余资金总额]×100%。</w:t>
            </w:r>
          </w:p>
        </w:tc>
      </w:tr>
      <w:tr w:rsidR="00FD5C40">
        <w:trPr>
          <w:trHeight w:val="1315"/>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公用经费</w:t>
            </w:r>
          </w:p>
          <w:p w:rsidR="00FD5C40" w:rsidRDefault="0015160C">
            <w:pPr>
              <w:spacing w:line="240" w:lineRule="exact"/>
              <w:jc w:val="center"/>
              <w:rPr>
                <w:rFonts w:ascii="宋体" w:cs="宋体" w:hint="default"/>
              </w:rPr>
            </w:pPr>
            <w:r>
              <w:rPr>
                <w:rFonts w:ascii="宋体" w:hAnsi="宋体" w:cs="宋体"/>
              </w:rPr>
              <w:t>控制率（2分）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公用经费控制率=（实际支出公用经费总额/预算安排公用经费总额）×100%。</w:t>
            </w:r>
          </w:p>
        </w:tc>
      </w:tr>
      <w:tr w:rsidR="00FD5C40">
        <w:trPr>
          <w:trHeight w:val="1018"/>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“三公经费”控制率（2分）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“三公经费”控制率=（“三公经费”实际支出数/“三公经费”预算安排数）×100%。</w:t>
            </w:r>
          </w:p>
        </w:tc>
      </w:tr>
      <w:tr w:rsidR="00FD5C40">
        <w:trPr>
          <w:trHeight w:val="1320"/>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政府采购</w:t>
            </w:r>
          </w:p>
          <w:p w:rsidR="00FD5C40" w:rsidRDefault="0015160C">
            <w:pPr>
              <w:spacing w:line="240" w:lineRule="exact"/>
              <w:jc w:val="center"/>
              <w:rPr>
                <w:rFonts w:ascii="宋体" w:cs="宋体" w:hint="default"/>
              </w:rPr>
            </w:pPr>
            <w:r>
              <w:rPr>
                <w:rFonts w:ascii="宋体" w:hAnsi="宋体" w:cs="宋体"/>
              </w:rPr>
              <w:t>执行率（4分）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3.5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政府采购执行率=（实际政府采购金额/政府采购预算数）×100%；</w:t>
            </w:r>
            <w:r>
              <w:rPr>
                <w:rFonts w:ascii="宋体" w:cs="宋体"/>
              </w:rPr>
              <w:br/>
            </w:r>
            <w:r>
              <w:rPr>
                <w:rFonts w:ascii="宋体" w:hAnsi="宋体" w:cs="宋体"/>
              </w:rPr>
              <w:t>政府采购预算：采购机关根据事业发展计划和行政任务编制的、并经过规定程序批准的年度政府采购计划。</w:t>
            </w:r>
          </w:p>
        </w:tc>
      </w:tr>
      <w:tr w:rsidR="00FD5C40">
        <w:trPr>
          <w:trHeight w:val="2029"/>
          <w:jc w:val="center"/>
        </w:trPr>
        <w:tc>
          <w:tcPr>
            <w:tcW w:w="307" w:type="pct"/>
            <w:vMerge w:val="restart"/>
            <w:vAlign w:val="center"/>
          </w:tcPr>
          <w:p w:rsidR="00FD5C40" w:rsidRDefault="0015160C">
            <w:pPr>
              <w:spacing w:line="240" w:lineRule="exact"/>
              <w:jc w:val="center"/>
              <w:rPr>
                <w:rFonts w:ascii="宋体" w:cs="宋体" w:hint="default"/>
              </w:rPr>
            </w:pPr>
            <w:r>
              <w:rPr>
                <w:rFonts w:ascii="宋体" w:hAnsi="宋体" w:cs="宋体"/>
              </w:rPr>
              <w:lastRenderedPageBreak/>
              <w:t>过</w:t>
            </w:r>
          </w:p>
          <w:p w:rsidR="00FD5C40" w:rsidRDefault="0015160C">
            <w:pPr>
              <w:spacing w:line="240" w:lineRule="exact"/>
              <w:jc w:val="center"/>
              <w:rPr>
                <w:rFonts w:ascii="宋体" w:cs="宋体" w:hint="default"/>
              </w:rPr>
            </w:pPr>
            <w:r>
              <w:rPr>
                <w:rFonts w:ascii="宋体" w:hAnsi="宋体" w:cs="宋体"/>
              </w:rPr>
              <w:t>程（30分）</w:t>
            </w: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预算</w:t>
            </w:r>
            <w:r>
              <w:rPr>
                <w:rFonts w:ascii="宋体" w:cs="宋体"/>
              </w:rPr>
              <w:br/>
            </w:r>
            <w:r>
              <w:rPr>
                <w:rFonts w:ascii="宋体" w:hAnsi="宋体" w:cs="宋体"/>
              </w:rPr>
              <w:t>管理（5分）</w:t>
            </w:r>
          </w:p>
          <w:p w:rsidR="00FD5C40" w:rsidRDefault="0015160C">
            <w:pPr>
              <w:spacing w:line="240" w:lineRule="exact"/>
              <w:jc w:val="center"/>
              <w:rPr>
                <w:rFonts w:ascii="宋体" w:cs="宋体" w:hint="default"/>
              </w:rPr>
            </w:pPr>
            <w:r>
              <w:rPr>
                <w:rFonts w:ascii="宋体" w:hAnsi="宋体" w:cs="宋体"/>
              </w:rPr>
              <w:t>）</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管理制度</w:t>
            </w:r>
          </w:p>
          <w:p w:rsidR="00FD5C40" w:rsidRDefault="0015160C">
            <w:pPr>
              <w:spacing w:line="240" w:lineRule="exact"/>
              <w:jc w:val="center"/>
              <w:rPr>
                <w:rFonts w:ascii="宋体" w:cs="宋体" w:hint="default"/>
              </w:rPr>
            </w:pPr>
            <w:r>
              <w:rPr>
                <w:rFonts w:ascii="宋体" w:hAnsi="宋体" w:cs="宋体"/>
              </w:rPr>
              <w:t>健全性（2分）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2</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①是否已制定或具有预算资金管理办法、内部财务管理制度、会计核算制度等管理制度；</w:t>
            </w:r>
            <w:r>
              <w:rPr>
                <w:rFonts w:ascii="宋体" w:cs="宋体"/>
              </w:rPr>
              <w:br/>
            </w:r>
            <w:r>
              <w:rPr>
                <w:rFonts w:ascii="宋体" w:hAnsi="宋体" w:cs="宋体"/>
              </w:rPr>
              <w:t>②相关管理制度是否合法、合规、完整；</w:t>
            </w:r>
            <w:r>
              <w:rPr>
                <w:rFonts w:ascii="宋体" w:cs="宋体"/>
              </w:rPr>
              <w:br/>
            </w:r>
            <w:r>
              <w:rPr>
                <w:rFonts w:ascii="宋体" w:hAnsi="宋体" w:cs="宋体"/>
              </w:rPr>
              <w:t>③相关管理制度是否得到有效执行。</w:t>
            </w:r>
          </w:p>
        </w:tc>
      </w:tr>
      <w:tr w:rsidR="00FD5C40">
        <w:trPr>
          <w:trHeight w:val="2537"/>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资金使用</w:t>
            </w:r>
          </w:p>
          <w:p w:rsidR="00FD5C40" w:rsidRDefault="0015160C">
            <w:pPr>
              <w:spacing w:line="240" w:lineRule="exact"/>
              <w:jc w:val="center"/>
              <w:rPr>
                <w:rFonts w:ascii="宋体" w:cs="宋体" w:hint="default"/>
              </w:rPr>
            </w:pPr>
            <w:r>
              <w:rPr>
                <w:rFonts w:ascii="宋体" w:hAnsi="宋体" w:cs="宋体"/>
              </w:rPr>
              <w:t>合规性（1分）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①是否符合国家财经法规和财务管理制度规定以及有关预算支出管理办法的规定；</w:t>
            </w:r>
            <w:r>
              <w:rPr>
                <w:rFonts w:ascii="宋体" w:cs="宋体"/>
              </w:rPr>
              <w:br/>
            </w:r>
            <w:r>
              <w:rPr>
                <w:rFonts w:ascii="宋体" w:hAnsi="宋体" w:cs="宋体"/>
              </w:rPr>
              <w:t>②资金的拨付是否有完整的审批程序和手续；</w:t>
            </w:r>
            <w:r>
              <w:rPr>
                <w:rFonts w:ascii="宋体" w:cs="宋体"/>
              </w:rPr>
              <w:br/>
            </w:r>
            <w:r>
              <w:rPr>
                <w:rFonts w:ascii="宋体" w:hAnsi="宋体" w:cs="宋体"/>
              </w:rPr>
              <w:t>③预算支出的重大开支是否经过评估论证；</w:t>
            </w:r>
            <w:r>
              <w:rPr>
                <w:rFonts w:ascii="宋体" w:cs="宋体"/>
              </w:rPr>
              <w:br/>
            </w:r>
            <w:r>
              <w:rPr>
                <w:rFonts w:ascii="宋体" w:hAnsi="宋体" w:cs="宋体"/>
              </w:rPr>
              <w:t>④是否符合部门预算批复的用途；</w:t>
            </w:r>
            <w:r>
              <w:rPr>
                <w:rFonts w:ascii="宋体" w:cs="宋体"/>
              </w:rPr>
              <w:br/>
            </w:r>
            <w:r>
              <w:rPr>
                <w:rFonts w:ascii="宋体" w:hAnsi="宋体" w:cs="宋体"/>
              </w:rPr>
              <w:t>⑤是否存在截留、挤占、挪用、虚列支出等情况。</w:t>
            </w:r>
          </w:p>
        </w:tc>
      </w:tr>
      <w:tr w:rsidR="00FD5C40">
        <w:trPr>
          <w:trHeight w:val="1272"/>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预决算信</w:t>
            </w:r>
          </w:p>
          <w:p w:rsidR="00FD5C40" w:rsidRDefault="0015160C">
            <w:pPr>
              <w:spacing w:line="240" w:lineRule="exact"/>
              <w:jc w:val="center"/>
              <w:rPr>
                <w:rFonts w:ascii="宋体" w:cs="宋体" w:hint="default"/>
              </w:rPr>
            </w:pPr>
            <w:r>
              <w:rPr>
                <w:rFonts w:ascii="宋体" w:hAnsi="宋体" w:cs="宋体"/>
              </w:rPr>
              <w:t>息公开性（1分）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①是否按规定内容公开预决算信息；</w:t>
            </w:r>
            <w:r>
              <w:rPr>
                <w:rFonts w:ascii="宋体" w:cs="宋体"/>
              </w:rPr>
              <w:br/>
            </w:r>
            <w:r>
              <w:rPr>
                <w:rFonts w:ascii="宋体" w:hAnsi="宋体" w:cs="宋体"/>
              </w:rPr>
              <w:t>②是否按规定时限公开预决算信息。</w:t>
            </w:r>
            <w:r>
              <w:rPr>
                <w:rFonts w:ascii="宋体" w:cs="宋体"/>
              </w:rPr>
              <w:br/>
            </w:r>
            <w:r>
              <w:rPr>
                <w:rFonts w:ascii="宋体" w:hAnsi="宋体" w:cs="宋体"/>
              </w:rPr>
              <w:t>预决算信息是指与部门预算、执行、决算、监督、绩效等管理相关的信息。</w:t>
            </w:r>
          </w:p>
        </w:tc>
      </w:tr>
      <w:tr w:rsidR="00FD5C40" w:rsidTr="009C086F">
        <w:trPr>
          <w:trHeight w:val="1404"/>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基础信息</w:t>
            </w:r>
          </w:p>
          <w:p w:rsidR="00FD5C40" w:rsidRDefault="0015160C">
            <w:pPr>
              <w:spacing w:line="240" w:lineRule="exact"/>
              <w:jc w:val="center"/>
              <w:rPr>
                <w:rFonts w:ascii="宋体" w:cs="宋体" w:hint="default"/>
              </w:rPr>
            </w:pPr>
            <w:r>
              <w:rPr>
                <w:rFonts w:ascii="宋体" w:hAnsi="宋体" w:cs="宋体"/>
              </w:rPr>
              <w:t>完善性（1分）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FD5C40" w:rsidRDefault="0015160C" w:rsidP="009C086F">
            <w:pPr>
              <w:spacing w:line="22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①基础数据信息和会计信息资料是否真实；</w:t>
            </w:r>
            <w:r>
              <w:rPr>
                <w:rFonts w:ascii="宋体" w:cs="宋体"/>
              </w:rPr>
              <w:br/>
            </w:r>
            <w:r>
              <w:rPr>
                <w:rFonts w:ascii="宋体" w:hAnsi="宋体" w:cs="宋体"/>
              </w:rPr>
              <w:t>②基础数据信息和会计信息资料是否完整；</w:t>
            </w:r>
            <w:r>
              <w:rPr>
                <w:rFonts w:ascii="宋体" w:cs="宋体"/>
              </w:rPr>
              <w:br/>
            </w:r>
            <w:r>
              <w:rPr>
                <w:rFonts w:ascii="宋体" w:hAnsi="宋体" w:cs="宋体"/>
              </w:rPr>
              <w:t>③基础数据信息和会计信息资料是否准确。</w:t>
            </w:r>
          </w:p>
        </w:tc>
      </w:tr>
      <w:tr w:rsidR="00FD5C40">
        <w:trPr>
          <w:trHeight w:val="1389"/>
          <w:jc w:val="center"/>
        </w:trPr>
        <w:tc>
          <w:tcPr>
            <w:tcW w:w="307" w:type="pct"/>
            <w:vMerge/>
            <w:noWrap/>
            <w:tcMar>
              <w:top w:w="10" w:type="dxa"/>
              <w:left w:w="10" w:type="dxa"/>
              <w:bottom w:w="0" w:type="dxa"/>
              <w:right w:w="10" w:type="dxa"/>
            </w:tcMar>
            <w:textDirection w:val="tbRlV"/>
            <w:vAlign w:val="center"/>
          </w:tcPr>
          <w:p w:rsidR="00FD5C40" w:rsidRDefault="00FD5C40">
            <w:pPr>
              <w:spacing w:line="240" w:lineRule="exact"/>
              <w:jc w:val="center"/>
              <w:rPr>
                <w:rFonts w:ascii="宋体" w:cs="宋体" w:hint="default"/>
              </w:rPr>
            </w:pP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资产</w:t>
            </w:r>
            <w:r>
              <w:rPr>
                <w:rFonts w:ascii="宋体" w:cs="宋体"/>
              </w:rPr>
              <w:br/>
            </w:r>
            <w:r>
              <w:rPr>
                <w:rFonts w:ascii="宋体" w:hAnsi="宋体" w:cs="宋体"/>
              </w:rPr>
              <w:t>管理（5分）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管理制度</w:t>
            </w:r>
          </w:p>
          <w:p w:rsidR="00FD5C40" w:rsidRDefault="0015160C">
            <w:pPr>
              <w:spacing w:line="240" w:lineRule="exact"/>
              <w:jc w:val="center"/>
              <w:rPr>
                <w:rFonts w:ascii="宋体" w:cs="宋体" w:hint="default"/>
              </w:rPr>
            </w:pPr>
            <w:r>
              <w:rPr>
                <w:rFonts w:ascii="宋体" w:hAnsi="宋体" w:cs="宋体"/>
              </w:rPr>
              <w:t>健全性（2分）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FD5C40" w:rsidRDefault="0015160C" w:rsidP="009C086F">
            <w:pPr>
              <w:spacing w:line="22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①是否已制定或具有资产管理制度；②相关资金管理制度是否合法、合规、完整；</w:t>
            </w:r>
            <w:r>
              <w:rPr>
                <w:rFonts w:ascii="宋体" w:cs="宋体"/>
              </w:rPr>
              <w:br/>
            </w:r>
            <w:r>
              <w:rPr>
                <w:rFonts w:ascii="宋体" w:hAnsi="宋体" w:cs="宋体"/>
              </w:rPr>
              <w:t>③相关资产管理制度是否得到有效执行。</w:t>
            </w:r>
          </w:p>
        </w:tc>
      </w:tr>
      <w:tr w:rsidR="00FD5C40">
        <w:trPr>
          <w:trHeight w:val="1887"/>
          <w:jc w:val="center"/>
        </w:trPr>
        <w:tc>
          <w:tcPr>
            <w:tcW w:w="307" w:type="pct"/>
            <w:vMerge/>
            <w:vAlign w:val="center"/>
          </w:tcPr>
          <w:p w:rsidR="00FD5C40" w:rsidRDefault="00FD5C40">
            <w:pPr>
              <w:spacing w:line="240" w:lineRule="exact"/>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资产管理</w:t>
            </w:r>
          </w:p>
          <w:p w:rsidR="00FD5C40" w:rsidRDefault="0015160C">
            <w:pPr>
              <w:spacing w:line="240" w:lineRule="exact"/>
              <w:jc w:val="center"/>
              <w:rPr>
                <w:rFonts w:ascii="宋体" w:cs="宋体" w:hint="default"/>
              </w:rPr>
            </w:pPr>
            <w:r>
              <w:rPr>
                <w:rFonts w:ascii="宋体" w:hAnsi="宋体" w:cs="宋体"/>
              </w:rPr>
              <w:t>安全性（2分）</w:t>
            </w:r>
          </w:p>
        </w:tc>
        <w:tc>
          <w:tcPr>
            <w:tcW w:w="375" w:type="pct"/>
          </w:tcPr>
          <w:p w:rsidR="00FD5C40" w:rsidRDefault="0015160C" w:rsidP="0015160C">
            <w:pPr>
              <w:tabs>
                <w:tab w:val="left" w:pos="761"/>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761"/>
                <w:tab w:val="left" w:pos="2604"/>
              </w:tabs>
              <w:spacing w:line="240" w:lineRule="exact"/>
              <w:ind w:leftChars="50" w:left="105" w:rightChars="50" w:right="105" w:firstLineChars="46" w:firstLine="97"/>
              <w:rPr>
                <w:rFonts w:ascii="宋体" w:cs="宋体" w:hint="default"/>
              </w:rPr>
            </w:pPr>
            <w:r>
              <w:rPr>
                <w:rFonts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评价要点：</w:t>
            </w:r>
            <w:r>
              <w:rPr>
                <w:rFonts w:ascii="宋体" w:cs="宋体"/>
              </w:rPr>
              <w:br/>
            </w:r>
            <w:r>
              <w:rPr>
                <w:rFonts w:ascii="宋体" w:hAnsi="宋体" w:cs="宋体"/>
              </w:rPr>
              <w:t>①资产保存是否完整；</w:t>
            </w:r>
            <w:r>
              <w:rPr>
                <w:rFonts w:ascii="宋体" w:cs="宋体"/>
              </w:rPr>
              <w:br/>
            </w:r>
            <w:r>
              <w:rPr>
                <w:rFonts w:ascii="宋体" w:hAnsi="宋体" w:cs="宋体"/>
              </w:rPr>
              <w:t>②资产配置是否合理；</w:t>
            </w:r>
            <w:r>
              <w:rPr>
                <w:rFonts w:ascii="宋体" w:cs="宋体"/>
              </w:rPr>
              <w:br/>
            </w:r>
            <w:r>
              <w:rPr>
                <w:rFonts w:ascii="宋体" w:hAnsi="宋体" w:cs="宋体"/>
              </w:rPr>
              <w:t>③资产处置是否规范；</w:t>
            </w:r>
            <w:r>
              <w:rPr>
                <w:rFonts w:ascii="宋体" w:cs="宋体"/>
              </w:rPr>
              <w:br/>
            </w:r>
            <w:r>
              <w:rPr>
                <w:rFonts w:ascii="宋体" w:hAnsi="宋体" w:cs="宋体"/>
              </w:rPr>
              <w:t>④资产账务管理是否合规，是否帐实相符；</w:t>
            </w:r>
            <w:bookmarkStart w:id="0" w:name="_GoBack"/>
            <w:bookmarkEnd w:id="0"/>
            <w:r>
              <w:rPr>
                <w:rFonts w:ascii="宋体" w:cs="宋体"/>
              </w:rPr>
              <w:br/>
            </w:r>
            <w:r>
              <w:rPr>
                <w:rFonts w:ascii="宋体" w:hAnsi="宋体" w:cs="宋体"/>
              </w:rPr>
              <w:t>⑤资产是否有偿使用及处置收入及时足额上缴。</w:t>
            </w:r>
          </w:p>
        </w:tc>
      </w:tr>
      <w:tr w:rsidR="00FD5C40">
        <w:trPr>
          <w:trHeight w:val="895"/>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固定资产</w:t>
            </w:r>
          </w:p>
          <w:p w:rsidR="00FD5C40" w:rsidRDefault="0015160C">
            <w:pPr>
              <w:spacing w:line="240" w:lineRule="exact"/>
              <w:jc w:val="center"/>
              <w:rPr>
                <w:rFonts w:ascii="宋体" w:cs="宋体" w:hint="default"/>
              </w:rPr>
            </w:pPr>
            <w:r>
              <w:rPr>
                <w:rFonts w:ascii="宋体" w:hAnsi="宋体" w:cs="宋体"/>
              </w:rPr>
              <w:t>利用率（1分）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1</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固定资产利用率=（实际在用固定资产总额/所有固定资产总额）×100%。</w:t>
            </w:r>
          </w:p>
        </w:tc>
      </w:tr>
      <w:tr w:rsidR="00FD5C40">
        <w:trPr>
          <w:trHeight w:val="2171"/>
          <w:jc w:val="center"/>
        </w:trPr>
        <w:tc>
          <w:tcPr>
            <w:tcW w:w="307" w:type="pct"/>
            <w:vMerge w:val="restart"/>
            <w:noWrap/>
            <w:tcMar>
              <w:top w:w="10" w:type="dxa"/>
              <w:left w:w="10" w:type="dxa"/>
              <w:bottom w:w="0" w:type="dxa"/>
              <w:right w:w="10" w:type="dxa"/>
            </w:tcMar>
            <w:textDirection w:val="tbRlV"/>
            <w:vAlign w:val="center"/>
          </w:tcPr>
          <w:p w:rsidR="00FD5C40" w:rsidRDefault="0015160C">
            <w:pPr>
              <w:spacing w:line="240" w:lineRule="exact"/>
              <w:jc w:val="center"/>
              <w:rPr>
                <w:rFonts w:ascii="宋体" w:cs="宋体" w:hint="default"/>
              </w:rPr>
            </w:pPr>
            <w:r>
              <w:rPr>
                <w:rFonts w:ascii="宋体" w:hAnsi="宋体" w:cs="宋体"/>
              </w:rPr>
              <w:lastRenderedPageBreak/>
              <w:t>产出（30分）</w:t>
            </w: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职责</w:t>
            </w:r>
            <w:r>
              <w:rPr>
                <w:rFonts w:ascii="宋体" w:cs="宋体"/>
              </w:rPr>
              <w:br/>
            </w:r>
            <w:r>
              <w:rPr>
                <w:rFonts w:ascii="宋体" w:hAnsi="宋体" w:cs="宋体"/>
              </w:rPr>
              <w:t>履行（30分）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实际</w:t>
            </w:r>
          </w:p>
          <w:p w:rsidR="00FD5C40" w:rsidRDefault="0015160C">
            <w:pPr>
              <w:spacing w:line="240" w:lineRule="exact"/>
              <w:jc w:val="center"/>
              <w:rPr>
                <w:rFonts w:ascii="宋体" w:cs="宋体" w:hint="default"/>
              </w:rPr>
            </w:pPr>
            <w:r>
              <w:rPr>
                <w:rFonts w:ascii="宋体" w:hAnsi="宋体" w:cs="宋体"/>
              </w:rPr>
              <w:t>完成率（8分）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7</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实际完成率=（实际完成工作数/计划工作数）×100%。</w:t>
            </w:r>
            <w:r>
              <w:rPr>
                <w:rFonts w:ascii="宋体" w:cs="宋体"/>
              </w:rPr>
              <w:br/>
            </w:r>
            <w:r>
              <w:rPr>
                <w:rFonts w:ascii="宋体" w:hAnsi="宋体" w:cs="宋体"/>
              </w:rPr>
              <w:t>实际完成工作数：一定时期（年度或规划期）内部门实际完成工作任务的数量。</w:t>
            </w:r>
            <w:r>
              <w:rPr>
                <w:rFonts w:ascii="宋体" w:cs="宋体"/>
              </w:rPr>
              <w:br/>
            </w:r>
            <w:r>
              <w:rPr>
                <w:rFonts w:ascii="宋体" w:hAnsi="宋体" w:cs="宋体"/>
              </w:rPr>
              <w:t>计划工作数：部门整体绩效目标确定的一定时期（年度或规划期）内预计完成工作任务的数量。</w:t>
            </w:r>
          </w:p>
        </w:tc>
      </w:tr>
      <w:tr w:rsidR="00FD5C40">
        <w:trPr>
          <w:trHeight w:val="1393"/>
          <w:jc w:val="center"/>
        </w:trPr>
        <w:tc>
          <w:tcPr>
            <w:tcW w:w="307" w:type="pct"/>
            <w:vMerge/>
            <w:textDirection w:val="tbRlV"/>
            <w:vAlign w:val="center"/>
          </w:tcPr>
          <w:p w:rsidR="00FD5C40" w:rsidRDefault="00FD5C40">
            <w:pPr>
              <w:spacing w:line="240" w:lineRule="exact"/>
              <w:ind w:left="113"/>
              <w:jc w:val="center"/>
              <w:rPr>
                <w:rFonts w:ascii="宋体" w:cs="宋体" w:hint="default"/>
              </w:rPr>
            </w:pPr>
          </w:p>
        </w:tc>
        <w:tc>
          <w:tcPr>
            <w:tcW w:w="375" w:type="pct"/>
            <w:vMerge/>
            <w:vAlign w:val="center"/>
          </w:tcPr>
          <w:p w:rsidR="00FD5C40" w:rsidRDefault="00FD5C40">
            <w:pPr>
              <w:spacing w:line="240" w:lineRule="exact"/>
              <w:jc w:val="center"/>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完成</w:t>
            </w:r>
          </w:p>
          <w:p w:rsidR="00FD5C40" w:rsidRDefault="0015160C">
            <w:pPr>
              <w:spacing w:line="240" w:lineRule="exact"/>
              <w:jc w:val="center"/>
              <w:rPr>
                <w:rFonts w:ascii="宋体" w:cs="宋体" w:hint="default"/>
              </w:rPr>
            </w:pPr>
            <w:r>
              <w:rPr>
                <w:rFonts w:ascii="宋体" w:hAnsi="宋体" w:cs="宋体"/>
              </w:rPr>
              <w:t>及时率（4分）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4</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部门在规定时限内及时完成的实际工作数与计划工作数的比率</w:t>
            </w:r>
            <w:r>
              <w:rPr>
                <w:rFonts w:ascii="宋体" w:cs="宋体"/>
              </w:rPr>
              <w:t>,</w:t>
            </w:r>
            <w:r>
              <w:rPr>
                <w:rFonts w:ascii="宋体" w:hAnsi="宋体" w:cs="宋体"/>
              </w:rPr>
              <w:t>用以反映和考核部门履职时效目标的实现程度。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完成及时率=（及时完成实际工作数/计划工作数）×100%。</w:t>
            </w:r>
            <w:r>
              <w:rPr>
                <w:rFonts w:ascii="宋体" w:cs="宋体"/>
              </w:rPr>
              <w:br/>
            </w:r>
            <w:r>
              <w:rPr>
                <w:rFonts w:ascii="宋体" w:hAnsi="宋体" w:cs="宋体"/>
              </w:rPr>
              <w:t>及时完成实际工作数：部门按照整体绩效目标确定的时限实际完成的工作任务数量。</w:t>
            </w:r>
          </w:p>
        </w:tc>
      </w:tr>
      <w:tr w:rsidR="00FD5C40">
        <w:trPr>
          <w:trHeight w:val="1675"/>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质量</w:t>
            </w:r>
          </w:p>
          <w:p w:rsidR="00FD5C40" w:rsidRDefault="0015160C">
            <w:pPr>
              <w:spacing w:line="240" w:lineRule="exact"/>
              <w:jc w:val="center"/>
              <w:rPr>
                <w:rFonts w:ascii="宋体" w:cs="宋体" w:hint="default"/>
              </w:rPr>
            </w:pPr>
            <w:r>
              <w:rPr>
                <w:rFonts w:ascii="宋体" w:hAnsi="宋体" w:cs="宋体"/>
              </w:rPr>
              <w:t>达标率（8分）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7</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达到质量标准（绩效标准值）的实际工作数与计划工作数的比率</w:t>
            </w:r>
            <w:r>
              <w:rPr>
                <w:rFonts w:ascii="宋体" w:cs="宋体"/>
              </w:rPr>
              <w:t>,</w:t>
            </w:r>
            <w:r>
              <w:rPr>
                <w:rFonts w:ascii="宋体" w:hAnsi="宋体" w:cs="宋体"/>
              </w:rPr>
              <w:t>用以反映和考核部门履职质量目标的实现程度。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质量达标率=（质量达标实际工作数/计划工作数）×100%。</w:t>
            </w:r>
            <w:r>
              <w:rPr>
                <w:rFonts w:ascii="宋体" w:cs="宋体"/>
              </w:rPr>
              <w:br/>
            </w:r>
            <w:r>
              <w:rPr>
                <w:rFonts w:ascii="宋体" w:hAnsi="宋体" w:cs="宋体"/>
              </w:rPr>
              <w:t>质量达标实际工作数：一定时期（年度或规划期）内部门实际完成工作数中达到部门绩效目标要求（绩效标准值）的工作任务数量。</w:t>
            </w:r>
          </w:p>
        </w:tc>
      </w:tr>
      <w:tr w:rsidR="00FD5C40">
        <w:trPr>
          <w:trHeight w:val="1125"/>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重点工作</w:t>
            </w:r>
          </w:p>
          <w:p w:rsidR="00FD5C40" w:rsidRDefault="0015160C">
            <w:pPr>
              <w:spacing w:line="240" w:lineRule="exact"/>
              <w:jc w:val="center"/>
              <w:rPr>
                <w:rFonts w:ascii="宋体" w:cs="宋体" w:hint="default"/>
              </w:rPr>
            </w:pPr>
            <w:r>
              <w:rPr>
                <w:rFonts w:ascii="宋体" w:hAnsi="宋体" w:cs="宋体"/>
              </w:rPr>
              <w:t>办结率（10分）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9</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重点工作办结率=（重点工作实际完成数/交办或下达数）×100%。</w:t>
            </w:r>
            <w:r>
              <w:rPr>
                <w:rFonts w:ascii="宋体" w:cs="宋体"/>
              </w:rPr>
              <w:br/>
            </w:r>
            <w:r>
              <w:rPr>
                <w:rFonts w:ascii="宋体" w:hAnsi="宋体" w:cs="宋体"/>
              </w:rPr>
              <w:t>重点工作是指党委、政府、人大、相关部门交办或下达的工作任务。</w:t>
            </w:r>
          </w:p>
        </w:tc>
      </w:tr>
      <w:tr w:rsidR="00FD5C40">
        <w:trPr>
          <w:trHeight w:val="709"/>
          <w:jc w:val="center"/>
        </w:trPr>
        <w:tc>
          <w:tcPr>
            <w:tcW w:w="307" w:type="pct"/>
            <w:vMerge w:val="restart"/>
            <w:noWrap/>
            <w:tcMar>
              <w:top w:w="10" w:type="dxa"/>
              <w:left w:w="10" w:type="dxa"/>
              <w:bottom w:w="0" w:type="dxa"/>
              <w:right w:w="10" w:type="dxa"/>
            </w:tcMar>
            <w:textDirection w:val="tbRlV"/>
            <w:vAlign w:val="center"/>
          </w:tcPr>
          <w:p w:rsidR="00FD5C40" w:rsidRDefault="0015160C">
            <w:pPr>
              <w:spacing w:line="240" w:lineRule="exact"/>
              <w:jc w:val="center"/>
              <w:rPr>
                <w:rFonts w:ascii="宋体" w:cs="宋体" w:hint="default"/>
              </w:rPr>
            </w:pPr>
            <w:r>
              <w:rPr>
                <w:rFonts w:ascii="宋体" w:hAnsi="宋体" w:cs="宋体"/>
              </w:rPr>
              <w:t>效果（20分）</w:t>
            </w:r>
          </w:p>
        </w:tc>
        <w:tc>
          <w:tcPr>
            <w:tcW w:w="375" w:type="pct"/>
            <w:vMerge w:val="restar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履职</w:t>
            </w:r>
            <w:r>
              <w:rPr>
                <w:rFonts w:ascii="宋体" w:cs="宋体"/>
              </w:rPr>
              <w:br/>
            </w:r>
            <w:r>
              <w:rPr>
                <w:rFonts w:ascii="宋体" w:hAnsi="宋体" w:cs="宋体"/>
              </w:rPr>
              <w:t>效益（20分）</w:t>
            </w: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经济效益（5分）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4</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rsidR="00FD5C40">
        <w:trPr>
          <w:trHeight w:val="709"/>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社会效益（5分）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4</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部门履行职责对社会发展所带来的直接或间接影响。</w:t>
            </w:r>
          </w:p>
        </w:tc>
        <w:tc>
          <w:tcPr>
            <w:tcW w:w="1867" w:type="pct"/>
            <w:vMerge/>
            <w:vAlign w:val="center"/>
          </w:tcPr>
          <w:p w:rsidR="00FD5C40" w:rsidRDefault="00FD5C40">
            <w:pPr>
              <w:spacing w:line="240" w:lineRule="exact"/>
              <w:ind w:leftChars="50" w:left="105" w:rightChars="50" w:right="105"/>
              <w:rPr>
                <w:rFonts w:ascii="宋体" w:cs="宋体" w:hint="default"/>
              </w:rPr>
            </w:pPr>
          </w:p>
        </w:tc>
      </w:tr>
      <w:tr w:rsidR="00FD5C40">
        <w:trPr>
          <w:trHeight w:val="709"/>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生态效益（5分）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4.5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部门履行职责对生态环境所带来的直接或间接影响。</w:t>
            </w:r>
          </w:p>
        </w:tc>
        <w:tc>
          <w:tcPr>
            <w:tcW w:w="1867" w:type="pct"/>
            <w:vMerge/>
            <w:vAlign w:val="center"/>
          </w:tcPr>
          <w:p w:rsidR="00FD5C40" w:rsidRDefault="00FD5C40">
            <w:pPr>
              <w:spacing w:line="240" w:lineRule="exact"/>
              <w:ind w:leftChars="50" w:left="105" w:rightChars="50" w:right="105"/>
              <w:rPr>
                <w:rFonts w:ascii="宋体" w:cs="宋体" w:hint="default"/>
              </w:rPr>
            </w:pPr>
          </w:p>
        </w:tc>
      </w:tr>
      <w:tr w:rsidR="00FD5C40">
        <w:trPr>
          <w:trHeight w:val="1063"/>
          <w:jc w:val="center"/>
        </w:trPr>
        <w:tc>
          <w:tcPr>
            <w:tcW w:w="307" w:type="pct"/>
            <w:vMerge/>
            <w:vAlign w:val="center"/>
          </w:tcPr>
          <w:p w:rsidR="00FD5C40" w:rsidRDefault="00FD5C40">
            <w:pPr>
              <w:spacing w:line="240" w:lineRule="exact"/>
              <w:rPr>
                <w:rFonts w:ascii="宋体" w:cs="宋体" w:hint="default"/>
              </w:rPr>
            </w:pPr>
          </w:p>
        </w:tc>
        <w:tc>
          <w:tcPr>
            <w:tcW w:w="375" w:type="pct"/>
            <w:vMerge/>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15160C">
            <w:pPr>
              <w:spacing w:line="240" w:lineRule="exact"/>
              <w:jc w:val="center"/>
              <w:rPr>
                <w:rFonts w:ascii="宋体" w:cs="宋体" w:hint="default"/>
              </w:rPr>
            </w:pPr>
            <w:r>
              <w:rPr>
                <w:rFonts w:ascii="宋体" w:hAnsi="宋体" w:cs="宋体"/>
              </w:rPr>
              <w:t>社会公众</w:t>
            </w:r>
          </w:p>
          <w:p w:rsidR="00FD5C40" w:rsidRDefault="0015160C">
            <w:pPr>
              <w:spacing w:line="240" w:lineRule="exact"/>
              <w:jc w:val="center"/>
              <w:rPr>
                <w:rFonts w:ascii="宋体" w:cs="宋体" w:hint="default"/>
              </w:rPr>
            </w:pPr>
            <w:r>
              <w:rPr>
                <w:rFonts w:ascii="宋体" w:hAnsi="宋体" w:cs="宋体"/>
              </w:rPr>
              <w:t>或服务对</w:t>
            </w:r>
          </w:p>
          <w:p w:rsidR="00FD5C40" w:rsidRDefault="0015160C">
            <w:pPr>
              <w:spacing w:line="240" w:lineRule="exact"/>
              <w:jc w:val="center"/>
              <w:rPr>
                <w:rFonts w:ascii="宋体" w:cs="宋体" w:hint="default"/>
              </w:rPr>
            </w:pPr>
            <w:r>
              <w:rPr>
                <w:rFonts w:ascii="宋体" w:hAnsi="宋体" w:cs="宋体"/>
              </w:rPr>
              <w:t>象满意度（5分）</w:t>
            </w: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5</w:t>
            </w:r>
          </w:p>
        </w:tc>
        <w:tc>
          <w:tcPr>
            <w:tcW w:w="1576" w:type="pct"/>
            <w:tcMar>
              <w:top w:w="10" w:type="dxa"/>
              <w:left w:w="10" w:type="dxa"/>
              <w:bottom w:w="0" w:type="dxa"/>
              <w:right w:w="10" w:type="dxa"/>
            </w:tcMar>
            <w:vAlign w:val="center"/>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rsidR="00FD5C40" w:rsidRDefault="0015160C">
            <w:pPr>
              <w:spacing w:line="240" w:lineRule="exact"/>
              <w:ind w:leftChars="50" w:left="105" w:rightChars="50" w:right="105"/>
              <w:rPr>
                <w:rFonts w:ascii="宋体" w:cs="宋体" w:hint="default"/>
              </w:rPr>
            </w:pPr>
            <w:r>
              <w:rPr>
                <w:rFonts w:ascii="宋体" w:hAnsi="宋体" w:cs="宋体"/>
              </w:rPr>
              <w:t>社会公众或服务对象是指部门履行职责而影响到的部门、群体或个人。一般采取社会调查的方式。</w:t>
            </w:r>
          </w:p>
        </w:tc>
      </w:tr>
      <w:tr w:rsidR="00FD5C40">
        <w:trPr>
          <w:trHeight w:val="692"/>
          <w:jc w:val="center"/>
        </w:trPr>
        <w:tc>
          <w:tcPr>
            <w:tcW w:w="307" w:type="pct"/>
            <w:vAlign w:val="center"/>
          </w:tcPr>
          <w:p w:rsidR="00FD5C40" w:rsidRDefault="0015160C">
            <w:pPr>
              <w:spacing w:line="240" w:lineRule="exact"/>
              <w:rPr>
                <w:rFonts w:ascii="宋体" w:cs="宋体" w:hint="default"/>
              </w:rPr>
            </w:pPr>
            <w:r>
              <w:rPr>
                <w:rFonts w:ascii="宋体" w:hAnsi="宋体" w:cs="宋体"/>
              </w:rPr>
              <w:t>总分</w:t>
            </w:r>
          </w:p>
        </w:tc>
        <w:tc>
          <w:tcPr>
            <w:tcW w:w="375" w:type="pct"/>
            <w:vAlign w:val="center"/>
          </w:tcPr>
          <w:p w:rsidR="00FD5C40" w:rsidRDefault="00FD5C40">
            <w:pPr>
              <w:spacing w:line="240" w:lineRule="exact"/>
              <w:rPr>
                <w:rFonts w:ascii="宋体" w:cs="宋体" w:hint="default"/>
              </w:rPr>
            </w:pPr>
          </w:p>
        </w:tc>
        <w:tc>
          <w:tcPr>
            <w:tcW w:w="500" w:type="pct"/>
            <w:tcMar>
              <w:top w:w="10" w:type="dxa"/>
              <w:left w:w="10" w:type="dxa"/>
              <w:bottom w:w="0" w:type="dxa"/>
              <w:right w:w="10" w:type="dxa"/>
            </w:tcMar>
            <w:vAlign w:val="center"/>
          </w:tcPr>
          <w:p w:rsidR="00FD5C40" w:rsidRDefault="00FD5C40">
            <w:pPr>
              <w:spacing w:line="240" w:lineRule="exact"/>
              <w:jc w:val="center"/>
              <w:rPr>
                <w:rFonts w:ascii="宋体" w:cs="宋体" w:hint="default"/>
              </w:rPr>
            </w:pPr>
          </w:p>
        </w:tc>
        <w:tc>
          <w:tcPr>
            <w:tcW w:w="375" w:type="pct"/>
          </w:tcPr>
          <w:p w:rsidR="00FD5C40" w:rsidRDefault="0015160C" w:rsidP="0015160C">
            <w:pPr>
              <w:tabs>
                <w:tab w:val="left" w:pos="2604"/>
              </w:tabs>
              <w:spacing w:line="240" w:lineRule="exact"/>
              <w:ind w:leftChars="50" w:left="105" w:rightChars="50" w:right="105" w:firstLineChars="46" w:firstLine="97"/>
              <w:rPr>
                <w:rFonts w:ascii="宋体" w:cs="宋体" w:hint="default"/>
              </w:rPr>
            </w:pPr>
            <w:r>
              <w:rPr>
                <w:rFonts w:ascii="宋体" w:cs="宋体"/>
              </w:rPr>
              <w:t>91</w:t>
            </w:r>
          </w:p>
        </w:tc>
        <w:tc>
          <w:tcPr>
            <w:tcW w:w="1576" w:type="pct"/>
            <w:tcMar>
              <w:top w:w="10" w:type="dxa"/>
              <w:left w:w="10" w:type="dxa"/>
              <w:bottom w:w="0" w:type="dxa"/>
              <w:right w:w="10" w:type="dxa"/>
            </w:tcMar>
            <w:vAlign w:val="center"/>
          </w:tcPr>
          <w:p w:rsidR="00FD5C40" w:rsidRDefault="00FD5C40" w:rsidP="0015160C">
            <w:pPr>
              <w:tabs>
                <w:tab w:val="left" w:pos="2604"/>
              </w:tabs>
              <w:spacing w:line="240" w:lineRule="exact"/>
              <w:ind w:leftChars="50" w:left="105" w:rightChars="50" w:right="105" w:firstLineChars="46" w:firstLine="97"/>
              <w:rPr>
                <w:rFonts w:ascii="宋体" w:cs="宋体" w:hint="default"/>
              </w:rPr>
            </w:pPr>
          </w:p>
        </w:tc>
        <w:tc>
          <w:tcPr>
            <w:tcW w:w="1867" w:type="pct"/>
            <w:tcMar>
              <w:top w:w="10" w:type="dxa"/>
              <w:left w:w="10" w:type="dxa"/>
              <w:bottom w:w="0" w:type="dxa"/>
              <w:right w:w="10" w:type="dxa"/>
            </w:tcMar>
            <w:vAlign w:val="center"/>
          </w:tcPr>
          <w:p w:rsidR="00FD5C40" w:rsidRDefault="00FD5C40">
            <w:pPr>
              <w:spacing w:line="240" w:lineRule="exact"/>
              <w:ind w:leftChars="50" w:left="105" w:rightChars="50" w:right="105"/>
              <w:rPr>
                <w:rFonts w:ascii="宋体" w:cs="宋体" w:hint="default"/>
              </w:rPr>
            </w:pPr>
          </w:p>
        </w:tc>
      </w:tr>
    </w:tbl>
    <w:p w:rsidR="00FD5C40" w:rsidRDefault="00FD5C40">
      <w:pPr>
        <w:rPr>
          <w:rFonts w:hint="default"/>
        </w:rPr>
      </w:pPr>
    </w:p>
    <w:p w:rsidR="00FD5C40" w:rsidRDefault="00FD5C40">
      <w:pPr>
        <w:spacing w:line="600" w:lineRule="exact"/>
        <w:rPr>
          <w:rFonts w:hint="default"/>
        </w:rPr>
      </w:pPr>
    </w:p>
    <w:p w:rsidR="00FD5C40" w:rsidRDefault="00FD5C40">
      <w:pPr>
        <w:spacing w:line="560" w:lineRule="exact"/>
        <w:rPr>
          <w:rFonts w:hint="default"/>
        </w:rPr>
      </w:pPr>
    </w:p>
    <w:sectPr w:rsidR="00FD5C40" w:rsidSect="00D753A5">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999" w:rsidRDefault="009D6999" w:rsidP="00D753A5">
      <w:pPr>
        <w:rPr>
          <w:rFonts w:hint="default"/>
        </w:rPr>
      </w:pPr>
      <w:r>
        <w:separator/>
      </w:r>
    </w:p>
  </w:endnote>
  <w:endnote w:type="continuationSeparator" w:id="0">
    <w:p w:rsidR="009D6999" w:rsidRDefault="009D6999" w:rsidP="00D753A5">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533364"/>
      <w:docPartObj>
        <w:docPartGallery w:val="Page Numbers (Bottom of Page)"/>
        <w:docPartUnique/>
      </w:docPartObj>
    </w:sdtPr>
    <w:sdtContent>
      <w:p w:rsidR="00D753A5" w:rsidRDefault="00A0779F">
        <w:pPr>
          <w:pStyle w:val="a3"/>
          <w:jc w:val="center"/>
          <w:rPr>
            <w:rFonts w:hint="default"/>
          </w:rPr>
        </w:pPr>
        <w:r>
          <w:fldChar w:fldCharType="begin"/>
        </w:r>
        <w:r w:rsidR="00D753A5">
          <w:instrText>PAGE   \* MERGEFORMAT</w:instrText>
        </w:r>
        <w:r>
          <w:fldChar w:fldCharType="separate"/>
        </w:r>
        <w:r w:rsidR="00FD0E88" w:rsidRPr="00FD0E88">
          <w:rPr>
            <w:rFonts w:hint="default"/>
            <w:noProof/>
            <w:lang w:val="zh-CN"/>
          </w:rPr>
          <w:t>33</w:t>
        </w:r>
        <w:r>
          <w:fldChar w:fldCharType="end"/>
        </w:r>
      </w:p>
    </w:sdtContent>
  </w:sdt>
  <w:p w:rsidR="00D753A5" w:rsidRDefault="00D753A5">
    <w:pPr>
      <w:pStyle w:val="a3"/>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999" w:rsidRDefault="009D6999" w:rsidP="00D753A5">
      <w:pPr>
        <w:rPr>
          <w:rFonts w:hint="default"/>
        </w:rPr>
      </w:pPr>
      <w:r>
        <w:separator/>
      </w:r>
    </w:p>
  </w:footnote>
  <w:footnote w:type="continuationSeparator" w:id="0">
    <w:p w:rsidR="009D6999" w:rsidRDefault="009D6999" w:rsidP="00D753A5">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42761"/>
    <w:multiLevelType w:val="multilevel"/>
    <w:tmpl w:val="89D42761"/>
    <w:lvl w:ilvl="0">
      <w:start w:val="2"/>
      <w:numFmt w:val="chineseCounting"/>
      <w:suff w:val="nothing"/>
      <w:lvlText w:val="（%1）"/>
      <w:lvlJc w:val="left"/>
      <w:rPr>
        <w:rFonts w:ascii="Times New Roman" w:eastAsia="宋体" w:hAnsi="Times New Roman"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nsid w:val="A5F189D4"/>
    <w:multiLevelType w:val="singleLevel"/>
    <w:tmpl w:val="A5F189D4"/>
    <w:lvl w:ilvl="0">
      <w:start w:val="2"/>
      <w:numFmt w:val="chineseCounting"/>
      <w:suff w:val="nothing"/>
      <w:lvlText w:val="（%1）"/>
      <w:lvlJc w:val="left"/>
      <w:rPr>
        <w:rFonts w:hint="eastAsia"/>
      </w:rPr>
    </w:lvl>
  </w:abstractNum>
  <w:abstractNum w:abstractNumId="2">
    <w:nsid w:val="7EFA665E"/>
    <w:multiLevelType w:val="singleLevel"/>
    <w:tmpl w:val="7EFA665E"/>
    <w:lvl w:ilvl="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9650194"/>
    <w:rsid w:val="0015160C"/>
    <w:rsid w:val="001E4858"/>
    <w:rsid w:val="002457CA"/>
    <w:rsid w:val="002563FA"/>
    <w:rsid w:val="005C3D0A"/>
    <w:rsid w:val="00634F8C"/>
    <w:rsid w:val="006809D5"/>
    <w:rsid w:val="00693BF8"/>
    <w:rsid w:val="006B508F"/>
    <w:rsid w:val="006D3FD9"/>
    <w:rsid w:val="007B6F6B"/>
    <w:rsid w:val="007D7346"/>
    <w:rsid w:val="0093583E"/>
    <w:rsid w:val="009C086F"/>
    <w:rsid w:val="009D6999"/>
    <w:rsid w:val="00A0779F"/>
    <w:rsid w:val="00B611B2"/>
    <w:rsid w:val="00C5158F"/>
    <w:rsid w:val="00D20A7A"/>
    <w:rsid w:val="00D753A5"/>
    <w:rsid w:val="00E80273"/>
    <w:rsid w:val="00F23502"/>
    <w:rsid w:val="00FD0E88"/>
    <w:rsid w:val="00FD5C40"/>
    <w:rsid w:val="09650194"/>
    <w:rsid w:val="16C06002"/>
    <w:rsid w:val="275C1841"/>
    <w:rsid w:val="2DD67732"/>
    <w:rsid w:val="59346731"/>
    <w:rsid w:val="596173AF"/>
    <w:rsid w:val="5B4F7BCE"/>
    <w:rsid w:val="61031712"/>
    <w:rsid w:val="6E523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99"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unhideWhenUsed/>
    <w:qFormat/>
    <w:rsid w:val="00FD5C40"/>
    <w:pPr>
      <w:widowControl w:val="0"/>
      <w:jc w:val="both"/>
    </w:pPr>
    <w:rPr>
      <w:rFonts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D5C40"/>
    <w:pPr>
      <w:tabs>
        <w:tab w:val="center" w:pos="4153"/>
        <w:tab w:val="right" w:pos="8306"/>
      </w:tabs>
      <w:snapToGrid w:val="0"/>
      <w:jc w:val="left"/>
    </w:pPr>
    <w:rPr>
      <w:sz w:val="18"/>
      <w:szCs w:val="18"/>
    </w:rPr>
  </w:style>
  <w:style w:type="paragraph" w:styleId="a4">
    <w:name w:val="header"/>
    <w:basedOn w:val="a"/>
    <w:link w:val="Char0"/>
    <w:qFormat/>
    <w:rsid w:val="00FD5C4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FD5C40"/>
    <w:pPr>
      <w:spacing w:beforeAutospacing="1" w:afterAutospacing="1"/>
      <w:jc w:val="left"/>
    </w:pPr>
    <w:rPr>
      <w:kern w:val="0"/>
      <w:sz w:val="24"/>
    </w:rPr>
  </w:style>
  <w:style w:type="character" w:styleId="a6">
    <w:name w:val="page number"/>
    <w:basedOn w:val="a0"/>
    <w:uiPriority w:val="99"/>
    <w:qFormat/>
    <w:rsid w:val="00FD5C40"/>
    <w:rPr>
      <w:rFonts w:cs="Times New Roman"/>
    </w:rPr>
  </w:style>
  <w:style w:type="character" w:customStyle="1" w:styleId="Char0">
    <w:name w:val="页眉 Char"/>
    <w:basedOn w:val="a0"/>
    <w:link w:val="a4"/>
    <w:qFormat/>
    <w:rsid w:val="00FD5C40"/>
    <w:rPr>
      <w:rFonts w:ascii="Times New Roman" w:eastAsia="宋体" w:hAnsi="Times New Roman" w:cs="Times New Roman"/>
      <w:kern w:val="2"/>
      <w:sz w:val="18"/>
      <w:szCs w:val="18"/>
    </w:rPr>
  </w:style>
  <w:style w:type="character" w:customStyle="1" w:styleId="Char">
    <w:name w:val="页脚 Char"/>
    <w:basedOn w:val="a0"/>
    <w:link w:val="a3"/>
    <w:uiPriority w:val="99"/>
    <w:rsid w:val="00FD5C40"/>
    <w:rPr>
      <w:rFonts w:ascii="Times New Roman" w:eastAsia="宋体" w:hAnsi="Times New Roman" w:cs="Times New Roman"/>
      <w:kern w:val="2"/>
      <w:sz w:val="18"/>
      <w:szCs w:val="18"/>
    </w:rPr>
  </w:style>
  <w:style w:type="paragraph" w:styleId="a7">
    <w:name w:val="List Paragraph"/>
    <w:basedOn w:val="a"/>
    <w:uiPriority w:val="99"/>
    <w:unhideWhenUsed/>
    <w:qFormat/>
    <w:rsid w:val="00FD5C40"/>
    <w:pPr>
      <w:ind w:firstLineChars="200" w:firstLine="420"/>
    </w:pPr>
  </w:style>
  <w:style w:type="paragraph" w:customStyle="1" w:styleId="Default">
    <w:name w:val="Default"/>
    <w:qFormat/>
    <w:rsid w:val="00FD5C40"/>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2698</Words>
  <Characters>15385</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2021-10-21T03:00:00Z</dcterms:created>
  <dcterms:modified xsi:type="dcterms:W3CDTF">2022-05-31T07:22:00Z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468AD0BE178647B8A11101D3B6DBC189</vt:lpwstr>
  </property>
</Properties>
</file>