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7F7" w:rsidRDefault="007357F7">
      <w:pPr>
        <w:spacing w:line="560" w:lineRule="exact"/>
        <w:rPr>
          <w:rFonts w:ascii="仿宋_GB2312" w:eastAsia="仿宋_GB2312"/>
          <w:sz w:val="32"/>
          <w:szCs w:val="32"/>
          <w:highlight w:val="white"/>
        </w:rPr>
      </w:pPr>
    </w:p>
    <w:p w:rsidR="007357F7" w:rsidRDefault="00C023AC">
      <w:pPr>
        <w:spacing w:line="560" w:lineRule="exact"/>
        <w:jc w:val="center"/>
        <w:rPr>
          <w:rFonts w:ascii="方正小标宋简体" w:eastAsia="方正小标宋简体"/>
          <w:sz w:val="38"/>
          <w:szCs w:val="38"/>
          <w:highlight w:val="white"/>
        </w:rPr>
      </w:pPr>
      <w:r>
        <w:rPr>
          <w:rFonts w:ascii="方正小标宋简体" w:eastAsia="方正小标宋简体" w:hint="eastAsia"/>
          <w:sz w:val="38"/>
          <w:szCs w:val="38"/>
          <w:highlight w:val="white"/>
        </w:rPr>
        <w:t>2020年度益阳市赫山区全民健身服务中心部门决算</w:t>
      </w:r>
    </w:p>
    <w:p w:rsidR="007357F7" w:rsidRDefault="007357F7">
      <w:pPr>
        <w:spacing w:line="560" w:lineRule="exact"/>
        <w:rPr>
          <w:rFonts w:ascii="仿宋_GB2312" w:eastAsia="仿宋_GB2312"/>
          <w:sz w:val="32"/>
          <w:szCs w:val="32"/>
          <w:highlight w:val="white"/>
        </w:rPr>
      </w:pPr>
    </w:p>
    <w:p w:rsidR="007357F7" w:rsidRDefault="00C023AC">
      <w:pPr>
        <w:spacing w:line="560" w:lineRule="exact"/>
        <w:jc w:val="center"/>
        <w:rPr>
          <w:rFonts w:ascii="黑体" w:eastAsia="黑体"/>
          <w:sz w:val="32"/>
          <w:szCs w:val="32"/>
          <w:highlight w:val="white"/>
        </w:rPr>
      </w:pPr>
      <w:r>
        <w:rPr>
          <w:rFonts w:ascii="黑体" w:eastAsia="黑体" w:hint="eastAsia"/>
          <w:sz w:val="32"/>
          <w:szCs w:val="32"/>
          <w:highlight w:val="white"/>
        </w:rPr>
        <w:t>目 录</w:t>
      </w:r>
    </w:p>
    <w:p w:rsidR="007357F7" w:rsidRDefault="00C023AC">
      <w:pPr>
        <w:spacing w:line="560" w:lineRule="exact"/>
        <w:ind w:firstLineChars="200" w:firstLine="640"/>
        <w:jc w:val="left"/>
        <w:rPr>
          <w:rFonts w:ascii="黑体" w:eastAsia="黑体"/>
          <w:sz w:val="32"/>
          <w:szCs w:val="32"/>
          <w:highlight w:val="white"/>
        </w:rPr>
      </w:pPr>
      <w:r>
        <w:rPr>
          <w:rFonts w:ascii="黑体" w:eastAsia="黑体" w:hint="eastAsia"/>
          <w:sz w:val="32"/>
          <w:szCs w:val="32"/>
          <w:highlight w:val="white"/>
        </w:rPr>
        <w:t>第一部分  益阳市赫山区全民健身服务中心概况</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一、部门职责</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二、机构设置</w:t>
      </w:r>
    </w:p>
    <w:p w:rsidR="007357F7" w:rsidRDefault="00C023AC">
      <w:pPr>
        <w:spacing w:line="560" w:lineRule="exact"/>
        <w:ind w:firstLineChars="200" w:firstLine="640"/>
        <w:jc w:val="left"/>
        <w:rPr>
          <w:rFonts w:ascii="黑体" w:eastAsia="黑体"/>
          <w:sz w:val="32"/>
          <w:szCs w:val="32"/>
          <w:highlight w:val="white"/>
        </w:rPr>
      </w:pPr>
      <w:r>
        <w:rPr>
          <w:rFonts w:ascii="黑体" w:eastAsia="黑体" w:hint="eastAsia"/>
          <w:sz w:val="32"/>
          <w:szCs w:val="32"/>
          <w:highlight w:val="white"/>
        </w:rPr>
        <w:t>第二部分  2020年度部门决算表</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一、收入支出决算总表</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二、收入决算表</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三、支出决算表</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四、财政拨款收入支出决算总表</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五、一般公共预算财政拨款支出决算表</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六、一般公共预算财政拨款基本支出决算表</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七、一般公共预算财政拨款“三公”经费支出决算表</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八、政府性基金预算财政拨款收入支出决算表</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九、国有资本经营预算财政拨款收入支出决算表</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bCs/>
          <w:sz w:val="32"/>
          <w:szCs w:val="32"/>
        </w:rPr>
        <w:t>注：以上部门预算报表中，空表表示本部门无相关收支情况</w:t>
      </w:r>
    </w:p>
    <w:p w:rsidR="007357F7" w:rsidRDefault="00C023AC">
      <w:pPr>
        <w:spacing w:line="560" w:lineRule="exact"/>
        <w:ind w:firstLineChars="200" w:firstLine="640"/>
        <w:jc w:val="left"/>
        <w:rPr>
          <w:rFonts w:ascii="黑体" w:eastAsia="黑体"/>
          <w:sz w:val="32"/>
          <w:szCs w:val="32"/>
          <w:highlight w:val="white"/>
        </w:rPr>
      </w:pPr>
      <w:r>
        <w:rPr>
          <w:rFonts w:ascii="黑体" w:eastAsia="黑体" w:hint="eastAsia"/>
          <w:sz w:val="32"/>
          <w:szCs w:val="32"/>
          <w:highlight w:val="white"/>
        </w:rPr>
        <w:t>第三部分  2020年度部门决算情况说明</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一、收入支出决算总体情况说明</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二、收入决算情况说明</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三、支出决算情况说明</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lastRenderedPageBreak/>
        <w:t>四、财政拨款收入支出决算总体情况说明</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五、一般公共预算财政拨款支出决算情况说明</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六、一般公共预算财政拨款基本支出决算情况说明</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rPr>
        <w:t>七、一般公共预算财政拨款三公经费支出决算情况说明</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rPr>
        <w:t>八、政府性基金预算收入支出决算情况</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rPr>
        <w:t>九、国有资本经营预算财政拨款支出决算情况</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rPr>
        <w:t>十、关于机关运行经费支出说明</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rPr>
        <w:t>十一、一般性支出情况</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rPr>
        <w:t>十二、关于政府采购支出说明</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rPr>
        <w:t>十三、关于国有资产占用情况说明</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rPr>
        <w:t>十四、关于2020年度预算绩效情况的说明</w:t>
      </w:r>
    </w:p>
    <w:p w:rsidR="007357F7" w:rsidRDefault="00C023AC">
      <w:pPr>
        <w:spacing w:line="560" w:lineRule="exact"/>
        <w:ind w:firstLineChars="200" w:firstLine="640"/>
        <w:jc w:val="left"/>
        <w:rPr>
          <w:rFonts w:ascii="黑体" w:eastAsia="黑体"/>
          <w:sz w:val="32"/>
          <w:szCs w:val="32"/>
          <w:highlight w:val="white"/>
        </w:rPr>
      </w:pPr>
      <w:r>
        <w:rPr>
          <w:rFonts w:ascii="黑体" w:eastAsia="黑体" w:hint="eastAsia"/>
          <w:sz w:val="32"/>
          <w:szCs w:val="32"/>
          <w:highlight w:val="white"/>
        </w:rPr>
        <w:t>第四部分  名词解释</w:t>
      </w:r>
    </w:p>
    <w:p w:rsidR="007357F7" w:rsidRDefault="00C023AC">
      <w:pPr>
        <w:spacing w:line="560" w:lineRule="exact"/>
        <w:ind w:firstLineChars="200" w:firstLine="640"/>
        <w:jc w:val="left"/>
        <w:rPr>
          <w:rFonts w:ascii="黑体" w:eastAsia="黑体"/>
          <w:sz w:val="32"/>
          <w:szCs w:val="32"/>
          <w:highlight w:val="white"/>
        </w:rPr>
      </w:pPr>
      <w:r>
        <w:rPr>
          <w:rFonts w:ascii="黑体" w:eastAsia="黑体" w:hint="eastAsia"/>
          <w:sz w:val="32"/>
          <w:szCs w:val="32"/>
          <w:highlight w:val="white"/>
        </w:rPr>
        <w:t>第五部分  附 件</w:t>
      </w:r>
    </w:p>
    <w:p w:rsidR="007357F7" w:rsidRDefault="00C023AC">
      <w:pPr>
        <w:jc w:val="left"/>
        <w:rPr>
          <w:rFonts w:ascii="仿宋_GB2312" w:eastAsia="仿宋_GB2312"/>
          <w:sz w:val="32"/>
          <w:szCs w:val="32"/>
        </w:rPr>
      </w:pPr>
      <w:r>
        <w:rPr>
          <w:rFonts w:ascii="仿宋_GB2312" w:eastAsia="仿宋_GB2312"/>
          <w:sz w:val="32"/>
          <w:szCs w:val="32"/>
        </w:rPr>
        <w:br w:type="page"/>
      </w:r>
    </w:p>
    <w:p w:rsidR="007357F7" w:rsidRDefault="00C023AC">
      <w:pPr>
        <w:spacing w:line="560" w:lineRule="exact"/>
        <w:rPr>
          <w:rFonts w:ascii="黑体" w:eastAsia="黑体"/>
          <w:sz w:val="32"/>
          <w:szCs w:val="32"/>
          <w:highlight w:val="white"/>
        </w:rPr>
      </w:pPr>
      <w:r>
        <w:rPr>
          <w:rFonts w:ascii="黑体" w:eastAsia="黑体" w:hint="eastAsia"/>
          <w:sz w:val="32"/>
          <w:szCs w:val="32"/>
          <w:highlight w:val="white"/>
        </w:rPr>
        <w:lastRenderedPageBreak/>
        <w:t>第一部分</w:t>
      </w:r>
    </w:p>
    <w:p w:rsidR="007357F7" w:rsidRDefault="00C023AC">
      <w:pPr>
        <w:spacing w:line="560" w:lineRule="exact"/>
        <w:jc w:val="center"/>
        <w:rPr>
          <w:rFonts w:ascii="方正小标宋简体" w:eastAsia="方正小标宋简体"/>
          <w:sz w:val="44"/>
          <w:szCs w:val="44"/>
          <w:highlight w:val="white"/>
        </w:rPr>
      </w:pPr>
      <w:r>
        <w:rPr>
          <w:rFonts w:ascii="方正小标宋简体" w:eastAsia="方正小标宋简体" w:hint="eastAsia"/>
          <w:sz w:val="44"/>
          <w:szCs w:val="44"/>
          <w:highlight w:val="white"/>
        </w:rPr>
        <w:t>益阳市赫山区全民健身服务中心概况</w:t>
      </w:r>
    </w:p>
    <w:p w:rsidR="007357F7" w:rsidRDefault="007357F7">
      <w:pPr>
        <w:spacing w:line="560" w:lineRule="exact"/>
        <w:rPr>
          <w:rFonts w:ascii="仿宋_GB2312" w:eastAsia="仿宋_GB2312"/>
          <w:sz w:val="32"/>
          <w:szCs w:val="32"/>
          <w:highlight w:val="white"/>
        </w:rPr>
      </w:pPr>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t>一、部门职责</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rPr>
        <w:t>（一）负责指导全民健身运动项目的开展、普及和提高；</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rPr>
        <w:t>（二）负责培训、推广和开发体育健身项目；</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rPr>
        <w:t>（三）负责协调组织社会体育赛事及交流活动；</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rPr>
        <w:t>（四）配合做好重大社会体育活动的组织实施工作；</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rPr>
        <w:t>（五）组织各类体育培训班、学术讲座、专业技术报告会，开展科研活动，发挥咨询作用；</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rPr>
        <w:t>（六）做好青少年体育培训、指导、教研等工作；</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rPr>
        <w:t>（七）协助做好体育项目裁判员、教练员及运动员的培训、使用工作。</w:t>
      </w:r>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t>二、机构设置</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（一）内设机构设置</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益阳市赫山区全民健身服务中心单位内设机构包括：业余体校、办公室、财务室、群体股、体育馆。</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（二）决算单位构成</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益阳市赫山区全民健身服务中心单位2020年部门决算汇总公开单位构成仅只包括机关本级决算，无二级财务独立机构。</w:t>
      </w:r>
    </w:p>
    <w:p w:rsidR="007357F7" w:rsidRDefault="007357F7">
      <w:pPr>
        <w:spacing w:line="560" w:lineRule="exact"/>
        <w:ind w:firstLineChars="200" w:firstLine="640"/>
        <w:rPr>
          <w:rFonts w:ascii="仿宋_GB2312" w:eastAsia="仿宋_GB2312"/>
          <w:sz w:val="32"/>
          <w:szCs w:val="32"/>
          <w:highlight w:val="white"/>
        </w:rPr>
      </w:pPr>
    </w:p>
    <w:p w:rsidR="007357F7" w:rsidRDefault="007357F7">
      <w:pPr>
        <w:spacing w:line="560" w:lineRule="exact"/>
        <w:rPr>
          <w:rFonts w:ascii="黑体" w:eastAsia="黑体"/>
          <w:sz w:val="32"/>
          <w:szCs w:val="32"/>
          <w:highlight w:val="white"/>
        </w:rPr>
      </w:pPr>
    </w:p>
    <w:p w:rsidR="007357F7" w:rsidRDefault="00C023AC">
      <w:pPr>
        <w:spacing w:line="560" w:lineRule="exact"/>
        <w:rPr>
          <w:rFonts w:ascii="黑体" w:eastAsia="黑体"/>
          <w:sz w:val="32"/>
          <w:szCs w:val="32"/>
          <w:highlight w:val="white"/>
        </w:rPr>
      </w:pPr>
      <w:r>
        <w:rPr>
          <w:rFonts w:ascii="黑体" w:eastAsia="黑体" w:hint="eastAsia"/>
          <w:sz w:val="32"/>
          <w:szCs w:val="32"/>
          <w:highlight w:val="white"/>
        </w:rPr>
        <w:lastRenderedPageBreak/>
        <w:t>第二部分</w:t>
      </w:r>
    </w:p>
    <w:p w:rsidR="007357F7" w:rsidRDefault="00C023AC">
      <w:pPr>
        <w:spacing w:line="560" w:lineRule="exact"/>
        <w:jc w:val="center"/>
        <w:rPr>
          <w:rFonts w:ascii="方正小标宋简体" w:eastAsia="方正小标宋简体"/>
          <w:sz w:val="44"/>
          <w:szCs w:val="44"/>
          <w:highlight w:val="white"/>
        </w:rPr>
      </w:pPr>
      <w:r>
        <w:rPr>
          <w:rFonts w:ascii="方正小标宋简体" w:eastAsia="方正小标宋简体" w:hint="eastAsia"/>
          <w:sz w:val="44"/>
          <w:szCs w:val="44"/>
          <w:highlight w:val="white"/>
        </w:rPr>
        <w:t>益阳市赫山区全民健身服务中心</w:t>
      </w:r>
    </w:p>
    <w:p w:rsidR="007357F7" w:rsidRDefault="00C023AC">
      <w:pPr>
        <w:spacing w:line="560" w:lineRule="exact"/>
        <w:jc w:val="center"/>
        <w:rPr>
          <w:rFonts w:ascii="方正小标宋简体" w:eastAsia="方正小标宋简体"/>
          <w:sz w:val="44"/>
          <w:szCs w:val="44"/>
          <w:highlight w:val="white"/>
        </w:rPr>
      </w:pPr>
      <w:r>
        <w:rPr>
          <w:rFonts w:ascii="方正小标宋简体" w:eastAsia="方正小标宋简体" w:hint="eastAsia"/>
          <w:sz w:val="44"/>
          <w:szCs w:val="44"/>
          <w:highlight w:val="white"/>
        </w:rPr>
        <w:t>2020年度部门决算表（见附表）</w:t>
      </w:r>
    </w:p>
    <w:p w:rsidR="007357F7" w:rsidRDefault="007357F7">
      <w:pPr>
        <w:spacing w:line="560" w:lineRule="exact"/>
        <w:ind w:firstLineChars="200" w:firstLine="640"/>
        <w:rPr>
          <w:rFonts w:ascii="仿宋_GB2312" w:eastAsia="仿宋_GB2312"/>
          <w:sz w:val="32"/>
          <w:szCs w:val="32"/>
          <w:highlight w:val="white"/>
        </w:rPr>
      </w:pPr>
    </w:p>
    <w:p w:rsidR="007357F7" w:rsidRDefault="00C023AC">
      <w:pPr>
        <w:spacing w:line="560" w:lineRule="exact"/>
        <w:rPr>
          <w:rFonts w:ascii="黑体" w:eastAsia="黑体"/>
          <w:sz w:val="32"/>
          <w:szCs w:val="32"/>
          <w:highlight w:val="white"/>
        </w:rPr>
      </w:pPr>
      <w:r>
        <w:rPr>
          <w:rFonts w:ascii="黑体" w:eastAsia="黑体" w:hint="eastAsia"/>
          <w:sz w:val="32"/>
          <w:szCs w:val="32"/>
          <w:highlight w:val="white"/>
        </w:rPr>
        <w:t>第三部分</w:t>
      </w:r>
    </w:p>
    <w:p w:rsidR="007357F7" w:rsidRDefault="00C023AC">
      <w:pPr>
        <w:spacing w:line="560" w:lineRule="exact"/>
        <w:jc w:val="center"/>
        <w:rPr>
          <w:rFonts w:ascii="方正小标宋简体" w:eastAsia="方正小标宋简体"/>
          <w:sz w:val="44"/>
          <w:szCs w:val="44"/>
          <w:highlight w:val="white"/>
        </w:rPr>
      </w:pPr>
      <w:r>
        <w:rPr>
          <w:rFonts w:ascii="方正小标宋简体" w:eastAsia="方正小标宋简体" w:hint="eastAsia"/>
          <w:sz w:val="44"/>
          <w:szCs w:val="44"/>
          <w:highlight w:val="white"/>
        </w:rPr>
        <w:t>益阳市赫山区全民健身服务中心</w:t>
      </w:r>
    </w:p>
    <w:p w:rsidR="007357F7" w:rsidRDefault="00C023AC">
      <w:pPr>
        <w:spacing w:line="560" w:lineRule="exact"/>
        <w:jc w:val="center"/>
        <w:rPr>
          <w:rFonts w:ascii="方正小标宋简体" w:eastAsia="方正小标宋简体"/>
          <w:sz w:val="44"/>
          <w:szCs w:val="44"/>
          <w:highlight w:val="white"/>
        </w:rPr>
      </w:pPr>
      <w:r>
        <w:rPr>
          <w:rFonts w:ascii="方正小标宋简体" w:eastAsia="方正小标宋简体" w:hint="eastAsia"/>
          <w:sz w:val="44"/>
          <w:szCs w:val="44"/>
          <w:highlight w:val="white"/>
        </w:rPr>
        <w:t>2020年度部门决算情况说明</w:t>
      </w:r>
    </w:p>
    <w:p w:rsidR="007357F7" w:rsidRDefault="007357F7">
      <w:pPr>
        <w:spacing w:line="560" w:lineRule="exact"/>
        <w:rPr>
          <w:rFonts w:ascii="仿宋_GB2312" w:eastAsia="仿宋_GB2312"/>
          <w:sz w:val="32"/>
          <w:szCs w:val="32"/>
          <w:highlight w:val="white"/>
        </w:rPr>
      </w:pPr>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t>一、收入支出决算总体情况说明</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2020年度收入总计492.70万元，年初结转和结余254.63万元，与2019年收入（522.72万元）相比，</w:t>
      </w:r>
      <w:r>
        <w:rPr>
          <w:rFonts w:ascii="仿宋_GB2312" w:eastAsia="仿宋_GB2312" w:hint="eastAsia"/>
          <w:sz w:val="32"/>
          <w:szCs w:val="32"/>
        </w:rPr>
        <w:t>减少30.02</w:t>
      </w:r>
      <w:r>
        <w:rPr>
          <w:rFonts w:ascii="仿宋_GB2312" w:eastAsia="仿宋_GB2312" w:hint="eastAsia"/>
          <w:sz w:val="32"/>
          <w:szCs w:val="32"/>
          <w:highlight w:val="white"/>
        </w:rPr>
        <w:t>万元，下降5.74%，主要原因是</w:t>
      </w:r>
      <w:r>
        <w:rPr>
          <w:rFonts w:ascii="仿宋_GB2312" w:eastAsia="仿宋_GB2312" w:hint="eastAsia"/>
          <w:sz w:val="32"/>
          <w:szCs w:val="32"/>
        </w:rPr>
        <w:t>:财政拨款收入减少</w:t>
      </w:r>
      <w:r>
        <w:rPr>
          <w:rFonts w:ascii="仿宋_GB2312" w:eastAsia="仿宋_GB2312" w:hint="eastAsia"/>
          <w:sz w:val="32"/>
          <w:szCs w:val="32"/>
          <w:highlight w:val="white"/>
        </w:rPr>
        <w:t>。</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highlight w:val="white"/>
        </w:rPr>
        <w:t>2020年度支出总计512.99万元，年末结转和结余234.34万元，与2019年支出（689.05）相比，</w:t>
      </w:r>
      <w:r>
        <w:rPr>
          <w:rFonts w:ascii="仿宋_GB2312" w:eastAsia="仿宋_GB2312" w:hint="eastAsia"/>
          <w:sz w:val="32"/>
          <w:szCs w:val="32"/>
        </w:rPr>
        <w:t>减少</w:t>
      </w:r>
      <w:r>
        <w:rPr>
          <w:rFonts w:ascii="仿宋_GB2312" w:eastAsia="仿宋_GB2312" w:hint="eastAsia"/>
          <w:sz w:val="32"/>
          <w:szCs w:val="32"/>
          <w:highlight w:val="white"/>
        </w:rPr>
        <w:t>176.06万元，下降25.55%，主要原因是</w:t>
      </w:r>
      <w:r>
        <w:rPr>
          <w:rFonts w:ascii="仿宋_GB2312" w:eastAsia="仿宋_GB2312" w:hint="eastAsia"/>
          <w:sz w:val="32"/>
          <w:szCs w:val="32"/>
        </w:rPr>
        <w:t>体育事业支出减少。</w:t>
      </w:r>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t>二、收入决算情况说明</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本年收入合计492.7</w:t>
      </w:r>
      <w:r>
        <w:rPr>
          <w:rFonts w:ascii="仿宋_GB2312" w:eastAsia="仿宋_GB2312"/>
          <w:sz w:val="32"/>
          <w:szCs w:val="32"/>
          <w:highlight w:val="white"/>
        </w:rPr>
        <w:t>0</w:t>
      </w:r>
      <w:r>
        <w:rPr>
          <w:rFonts w:ascii="仿宋_GB2312" w:eastAsia="仿宋_GB2312" w:hint="eastAsia"/>
          <w:sz w:val="32"/>
          <w:szCs w:val="32"/>
          <w:highlight w:val="white"/>
        </w:rPr>
        <w:t>万元，其中：一般公共预算财政拨款收入368.15万元，占74.72%；政府性基金预算财政拨款收入55</w:t>
      </w:r>
      <w:r>
        <w:rPr>
          <w:rFonts w:ascii="仿宋_GB2312" w:eastAsia="仿宋_GB2312"/>
          <w:sz w:val="32"/>
          <w:szCs w:val="32"/>
          <w:highlight w:val="white"/>
        </w:rPr>
        <w:t>.00</w:t>
      </w:r>
      <w:r>
        <w:rPr>
          <w:rFonts w:ascii="仿宋_GB2312" w:eastAsia="仿宋_GB2312" w:hint="eastAsia"/>
          <w:sz w:val="32"/>
          <w:szCs w:val="32"/>
          <w:highlight w:val="white"/>
        </w:rPr>
        <w:t>万元，占11.16%；其他收入69.55万元，占14.12%。</w:t>
      </w:r>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t>三、支出决算情况说明</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本年支出合计512.99万元，其中：基本支出379.65万元，占74.01%；项目支出133.33万元，占25.99%。</w:t>
      </w:r>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lastRenderedPageBreak/>
        <w:t xml:space="preserve">四、财政拨款收入支出决算总体情况说明 </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2020年度财政拨款收入总计423.15万元，年初财政拨款结转和结余45.44万元，总计468.58万元，与2019年财政拨款收入（434.00万元）相比，减少10.85万元，</w:t>
      </w:r>
      <w:r>
        <w:rPr>
          <w:rFonts w:ascii="仿宋_GB2312" w:eastAsia="仿宋_GB2312" w:hint="eastAsia"/>
          <w:sz w:val="32"/>
          <w:szCs w:val="32"/>
          <w:highlight w:val="white"/>
        </w:rPr>
        <w:t>下降2.5</w:t>
      </w:r>
      <w:r>
        <w:rPr>
          <w:rFonts w:ascii="仿宋_GB2312" w:eastAsia="仿宋_GB2312"/>
          <w:sz w:val="32"/>
          <w:szCs w:val="32"/>
          <w:highlight w:val="white"/>
        </w:rPr>
        <w:t>0</w:t>
      </w:r>
      <w:r>
        <w:rPr>
          <w:rFonts w:ascii="仿宋_GB2312" w:eastAsia="仿宋_GB2312" w:hint="eastAsia"/>
          <w:sz w:val="32"/>
          <w:szCs w:val="32"/>
        </w:rPr>
        <w:t>%,</w:t>
      </w:r>
      <w:r>
        <w:rPr>
          <w:rFonts w:ascii="仿宋_GB2312" w:eastAsia="仿宋_GB2312" w:hint="eastAsia"/>
          <w:sz w:val="32"/>
          <w:szCs w:val="32"/>
          <w:highlight w:val="white"/>
        </w:rPr>
        <w:t>主要原因是</w:t>
      </w:r>
      <w:r>
        <w:rPr>
          <w:rFonts w:ascii="仿宋_GB2312" w:eastAsia="仿宋_GB2312" w:hint="eastAsia"/>
          <w:sz w:val="32"/>
          <w:szCs w:val="32"/>
        </w:rPr>
        <w:t>：人员经费减少。</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2020年度财政拨款支出总计434.65万元，年末财政拨款结转和结余33.93万元，总计468.58万元，与2019年财政拨款支出（523.25万元）相比，减少88.60万元，</w:t>
      </w:r>
      <w:r>
        <w:rPr>
          <w:rFonts w:ascii="仿宋_GB2312" w:eastAsia="仿宋_GB2312" w:hint="eastAsia"/>
          <w:sz w:val="32"/>
          <w:szCs w:val="32"/>
          <w:highlight w:val="white"/>
        </w:rPr>
        <w:t>下降16.93</w:t>
      </w:r>
      <w:r>
        <w:rPr>
          <w:rFonts w:ascii="仿宋_GB2312" w:eastAsia="仿宋_GB2312" w:hint="eastAsia"/>
          <w:sz w:val="32"/>
          <w:szCs w:val="32"/>
        </w:rPr>
        <w:t>%。</w:t>
      </w:r>
      <w:r>
        <w:rPr>
          <w:rFonts w:ascii="仿宋_GB2312" w:eastAsia="仿宋_GB2312" w:hint="eastAsia"/>
          <w:sz w:val="32"/>
          <w:szCs w:val="32"/>
          <w:highlight w:val="white"/>
        </w:rPr>
        <w:t>主要原因是：</w:t>
      </w:r>
      <w:r>
        <w:rPr>
          <w:rFonts w:ascii="仿宋_GB2312" w:eastAsia="仿宋_GB2312" w:hint="eastAsia"/>
          <w:sz w:val="32"/>
          <w:szCs w:val="32"/>
        </w:rPr>
        <w:t>人员经费支出和事业支出减少。</w:t>
      </w:r>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t>五、一般公共预算财政拨款支出决算情况说明</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highlight w:val="white"/>
        </w:rPr>
        <w:t>（一）一般公共预算财政拨款支出决算总体情况</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highlight w:val="white"/>
        </w:rPr>
        <w:t>2020年度一般公共预算财政拨款支出379.65万元，占本年支出合计的74.01%。与2019年度相比，一般公共预算财政拨款支出减少35.60万元，减少8.57%,主要原因是</w:t>
      </w:r>
      <w:r>
        <w:rPr>
          <w:rFonts w:ascii="仿宋_GB2312" w:eastAsia="仿宋_GB2312" w:hint="eastAsia"/>
          <w:sz w:val="32"/>
          <w:szCs w:val="32"/>
        </w:rPr>
        <w:t>人员经费支出</w:t>
      </w:r>
      <w:r>
        <w:rPr>
          <w:rFonts w:ascii="仿宋_GB2312" w:eastAsia="仿宋_GB2312"/>
          <w:sz w:val="32"/>
          <w:szCs w:val="32"/>
        </w:rPr>
        <w:t>。</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highlight w:val="white"/>
        </w:rPr>
        <w:t>（二）一般公共预算财政拨款支出决算结构情况</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2020年度一般公共预算财政拨款支出379.65万元，主要用于以下方面：文化旅游体育与传媒（类）支出353.84万元，占93.2</w:t>
      </w:r>
      <w:r>
        <w:rPr>
          <w:rFonts w:ascii="仿宋_GB2312" w:eastAsia="仿宋_GB2312"/>
          <w:sz w:val="32"/>
          <w:szCs w:val="32"/>
          <w:highlight w:val="white"/>
        </w:rPr>
        <w:t>0</w:t>
      </w:r>
      <w:r>
        <w:rPr>
          <w:rFonts w:ascii="仿宋_GB2312" w:eastAsia="仿宋_GB2312" w:hint="eastAsia"/>
          <w:sz w:val="32"/>
          <w:szCs w:val="32"/>
          <w:highlight w:val="white"/>
        </w:rPr>
        <w:t>%；社会保障和就业（类）支出10.07万元，占2.65%；卫生健康（类）支出8.18万元，占2.15%；住房保障（类）支出7.55万元，约占2</w:t>
      </w:r>
      <w:r>
        <w:rPr>
          <w:rFonts w:ascii="仿宋_GB2312" w:eastAsia="仿宋_GB2312"/>
          <w:sz w:val="32"/>
          <w:szCs w:val="32"/>
          <w:highlight w:val="white"/>
        </w:rPr>
        <w:t>.00</w:t>
      </w:r>
      <w:r>
        <w:rPr>
          <w:rFonts w:ascii="仿宋_GB2312" w:eastAsia="仿宋_GB2312" w:hint="eastAsia"/>
          <w:sz w:val="32"/>
          <w:szCs w:val="32"/>
          <w:highlight w:val="white"/>
        </w:rPr>
        <w:t>%；</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（三）一般公共预算财政拨款支出决算具体情况</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highlight w:val="white"/>
        </w:rPr>
        <w:lastRenderedPageBreak/>
        <w:t>2020年度一般公共预算财政拨款支出年初预算为195.58万元，支出决算为379.65万元，完成年初预算的194.11%。其中</w:t>
      </w:r>
      <w:r>
        <w:rPr>
          <w:rFonts w:ascii="仿宋_GB2312" w:eastAsia="仿宋_GB2312" w:hint="eastAsia"/>
          <w:sz w:val="32"/>
          <w:szCs w:val="32"/>
        </w:rPr>
        <w:t>：</w:t>
      </w:r>
    </w:p>
    <w:p w:rsidR="007357F7" w:rsidRDefault="00C023AC" w:rsidP="00C13862">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w:t>
      </w:r>
      <w:r>
        <w:rPr>
          <w:rFonts w:ascii="仿宋_GB2312" w:eastAsia="仿宋_GB2312"/>
          <w:sz w:val="32"/>
          <w:szCs w:val="32"/>
          <w:highlight w:val="white"/>
        </w:rPr>
        <w:t>207</w:t>
      </w:r>
      <w:r>
        <w:rPr>
          <w:rFonts w:ascii="仿宋_GB2312" w:eastAsia="仿宋_GB2312" w:hint="eastAsia"/>
          <w:sz w:val="32"/>
          <w:szCs w:val="32"/>
          <w:highlight w:val="white"/>
        </w:rPr>
        <w:t>文化旅游体育与传媒类支出（类）</w:t>
      </w:r>
      <w:r>
        <w:rPr>
          <w:rFonts w:ascii="仿宋_GB2312" w:eastAsia="仿宋_GB2312"/>
          <w:sz w:val="32"/>
          <w:szCs w:val="32"/>
          <w:highlight w:val="white"/>
        </w:rPr>
        <w:t>03</w:t>
      </w:r>
      <w:r>
        <w:rPr>
          <w:rFonts w:ascii="仿宋_GB2312" w:eastAsia="仿宋_GB2312" w:hint="eastAsia"/>
          <w:sz w:val="32"/>
          <w:szCs w:val="32"/>
          <w:highlight w:val="white"/>
        </w:rPr>
        <w:t>体育（款）</w:t>
      </w:r>
      <w:r>
        <w:rPr>
          <w:rFonts w:ascii="仿宋_GB2312" w:eastAsia="仿宋_GB2312"/>
          <w:sz w:val="32"/>
          <w:szCs w:val="32"/>
          <w:highlight w:val="white"/>
        </w:rPr>
        <w:t>01</w:t>
      </w:r>
      <w:r>
        <w:rPr>
          <w:rFonts w:ascii="仿宋_GB2312" w:eastAsia="仿宋_GB2312" w:hint="eastAsia"/>
          <w:sz w:val="32"/>
          <w:szCs w:val="32"/>
          <w:highlight w:val="white"/>
        </w:rPr>
        <w:t>行政运行（项）年初预算数为140.58万元，决算数为205.84万元，</w:t>
      </w:r>
      <w:r>
        <w:rPr>
          <w:rFonts w:ascii="仿宋_GB2312" w:eastAsia="仿宋_GB2312"/>
          <w:sz w:val="32"/>
          <w:szCs w:val="32"/>
          <w:highlight w:val="white"/>
        </w:rPr>
        <w:t>完成年初预算的146.42%，</w:t>
      </w:r>
      <w:r>
        <w:rPr>
          <w:rFonts w:ascii="仿宋_GB2312" w:eastAsia="仿宋_GB2312" w:hint="eastAsia"/>
          <w:sz w:val="32"/>
          <w:szCs w:val="32"/>
          <w:highlight w:val="white"/>
        </w:rPr>
        <w:t>决算数大于预算数的主要原因是</w:t>
      </w:r>
      <w:r>
        <w:rPr>
          <w:rFonts w:ascii="仿宋_GB2312" w:eastAsia="仿宋_GB2312"/>
          <w:sz w:val="32"/>
          <w:szCs w:val="32"/>
          <w:highlight w:val="white"/>
        </w:rPr>
        <w:t>：</w:t>
      </w:r>
      <w:r>
        <w:rPr>
          <w:rFonts w:ascii="仿宋_GB2312" w:eastAsia="仿宋_GB2312" w:hint="eastAsia"/>
          <w:sz w:val="32"/>
          <w:szCs w:val="32"/>
          <w:highlight w:val="white"/>
        </w:rPr>
        <w:t>调整预算增加65.26万元</w:t>
      </w:r>
      <w:r>
        <w:rPr>
          <w:rFonts w:ascii="仿宋_GB2312" w:eastAsia="仿宋_GB2312"/>
          <w:sz w:val="32"/>
          <w:szCs w:val="32"/>
          <w:highlight w:val="white"/>
        </w:rPr>
        <w:t>；</w:t>
      </w:r>
    </w:p>
    <w:p w:rsidR="007357F7" w:rsidRDefault="00C023AC" w:rsidP="00C13862">
      <w:pPr>
        <w:spacing w:line="560" w:lineRule="exact"/>
        <w:ind w:firstLineChars="200" w:firstLine="640"/>
        <w:rPr>
          <w:rFonts w:ascii="仿宋_GB2312" w:eastAsia="仿宋_GB2312"/>
          <w:sz w:val="32"/>
          <w:szCs w:val="32"/>
          <w:highlight w:val="white"/>
        </w:rPr>
      </w:pPr>
      <w:r>
        <w:rPr>
          <w:rFonts w:ascii="仿宋_GB2312" w:eastAsia="仿宋_GB2312"/>
          <w:sz w:val="32"/>
          <w:szCs w:val="32"/>
          <w:highlight w:val="white"/>
        </w:rPr>
        <w:t>2</w:t>
      </w:r>
      <w:r>
        <w:rPr>
          <w:rFonts w:ascii="仿宋_GB2312" w:eastAsia="仿宋_GB2312" w:hint="eastAsia"/>
          <w:sz w:val="32"/>
          <w:szCs w:val="32"/>
          <w:highlight w:val="white"/>
        </w:rPr>
        <w:t>.</w:t>
      </w:r>
      <w:r>
        <w:rPr>
          <w:rFonts w:ascii="仿宋_GB2312" w:eastAsia="仿宋_GB2312"/>
          <w:sz w:val="32"/>
          <w:szCs w:val="32"/>
          <w:highlight w:val="white"/>
        </w:rPr>
        <w:t>207</w:t>
      </w:r>
      <w:r>
        <w:rPr>
          <w:rFonts w:ascii="仿宋_GB2312" w:eastAsia="仿宋_GB2312" w:hint="eastAsia"/>
          <w:sz w:val="32"/>
          <w:szCs w:val="32"/>
          <w:highlight w:val="white"/>
        </w:rPr>
        <w:t>文化旅游体育与传媒类支出（类）</w:t>
      </w:r>
      <w:r>
        <w:rPr>
          <w:rFonts w:ascii="仿宋_GB2312" w:eastAsia="仿宋_GB2312"/>
          <w:sz w:val="32"/>
          <w:szCs w:val="32"/>
          <w:highlight w:val="white"/>
        </w:rPr>
        <w:t>03</w:t>
      </w:r>
      <w:r>
        <w:rPr>
          <w:rFonts w:ascii="仿宋_GB2312" w:eastAsia="仿宋_GB2312" w:hint="eastAsia"/>
          <w:sz w:val="32"/>
          <w:szCs w:val="32"/>
          <w:highlight w:val="white"/>
        </w:rPr>
        <w:t>体育（款）</w:t>
      </w:r>
      <w:r>
        <w:rPr>
          <w:rFonts w:ascii="仿宋_GB2312" w:eastAsia="仿宋_GB2312"/>
          <w:sz w:val="32"/>
          <w:szCs w:val="32"/>
          <w:highlight w:val="white"/>
        </w:rPr>
        <w:t>04运动项目管理</w:t>
      </w:r>
      <w:r>
        <w:rPr>
          <w:rFonts w:ascii="仿宋_GB2312" w:eastAsia="仿宋_GB2312" w:hint="eastAsia"/>
          <w:sz w:val="32"/>
          <w:szCs w:val="32"/>
          <w:highlight w:val="white"/>
        </w:rPr>
        <w:t>（项）年初预算数为</w:t>
      </w:r>
      <w:r>
        <w:rPr>
          <w:rFonts w:ascii="仿宋_GB2312" w:eastAsia="仿宋_GB2312"/>
          <w:sz w:val="32"/>
          <w:szCs w:val="32"/>
          <w:highlight w:val="white"/>
        </w:rPr>
        <w:t>10.00</w:t>
      </w:r>
      <w:r>
        <w:rPr>
          <w:rFonts w:ascii="仿宋_GB2312" w:eastAsia="仿宋_GB2312" w:hint="eastAsia"/>
          <w:sz w:val="32"/>
          <w:szCs w:val="32"/>
          <w:highlight w:val="white"/>
        </w:rPr>
        <w:t>万元，决算数为</w:t>
      </w:r>
      <w:r>
        <w:rPr>
          <w:rFonts w:ascii="仿宋_GB2312" w:eastAsia="仿宋_GB2312"/>
          <w:sz w:val="32"/>
          <w:szCs w:val="32"/>
          <w:highlight w:val="white"/>
        </w:rPr>
        <w:t>0</w:t>
      </w:r>
      <w:r>
        <w:rPr>
          <w:rFonts w:ascii="仿宋_GB2312" w:eastAsia="仿宋_GB2312" w:hint="eastAsia"/>
          <w:sz w:val="32"/>
          <w:szCs w:val="32"/>
          <w:highlight w:val="white"/>
        </w:rPr>
        <w:t>万元，决算数</w:t>
      </w:r>
      <w:r>
        <w:rPr>
          <w:rFonts w:ascii="仿宋_GB2312" w:eastAsia="仿宋_GB2312"/>
          <w:sz w:val="32"/>
          <w:szCs w:val="32"/>
          <w:highlight w:val="white"/>
        </w:rPr>
        <w:t>小</w:t>
      </w:r>
      <w:r>
        <w:rPr>
          <w:rFonts w:ascii="仿宋_GB2312" w:eastAsia="仿宋_GB2312" w:hint="eastAsia"/>
          <w:sz w:val="32"/>
          <w:szCs w:val="32"/>
          <w:highlight w:val="white"/>
        </w:rPr>
        <w:t>于预算数的主要原因是</w:t>
      </w:r>
      <w:r>
        <w:rPr>
          <w:rFonts w:ascii="仿宋_GB2312" w:eastAsia="仿宋_GB2312"/>
          <w:sz w:val="32"/>
          <w:szCs w:val="32"/>
          <w:highlight w:val="white"/>
        </w:rPr>
        <w:t>：</w:t>
      </w:r>
      <w:r>
        <w:rPr>
          <w:rFonts w:ascii="仿宋_GB2312" w:eastAsia="仿宋_GB2312" w:hint="eastAsia"/>
          <w:sz w:val="32"/>
          <w:szCs w:val="32"/>
          <w:highlight w:val="white"/>
        </w:rPr>
        <w:t>调整预算</w:t>
      </w:r>
      <w:r>
        <w:rPr>
          <w:rFonts w:ascii="仿宋_GB2312" w:eastAsia="仿宋_GB2312"/>
          <w:sz w:val="32"/>
          <w:szCs w:val="32"/>
          <w:highlight w:val="white"/>
        </w:rPr>
        <w:t>减少10.00</w:t>
      </w:r>
      <w:r>
        <w:rPr>
          <w:rFonts w:ascii="仿宋_GB2312" w:eastAsia="仿宋_GB2312" w:hint="eastAsia"/>
          <w:sz w:val="32"/>
          <w:szCs w:val="32"/>
          <w:highlight w:val="white"/>
        </w:rPr>
        <w:t>万元</w:t>
      </w:r>
      <w:r>
        <w:rPr>
          <w:rFonts w:ascii="仿宋_GB2312" w:eastAsia="仿宋_GB2312"/>
          <w:sz w:val="32"/>
          <w:szCs w:val="32"/>
          <w:highlight w:val="white"/>
        </w:rPr>
        <w:t>；</w:t>
      </w:r>
    </w:p>
    <w:p w:rsidR="007357F7" w:rsidRDefault="00C023AC" w:rsidP="00C13862">
      <w:pPr>
        <w:spacing w:line="560" w:lineRule="exact"/>
        <w:ind w:firstLineChars="200" w:firstLine="640"/>
        <w:rPr>
          <w:rFonts w:ascii="仿宋_GB2312" w:eastAsia="仿宋_GB2312"/>
          <w:sz w:val="32"/>
          <w:szCs w:val="32"/>
          <w:highlight w:val="white"/>
        </w:rPr>
      </w:pPr>
      <w:r>
        <w:rPr>
          <w:rFonts w:ascii="仿宋_GB2312" w:eastAsia="仿宋_GB2312"/>
          <w:sz w:val="32"/>
          <w:szCs w:val="32"/>
          <w:highlight w:val="white"/>
        </w:rPr>
        <w:t>3</w:t>
      </w:r>
      <w:r>
        <w:rPr>
          <w:rFonts w:ascii="仿宋_GB2312" w:eastAsia="仿宋_GB2312" w:hint="eastAsia"/>
          <w:sz w:val="32"/>
          <w:szCs w:val="32"/>
          <w:highlight w:val="white"/>
        </w:rPr>
        <w:t>.</w:t>
      </w:r>
      <w:r>
        <w:rPr>
          <w:rFonts w:ascii="仿宋_GB2312" w:eastAsia="仿宋_GB2312"/>
          <w:sz w:val="32"/>
          <w:szCs w:val="32"/>
          <w:highlight w:val="white"/>
        </w:rPr>
        <w:t>207</w:t>
      </w:r>
      <w:r>
        <w:rPr>
          <w:rFonts w:ascii="仿宋_GB2312" w:eastAsia="仿宋_GB2312" w:hint="eastAsia"/>
          <w:sz w:val="32"/>
          <w:szCs w:val="32"/>
          <w:highlight w:val="white"/>
        </w:rPr>
        <w:t>文化旅游体育与传媒类支出（类）</w:t>
      </w:r>
      <w:r>
        <w:rPr>
          <w:rFonts w:ascii="仿宋_GB2312" w:eastAsia="仿宋_GB2312"/>
          <w:sz w:val="32"/>
          <w:szCs w:val="32"/>
          <w:highlight w:val="white"/>
        </w:rPr>
        <w:t>03</w:t>
      </w:r>
      <w:r>
        <w:rPr>
          <w:rFonts w:ascii="仿宋_GB2312" w:eastAsia="仿宋_GB2312" w:hint="eastAsia"/>
          <w:sz w:val="32"/>
          <w:szCs w:val="32"/>
          <w:highlight w:val="white"/>
        </w:rPr>
        <w:t>体育（款）</w:t>
      </w:r>
      <w:r>
        <w:rPr>
          <w:rFonts w:ascii="仿宋_GB2312" w:eastAsia="仿宋_GB2312"/>
          <w:sz w:val="32"/>
          <w:szCs w:val="32"/>
          <w:highlight w:val="white"/>
        </w:rPr>
        <w:t>05体育竞赛</w:t>
      </w:r>
      <w:r>
        <w:rPr>
          <w:rFonts w:ascii="仿宋_GB2312" w:eastAsia="仿宋_GB2312" w:hint="eastAsia"/>
          <w:sz w:val="32"/>
          <w:szCs w:val="32"/>
          <w:highlight w:val="white"/>
        </w:rPr>
        <w:t>（项）年初预算数为</w:t>
      </w:r>
      <w:r>
        <w:rPr>
          <w:rFonts w:ascii="仿宋_GB2312" w:eastAsia="仿宋_GB2312"/>
          <w:sz w:val="32"/>
          <w:szCs w:val="32"/>
          <w:highlight w:val="white"/>
        </w:rPr>
        <w:t>10.00</w:t>
      </w:r>
      <w:r>
        <w:rPr>
          <w:rFonts w:ascii="仿宋_GB2312" w:eastAsia="仿宋_GB2312" w:hint="eastAsia"/>
          <w:sz w:val="32"/>
          <w:szCs w:val="32"/>
          <w:highlight w:val="white"/>
        </w:rPr>
        <w:t>万元，决算数为</w:t>
      </w:r>
      <w:r>
        <w:rPr>
          <w:rFonts w:ascii="仿宋_GB2312" w:eastAsia="仿宋_GB2312"/>
          <w:sz w:val="32"/>
          <w:szCs w:val="32"/>
          <w:highlight w:val="white"/>
        </w:rPr>
        <w:t>0</w:t>
      </w:r>
      <w:r>
        <w:rPr>
          <w:rFonts w:ascii="仿宋_GB2312" w:eastAsia="仿宋_GB2312" w:hint="eastAsia"/>
          <w:sz w:val="32"/>
          <w:szCs w:val="32"/>
          <w:highlight w:val="white"/>
        </w:rPr>
        <w:t>万元，决算数</w:t>
      </w:r>
      <w:r>
        <w:rPr>
          <w:rFonts w:ascii="仿宋_GB2312" w:eastAsia="仿宋_GB2312"/>
          <w:sz w:val="32"/>
          <w:szCs w:val="32"/>
          <w:highlight w:val="white"/>
        </w:rPr>
        <w:t>小</w:t>
      </w:r>
      <w:r>
        <w:rPr>
          <w:rFonts w:ascii="仿宋_GB2312" w:eastAsia="仿宋_GB2312" w:hint="eastAsia"/>
          <w:sz w:val="32"/>
          <w:szCs w:val="32"/>
          <w:highlight w:val="white"/>
        </w:rPr>
        <w:t>于预算数的主要原因是</w:t>
      </w:r>
      <w:r>
        <w:rPr>
          <w:rFonts w:ascii="仿宋_GB2312" w:eastAsia="仿宋_GB2312"/>
          <w:sz w:val="32"/>
          <w:szCs w:val="32"/>
          <w:highlight w:val="white"/>
        </w:rPr>
        <w:t>：</w:t>
      </w:r>
      <w:r>
        <w:rPr>
          <w:rFonts w:ascii="仿宋_GB2312" w:eastAsia="仿宋_GB2312" w:hint="eastAsia"/>
          <w:sz w:val="32"/>
          <w:szCs w:val="32"/>
          <w:highlight w:val="white"/>
        </w:rPr>
        <w:t>调整预算</w:t>
      </w:r>
      <w:r>
        <w:rPr>
          <w:rFonts w:ascii="仿宋_GB2312" w:eastAsia="仿宋_GB2312"/>
          <w:sz w:val="32"/>
          <w:szCs w:val="32"/>
          <w:highlight w:val="white"/>
        </w:rPr>
        <w:t>减少10.00</w:t>
      </w:r>
      <w:r>
        <w:rPr>
          <w:rFonts w:ascii="仿宋_GB2312" w:eastAsia="仿宋_GB2312" w:hint="eastAsia"/>
          <w:sz w:val="32"/>
          <w:szCs w:val="32"/>
          <w:highlight w:val="white"/>
        </w:rPr>
        <w:t>万元</w:t>
      </w:r>
      <w:r>
        <w:rPr>
          <w:rFonts w:ascii="仿宋_GB2312" w:eastAsia="仿宋_GB2312"/>
          <w:sz w:val="32"/>
          <w:szCs w:val="32"/>
          <w:highlight w:val="white"/>
        </w:rPr>
        <w:t>；</w:t>
      </w:r>
    </w:p>
    <w:p w:rsidR="007357F7" w:rsidRDefault="00C023AC" w:rsidP="00C13862">
      <w:pPr>
        <w:spacing w:line="560" w:lineRule="exact"/>
        <w:ind w:firstLineChars="200" w:firstLine="640"/>
        <w:rPr>
          <w:rFonts w:ascii="仿宋_GB2312" w:eastAsia="仿宋_GB2312"/>
          <w:sz w:val="32"/>
          <w:szCs w:val="32"/>
          <w:highlight w:val="white"/>
        </w:rPr>
      </w:pPr>
      <w:r>
        <w:rPr>
          <w:rFonts w:ascii="仿宋_GB2312" w:eastAsia="仿宋_GB2312"/>
          <w:sz w:val="32"/>
          <w:szCs w:val="32"/>
          <w:highlight w:val="white"/>
        </w:rPr>
        <w:t>4</w:t>
      </w:r>
      <w:r>
        <w:rPr>
          <w:rFonts w:ascii="仿宋_GB2312" w:eastAsia="仿宋_GB2312" w:hint="eastAsia"/>
          <w:sz w:val="32"/>
          <w:szCs w:val="32"/>
          <w:highlight w:val="white"/>
        </w:rPr>
        <w:t>.</w:t>
      </w:r>
      <w:r>
        <w:rPr>
          <w:rFonts w:ascii="仿宋_GB2312" w:eastAsia="仿宋_GB2312"/>
          <w:sz w:val="32"/>
          <w:szCs w:val="32"/>
          <w:highlight w:val="white"/>
        </w:rPr>
        <w:t>207</w:t>
      </w:r>
      <w:r>
        <w:rPr>
          <w:rFonts w:ascii="仿宋_GB2312" w:eastAsia="仿宋_GB2312" w:hint="eastAsia"/>
          <w:sz w:val="32"/>
          <w:szCs w:val="32"/>
          <w:highlight w:val="white"/>
        </w:rPr>
        <w:t>文化旅游体育与传媒类支出（类）</w:t>
      </w:r>
      <w:r>
        <w:rPr>
          <w:rFonts w:ascii="仿宋_GB2312" w:eastAsia="仿宋_GB2312"/>
          <w:sz w:val="32"/>
          <w:szCs w:val="32"/>
          <w:highlight w:val="white"/>
        </w:rPr>
        <w:t>03</w:t>
      </w:r>
      <w:r>
        <w:rPr>
          <w:rFonts w:ascii="仿宋_GB2312" w:eastAsia="仿宋_GB2312" w:hint="eastAsia"/>
          <w:sz w:val="32"/>
          <w:szCs w:val="32"/>
          <w:highlight w:val="white"/>
        </w:rPr>
        <w:t>体育（款）</w:t>
      </w:r>
      <w:r>
        <w:rPr>
          <w:rFonts w:ascii="仿宋_GB2312" w:eastAsia="仿宋_GB2312"/>
          <w:sz w:val="32"/>
          <w:szCs w:val="32"/>
          <w:highlight w:val="white"/>
        </w:rPr>
        <w:t>07</w:t>
      </w:r>
      <w:r>
        <w:rPr>
          <w:rFonts w:ascii="仿宋_GB2312" w:eastAsia="仿宋_GB2312" w:hint="eastAsia"/>
          <w:sz w:val="32"/>
          <w:szCs w:val="32"/>
          <w:highlight w:val="white"/>
        </w:rPr>
        <w:t>体育场馆（项）年初预算数为10</w:t>
      </w:r>
      <w:r>
        <w:rPr>
          <w:rFonts w:ascii="仿宋_GB2312" w:eastAsia="仿宋_GB2312"/>
          <w:sz w:val="32"/>
          <w:szCs w:val="32"/>
          <w:highlight w:val="white"/>
        </w:rPr>
        <w:t>.00</w:t>
      </w:r>
      <w:r>
        <w:rPr>
          <w:rFonts w:ascii="仿宋_GB2312" w:eastAsia="仿宋_GB2312" w:hint="eastAsia"/>
          <w:sz w:val="32"/>
          <w:szCs w:val="32"/>
          <w:highlight w:val="white"/>
        </w:rPr>
        <w:t>万元，决算数为64</w:t>
      </w:r>
      <w:r>
        <w:rPr>
          <w:rFonts w:ascii="仿宋_GB2312" w:eastAsia="仿宋_GB2312"/>
          <w:sz w:val="32"/>
          <w:szCs w:val="32"/>
          <w:highlight w:val="white"/>
        </w:rPr>
        <w:t>.00</w:t>
      </w:r>
      <w:r>
        <w:rPr>
          <w:rFonts w:ascii="仿宋_GB2312" w:eastAsia="仿宋_GB2312" w:hint="eastAsia"/>
          <w:sz w:val="32"/>
          <w:szCs w:val="32"/>
          <w:highlight w:val="white"/>
        </w:rPr>
        <w:t>万元，</w:t>
      </w:r>
      <w:r>
        <w:rPr>
          <w:rFonts w:ascii="仿宋_GB2312" w:eastAsia="仿宋_GB2312"/>
          <w:sz w:val="32"/>
          <w:szCs w:val="32"/>
          <w:highlight w:val="white"/>
        </w:rPr>
        <w:t>完成年初预算的640%，</w:t>
      </w:r>
      <w:r>
        <w:rPr>
          <w:rFonts w:ascii="仿宋_GB2312" w:eastAsia="仿宋_GB2312" w:hint="eastAsia"/>
          <w:sz w:val="32"/>
          <w:szCs w:val="32"/>
          <w:highlight w:val="white"/>
        </w:rPr>
        <w:t>决算数大于预算数的主要原因是</w:t>
      </w:r>
      <w:r>
        <w:rPr>
          <w:rFonts w:ascii="仿宋_GB2312" w:eastAsia="仿宋_GB2312"/>
          <w:sz w:val="32"/>
          <w:szCs w:val="32"/>
          <w:highlight w:val="white"/>
        </w:rPr>
        <w:t>：</w:t>
      </w:r>
      <w:r>
        <w:rPr>
          <w:rFonts w:ascii="仿宋_GB2312" w:eastAsia="仿宋_GB2312" w:hint="eastAsia"/>
          <w:sz w:val="32"/>
          <w:szCs w:val="32"/>
          <w:highlight w:val="white"/>
        </w:rPr>
        <w:t>调整预算增加54</w:t>
      </w:r>
      <w:r>
        <w:rPr>
          <w:rFonts w:ascii="仿宋_GB2312" w:eastAsia="仿宋_GB2312"/>
          <w:sz w:val="32"/>
          <w:szCs w:val="32"/>
          <w:highlight w:val="white"/>
        </w:rPr>
        <w:t>.00</w:t>
      </w:r>
      <w:r>
        <w:rPr>
          <w:rFonts w:ascii="仿宋_GB2312" w:eastAsia="仿宋_GB2312" w:hint="eastAsia"/>
          <w:sz w:val="32"/>
          <w:szCs w:val="32"/>
          <w:highlight w:val="white"/>
        </w:rPr>
        <w:t>万元</w:t>
      </w:r>
      <w:r>
        <w:rPr>
          <w:rFonts w:ascii="仿宋_GB2312" w:eastAsia="仿宋_GB2312"/>
          <w:sz w:val="32"/>
          <w:szCs w:val="32"/>
          <w:highlight w:val="white"/>
        </w:rPr>
        <w:t>；</w:t>
      </w:r>
    </w:p>
    <w:p w:rsidR="007357F7" w:rsidRDefault="00C023AC" w:rsidP="00C13862">
      <w:pPr>
        <w:spacing w:line="560" w:lineRule="exact"/>
        <w:ind w:firstLineChars="200" w:firstLine="640"/>
        <w:rPr>
          <w:rFonts w:ascii="仿宋_GB2312" w:eastAsia="仿宋_GB2312"/>
          <w:sz w:val="32"/>
          <w:szCs w:val="32"/>
          <w:highlight w:val="white"/>
        </w:rPr>
      </w:pPr>
      <w:r>
        <w:rPr>
          <w:rFonts w:ascii="仿宋_GB2312" w:eastAsia="仿宋_GB2312"/>
          <w:sz w:val="32"/>
          <w:szCs w:val="32"/>
          <w:highlight w:val="white"/>
        </w:rPr>
        <w:t>5</w:t>
      </w:r>
      <w:r>
        <w:rPr>
          <w:rFonts w:ascii="仿宋_GB2312" w:eastAsia="仿宋_GB2312" w:hint="eastAsia"/>
          <w:sz w:val="32"/>
          <w:szCs w:val="32"/>
          <w:highlight w:val="white"/>
        </w:rPr>
        <w:t>.</w:t>
      </w:r>
      <w:r>
        <w:rPr>
          <w:rFonts w:ascii="仿宋_GB2312" w:eastAsia="仿宋_GB2312"/>
          <w:sz w:val="32"/>
          <w:szCs w:val="32"/>
          <w:highlight w:val="white"/>
        </w:rPr>
        <w:t>207</w:t>
      </w:r>
      <w:r>
        <w:rPr>
          <w:rFonts w:ascii="仿宋_GB2312" w:eastAsia="仿宋_GB2312" w:hint="eastAsia"/>
          <w:sz w:val="32"/>
          <w:szCs w:val="32"/>
          <w:highlight w:val="white"/>
        </w:rPr>
        <w:t>文化旅游体育与传媒类支出（类）</w:t>
      </w:r>
      <w:r>
        <w:rPr>
          <w:rFonts w:ascii="仿宋_GB2312" w:eastAsia="仿宋_GB2312"/>
          <w:sz w:val="32"/>
          <w:szCs w:val="32"/>
          <w:highlight w:val="white"/>
        </w:rPr>
        <w:t>03</w:t>
      </w:r>
      <w:r>
        <w:rPr>
          <w:rFonts w:ascii="仿宋_GB2312" w:eastAsia="仿宋_GB2312" w:hint="eastAsia"/>
          <w:sz w:val="32"/>
          <w:szCs w:val="32"/>
          <w:highlight w:val="white"/>
        </w:rPr>
        <w:t>体育（款）</w:t>
      </w:r>
      <w:r>
        <w:rPr>
          <w:rFonts w:ascii="仿宋_GB2312" w:eastAsia="仿宋_GB2312"/>
          <w:sz w:val="32"/>
          <w:szCs w:val="32"/>
          <w:highlight w:val="white"/>
        </w:rPr>
        <w:t>08群众体育</w:t>
      </w:r>
      <w:r>
        <w:rPr>
          <w:rFonts w:ascii="仿宋_GB2312" w:eastAsia="仿宋_GB2312" w:hint="eastAsia"/>
          <w:sz w:val="32"/>
          <w:szCs w:val="32"/>
          <w:highlight w:val="white"/>
        </w:rPr>
        <w:t>（项）年初预算数为</w:t>
      </w:r>
      <w:r>
        <w:rPr>
          <w:rFonts w:ascii="仿宋_GB2312" w:eastAsia="仿宋_GB2312"/>
          <w:sz w:val="32"/>
          <w:szCs w:val="32"/>
          <w:highlight w:val="white"/>
        </w:rPr>
        <w:t>20.00</w:t>
      </w:r>
      <w:r>
        <w:rPr>
          <w:rFonts w:ascii="仿宋_GB2312" w:eastAsia="仿宋_GB2312" w:hint="eastAsia"/>
          <w:sz w:val="32"/>
          <w:szCs w:val="32"/>
          <w:highlight w:val="white"/>
        </w:rPr>
        <w:t>万元，决算数为</w:t>
      </w:r>
      <w:r>
        <w:rPr>
          <w:rFonts w:ascii="仿宋_GB2312" w:eastAsia="仿宋_GB2312"/>
          <w:sz w:val="32"/>
          <w:szCs w:val="32"/>
          <w:highlight w:val="white"/>
        </w:rPr>
        <w:t>0</w:t>
      </w:r>
      <w:r>
        <w:rPr>
          <w:rFonts w:ascii="仿宋_GB2312" w:eastAsia="仿宋_GB2312" w:hint="eastAsia"/>
          <w:sz w:val="32"/>
          <w:szCs w:val="32"/>
          <w:highlight w:val="white"/>
        </w:rPr>
        <w:t>万元，决算数</w:t>
      </w:r>
      <w:r>
        <w:rPr>
          <w:rFonts w:ascii="仿宋_GB2312" w:eastAsia="仿宋_GB2312"/>
          <w:sz w:val="32"/>
          <w:szCs w:val="32"/>
          <w:highlight w:val="white"/>
        </w:rPr>
        <w:t>小</w:t>
      </w:r>
      <w:r>
        <w:rPr>
          <w:rFonts w:ascii="仿宋_GB2312" w:eastAsia="仿宋_GB2312" w:hint="eastAsia"/>
          <w:sz w:val="32"/>
          <w:szCs w:val="32"/>
          <w:highlight w:val="white"/>
        </w:rPr>
        <w:t>于预算数的主要原因是</w:t>
      </w:r>
      <w:r>
        <w:rPr>
          <w:rFonts w:ascii="仿宋_GB2312" w:eastAsia="仿宋_GB2312"/>
          <w:sz w:val="32"/>
          <w:szCs w:val="32"/>
          <w:highlight w:val="white"/>
        </w:rPr>
        <w:t>：</w:t>
      </w:r>
      <w:r>
        <w:rPr>
          <w:rFonts w:ascii="仿宋_GB2312" w:eastAsia="仿宋_GB2312" w:hint="eastAsia"/>
          <w:sz w:val="32"/>
          <w:szCs w:val="32"/>
          <w:highlight w:val="white"/>
        </w:rPr>
        <w:t>调整预算</w:t>
      </w:r>
      <w:r>
        <w:rPr>
          <w:rFonts w:ascii="仿宋_GB2312" w:eastAsia="仿宋_GB2312"/>
          <w:sz w:val="32"/>
          <w:szCs w:val="32"/>
          <w:highlight w:val="white"/>
        </w:rPr>
        <w:t>减少20.00</w:t>
      </w:r>
      <w:r>
        <w:rPr>
          <w:rFonts w:ascii="仿宋_GB2312" w:eastAsia="仿宋_GB2312" w:hint="eastAsia"/>
          <w:sz w:val="32"/>
          <w:szCs w:val="32"/>
          <w:highlight w:val="white"/>
        </w:rPr>
        <w:t>万元</w:t>
      </w:r>
      <w:r>
        <w:rPr>
          <w:rFonts w:ascii="仿宋_GB2312" w:eastAsia="仿宋_GB2312"/>
          <w:sz w:val="32"/>
          <w:szCs w:val="32"/>
          <w:highlight w:val="white"/>
        </w:rPr>
        <w:t>；</w:t>
      </w:r>
    </w:p>
    <w:p w:rsidR="007357F7" w:rsidRDefault="00C023AC" w:rsidP="00C13862">
      <w:pPr>
        <w:spacing w:line="560" w:lineRule="exact"/>
        <w:ind w:firstLineChars="200" w:firstLine="640"/>
        <w:rPr>
          <w:rFonts w:ascii="仿宋_GB2312" w:eastAsia="仿宋_GB2312"/>
          <w:sz w:val="32"/>
          <w:szCs w:val="32"/>
          <w:highlight w:val="white"/>
        </w:rPr>
      </w:pPr>
      <w:r>
        <w:rPr>
          <w:rFonts w:ascii="仿宋_GB2312" w:eastAsia="仿宋_GB2312"/>
          <w:sz w:val="32"/>
          <w:szCs w:val="32"/>
          <w:highlight w:val="white"/>
        </w:rPr>
        <w:t>6</w:t>
      </w:r>
      <w:r>
        <w:rPr>
          <w:rFonts w:ascii="仿宋_GB2312" w:eastAsia="仿宋_GB2312" w:hint="eastAsia"/>
          <w:sz w:val="32"/>
          <w:szCs w:val="32"/>
          <w:highlight w:val="white"/>
        </w:rPr>
        <w:t>.</w:t>
      </w:r>
      <w:r>
        <w:rPr>
          <w:rFonts w:ascii="仿宋_GB2312" w:eastAsia="仿宋_GB2312"/>
          <w:sz w:val="32"/>
          <w:szCs w:val="32"/>
          <w:highlight w:val="white"/>
        </w:rPr>
        <w:t>207</w:t>
      </w:r>
      <w:r>
        <w:rPr>
          <w:rFonts w:ascii="仿宋_GB2312" w:eastAsia="仿宋_GB2312" w:hint="eastAsia"/>
          <w:sz w:val="32"/>
          <w:szCs w:val="32"/>
          <w:highlight w:val="white"/>
        </w:rPr>
        <w:t>文化旅游体育与传媒类支出（类）</w:t>
      </w:r>
      <w:r>
        <w:rPr>
          <w:rFonts w:ascii="仿宋_GB2312" w:eastAsia="仿宋_GB2312"/>
          <w:sz w:val="32"/>
          <w:szCs w:val="32"/>
          <w:highlight w:val="white"/>
        </w:rPr>
        <w:t>03</w:t>
      </w:r>
      <w:r>
        <w:rPr>
          <w:rFonts w:ascii="仿宋_GB2312" w:eastAsia="仿宋_GB2312" w:hint="eastAsia"/>
          <w:sz w:val="32"/>
          <w:szCs w:val="32"/>
          <w:highlight w:val="white"/>
        </w:rPr>
        <w:t>体育（款）</w:t>
      </w:r>
      <w:r>
        <w:rPr>
          <w:rFonts w:ascii="仿宋_GB2312" w:eastAsia="仿宋_GB2312"/>
          <w:sz w:val="32"/>
          <w:szCs w:val="32"/>
          <w:highlight w:val="white"/>
        </w:rPr>
        <w:t>99其他体育支出</w:t>
      </w:r>
      <w:r>
        <w:rPr>
          <w:rFonts w:ascii="仿宋_GB2312" w:eastAsia="仿宋_GB2312" w:hint="eastAsia"/>
          <w:sz w:val="32"/>
          <w:szCs w:val="32"/>
          <w:highlight w:val="white"/>
        </w:rPr>
        <w:t>（项）年初预算数为</w:t>
      </w:r>
      <w:r>
        <w:rPr>
          <w:rFonts w:ascii="仿宋_GB2312" w:eastAsia="仿宋_GB2312"/>
          <w:sz w:val="32"/>
          <w:szCs w:val="32"/>
          <w:highlight w:val="white"/>
        </w:rPr>
        <w:t>5.00</w:t>
      </w:r>
      <w:r>
        <w:rPr>
          <w:rFonts w:ascii="仿宋_GB2312" w:eastAsia="仿宋_GB2312" w:hint="eastAsia"/>
          <w:sz w:val="32"/>
          <w:szCs w:val="32"/>
          <w:highlight w:val="white"/>
        </w:rPr>
        <w:t>万元，决算数为</w:t>
      </w:r>
      <w:r>
        <w:rPr>
          <w:rFonts w:ascii="仿宋_GB2312" w:eastAsia="仿宋_GB2312"/>
          <w:sz w:val="32"/>
          <w:szCs w:val="32"/>
          <w:highlight w:val="white"/>
        </w:rPr>
        <w:t>0</w:t>
      </w:r>
      <w:r>
        <w:rPr>
          <w:rFonts w:ascii="仿宋_GB2312" w:eastAsia="仿宋_GB2312" w:hint="eastAsia"/>
          <w:sz w:val="32"/>
          <w:szCs w:val="32"/>
          <w:highlight w:val="white"/>
        </w:rPr>
        <w:t>万元，决算数</w:t>
      </w:r>
      <w:r>
        <w:rPr>
          <w:rFonts w:ascii="仿宋_GB2312" w:eastAsia="仿宋_GB2312"/>
          <w:sz w:val="32"/>
          <w:szCs w:val="32"/>
          <w:highlight w:val="white"/>
        </w:rPr>
        <w:t>小</w:t>
      </w:r>
      <w:r>
        <w:rPr>
          <w:rFonts w:ascii="仿宋_GB2312" w:eastAsia="仿宋_GB2312" w:hint="eastAsia"/>
          <w:sz w:val="32"/>
          <w:szCs w:val="32"/>
          <w:highlight w:val="white"/>
        </w:rPr>
        <w:t>于预算数的主要原因是</w:t>
      </w:r>
      <w:r>
        <w:rPr>
          <w:rFonts w:ascii="仿宋_GB2312" w:eastAsia="仿宋_GB2312"/>
          <w:sz w:val="32"/>
          <w:szCs w:val="32"/>
          <w:highlight w:val="white"/>
        </w:rPr>
        <w:t>：</w:t>
      </w:r>
      <w:r>
        <w:rPr>
          <w:rFonts w:ascii="仿宋_GB2312" w:eastAsia="仿宋_GB2312" w:hint="eastAsia"/>
          <w:sz w:val="32"/>
          <w:szCs w:val="32"/>
          <w:highlight w:val="white"/>
        </w:rPr>
        <w:t>调整预算</w:t>
      </w:r>
      <w:r>
        <w:rPr>
          <w:rFonts w:ascii="仿宋_GB2312" w:eastAsia="仿宋_GB2312"/>
          <w:sz w:val="32"/>
          <w:szCs w:val="32"/>
          <w:highlight w:val="white"/>
        </w:rPr>
        <w:t>减少5.00</w:t>
      </w:r>
      <w:r>
        <w:rPr>
          <w:rFonts w:ascii="仿宋_GB2312" w:eastAsia="仿宋_GB2312" w:hint="eastAsia"/>
          <w:sz w:val="32"/>
          <w:szCs w:val="32"/>
          <w:highlight w:val="white"/>
        </w:rPr>
        <w:t>万元</w:t>
      </w:r>
      <w:r>
        <w:rPr>
          <w:rFonts w:ascii="仿宋_GB2312" w:eastAsia="仿宋_GB2312"/>
          <w:sz w:val="32"/>
          <w:szCs w:val="32"/>
          <w:highlight w:val="white"/>
        </w:rPr>
        <w:t>；</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sz w:val="32"/>
          <w:szCs w:val="32"/>
          <w:highlight w:val="white"/>
        </w:rPr>
        <w:lastRenderedPageBreak/>
        <w:t>7.207</w:t>
      </w:r>
      <w:r>
        <w:rPr>
          <w:rFonts w:ascii="仿宋_GB2312" w:eastAsia="仿宋_GB2312" w:hint="eastAsia"/>
          <w:sz w:val="32"/>
          <w:szCs w:val="32"/>
          <w:highlight w:val="white"/>
        </w:rPr>
        <w:t>文化旅游体育与传媒类支出（类）</w:t>
      </w:r>
      <w:r>
        <w:rPr>
          <w:rFonts w:ascii="仿宋_GB2312" w:eastAsia="仿宋_GB2312"/>
          <w:sz w:val="32"/>
          <w:szCs w:val="32"/>
          <w:highlight w:val="white"/>
        </w:rPr>
        <w:t>99</w:t>
      </w:r>
      <w:r>
        <w:rPr>
          <w:rFonts w:ascii="仿宋_GB2312" w:eastAsia="仿宋_GB2312" w:hint="eastAsia"/>
          <w:sz w:val="32"/>
          <w:szCs w:val="32"/>
          <w:highlight w:val="white"/>
        </w:rPr>
        <w:t>其他文化旅游体育与传媒类支出（款）</w:t>
      </w:r>
      <w:r>
        <w:rPr>
          <w:rFonts w:ascii="仿宋_GB2312" w:eastAsia="仿宋_GB2312"/>
          <w:sz w:val="32"/>
          <w:szCs w:val="32"/>
          <w:highlight w:val="white"/>
        </w:rPr>
        <w:t>99</w:t>
      </w:r>
      <w:r>
        <w:rPr>
          <w:rFonts w:ascii="仿宋_GB2312" w:eastAsia="仿宋_GB2312" w:hint="eastAsia"/>
          <w:sz w:val="32"/>
          <w:szCs w:val="32"/>
          <w:highlight w:val="white"/>
        </w:rPr>
        <w:t>其他文化旅游体育与传媒类支出（项）</w:t>
      </w:r>
    </w:p>
    <w:p w:rsidR="007357F7" w:rsidRDefault="00C023AC" w:rsidP="00C13862">
      <w:pPr>
        <w:spacing w:line="560" w:lineRule="exact"/>
        <w:rPr>
          <w:rFonts w:ascii="仿宋_GB2312" w:eastAsia="仿宋_GB2312"/>
          <w:sz w:val="32"/>
          <w:szCs w:val="32"/>
          <w:highlight w:val="white"/>
        </w:rPr>
      </w:pPr>
      <w:r>
        <w:rPr>
          <w:rFonts w:ascii="仿宋_GB2312" w:eastAsia="仿宋_GB2312" w:hint="eastAsia"/>
          <w:sz w:val="32"/>
          <w:szCs w:val="32"/>
          <w:highlight w:val="white"/>
        </w:rPr>
        <w:t>年初预算数为0万元，决算数为84</w:t>
      </w:r>
      <w:r>
        <w:rPr>
          <w:rFonts w:ascii="仿宋_GB2312" w:eastAsia="仿宋_GB2312"/>
          <w:sz w:val="32"/>
          <w:szCs w:val="32"/>
          <w:highlight w:val="white"/>
        </w:rPr>
        <w:t>.00</w:t>
      </w:r>
      <w:r>
        <w:rPr>
          <w:rFonts w:ascii="仿宋_GB2312" w:eastAsia="仿宋_GB2312" w:hint="eastAsia"/>
          <w:sz w:val="32"/>
          <w:szCs w:val="32"/>
          <w:highlight w:val="white"/>
        </w:rPr>
        <w:t>万元，决算数大于预算数的主要原因是</w:t>
      </w:r>
      <w:r>
        <w:rPr>
          <w:rFonts w:ascii="仿宋_GB2312" w:eastAsia="仿宋_GB2312"/>
          <w:sz w:val="32"/>
          <w:szCs w:val="32"/>
          <w:highlight w:val="white"/>
        </w:rPr>
        <w:t>：</w:t>
      </w:r>
      <w:r>
        <w:rPr>
          <w:rFonts w:ascii="仿宋_GB2312" w:eastAsia="仿宋_GB2312" w:hint="eastAsia"/>
          <w:sz w:val="32"/>
          <w:szCs w:val="32"/>
          <w:highlight w:val="white"/>
        </w:rPr>
        <w:t>调整预算增加84</w:t>
      </w:r>
      <w:r>
        <w:rPr>
          <w:rFonts w:ascii="仿宋_GB2312" w:eastAsia="仿宋_GB2312"/>
          <w:sz w:val="32"/>
          <w:szCs w:val="32"/>
          <w:highlight w:val="white"/>
        </w:rPr>
        <w:t>.00</w:t>
      </w:r>
      <w:r>
        <w:rPr>
          <w:rFonts w:ascii="仿宋_GB2312" w:eastAsia="仿宋_GB2312" w:hint="eastAsia"/>
          <w:sz w:val="32"/>
          <w:szCs w:val="32"/>
          <w:highlight w:val="white"/>
        </w:rPr>
        <w:t>万元</w:t>
      </w:r>
      <w:r>
        <w:rPr>
          <w:rFonts w:ascii="仿宋_GB2312" w:eastAsia="仿宋_GB2312"/>
          <w:sz w:val="32"/>
          <w:szCs w:val="32"/>
          <w:highlight w:val="white"/>
        </w:rPr>
        <w:t>；</w:t>
      </w:r>
      <w:r>
        <w:rPr>
          <w:rFonts w:ascii="仿宋_GB2312" w:eastAsia="仿宋_GB2312" w:hint="eastAsia"/>
          <w:sz w:val="32"/>
          <w:szCs w:val="32"/>
          <w:highlight w:val="white"/>
        </w:rPr>
        <w:t xml:space="preserve"> </w:t>
      </w:r>
    </w:p>
    <w:p w:rsidR="007357F7" w:rsidRDefault="00C023AC" w:rsidP="00C13862">
      <w:pPr>
        <w:spacing w:line="560" w:lineRule="exact"/>
        <w:ind w:firstLineChars="200" w:firstLine="640"/>
        <w:rPr>
          <w:rFonts w:ascii="仿宋_GB2312" w:eastAsia="仿宋_GB2312"/>
          <w:sz w:val="32"/>
          <w:szCs w:val="32"/>
          <w:highlight w:val="white"/>
        </w:rPr>
      </w:pPr>
      <w:r>
        <w:rPr>
          <w:rFonts w:ascii="仿宋_GB2312" w:eastAsia="仿宋_GB2312"/>
          <w:sz w:val="32"/>
          <w:szCs w:val="32"/>
          <w:highlight w:val="white"/>
        </w:rPr>
        <w:t>8</w:t>
      </w:r>
      <w:r>
        <w:rPr>
          <w:rFonts w:ascii="仿宋_GB2312" w:eastAsia="仿宋_GB2312" w:hint="eastAsia"/>
          <w:sz w:val="32"/>
          <w:szCs w:val="32"/>
          <w:highlight w:val="white"/>
        </w:rPr>
        <w:t>.</w:t>
      </w:r>
      <w:r>
        <w:rPr>
          <w:rFonts w:ascii="仿宋_GB2312" w:eastAsia="仿宋_GB2312"/>
          <w:sz w:val="32"/>
          <w:szCs w:val="32"/>
          <w:highlight w:val="white"/>
        </w:rPr>
        <w:t>208</w:t>
      </w:r>
      <w:r>
        <w:rPr>
          <w:rFonts w:ascii="仿宋_GB2312" w:eastAsia="仿宋_GB2312" w:hint="eastAsia"/>
          <w:sz w:val="32"/>
          <w:szCs w:val="32"/>
          <w:highlight w:val="white"/>
        </w:rPr>
        <w:t>社会保障和就业支出（类）</w:t>
      </w:r>
      <w:r>
        <w:rPr>
          <w:rFonts w:ascii="仿宋_GB2312" w:eastAsia="仿宋_GB2312"/>
          <w:sz w:val="32"/>
          <w:szCs w:val="32"/>
          <w:highlight w:val="white"/>
        </w:rPr>
        <w:t>05</w:t>
      </w:r>
      <w:r>
        <w:rPr>
          <w:rFonts w:ascii="仿宋_GB2312" w:eastAsia="仿宋_GB2312" w:hint="eastAsia"/>
          <w:sz w:val="32"/>
          <w:szCs w:val="32"/>
          <w:highlight w:val="white"/>
        </w:rPr>
        <w:t>行政事业单位养老支出（款）</w:t>
      </w:r>
      <w:r>
        <w:rPr>
          <w:rFonts w:ascii="仿宋_GB2312" w:eastAsia="仿宋_GB2312"/>
          <w:sz w:val="32"/>
          <w:szCs w:val="32"/>
          <w:highlight w:val="white"/>
        </w:rPr>
        <w:t>05</w:t>
      </w:r>
      <w:r>
        <w:rPr>
          <w:rFonts w:ascii="仿宋_GB2312" w:eastAsia="仿宋_GB2312" w:hint="eastAsia"/>
          <w:sz w:val="32"/>
          <w:szCs w:val="32"/>
          <w:highlight w:val="white"/>
        </w:rPr>
        <w:t>机关事业单位基本养老保险缴费支出（项）预算数为0万元，决算数为10.07万元，增加10.07万元。决算数大于预算数的主要原因是</w:t>
      </w:r>
      <w:r>
        <w:rPr>
          <w:rFonts w:ascii="仿宋_GB2312" w:eastAsia="仿宋_GB2312"/>
          <w:sz w:val="32"/>
          <w:szCs w:val="32"/>
          <w:highlight w:val="white"/>
        </w:rPr>
        <w:t>：</w:t>
      </w:r>
      <w:r>
        <w:rPr>
          <w:rFonts w:ascii="仿宋_GB2312" w:eastAsia="仿宋_GB2312" w:hint="eastAsia"/>
          <w:sz w:val="32"/>
          <w:szCs w:val="32"/>
          <w:highlight w:val="white"/>
        </w:rPr>
        <w:t>调整预算增加10.07万元</w:t>
      </w:r>
      <w:r>
        <w:rPr>
          <w:rFonts w:ascii="仿宋_GB2312" w:eastAsia="仿宋_GB2312"/>
          <w:sz w:val="32"/>
          <w:szCs w:val="32"/>
          <w:highlight w:val="white"/>
        </w:rPr>
        <w:t>；</w:t>
      </w:r>
    </w:p>
    <w:p w:rsidR="007357F7" w:rsidRDefault="00C023AC" w:rsidP="00C13862">
      <w:pPr>
        <w:spacing w:line="560" w:lineRule="exact"/>
        <w:ind w:firstLineChars="200" w:firstLine="640"/>
        <w:rPr>
          <w:rFonts w:ascii="仿宋_GB2312" w:eastAsia="仿宋_GB2312"/>
          <w:sz w:val="32"/>
          <w:szCs w:val="32"/>
          <w:highlight w:val="white"/>
        </w:rPr>
      </w:pPr>
      <w:r>
        <w:rPr>
          <w:rFonts w:ascii="仿宋_GB2312" w:eastAsia="仿宋_GB2312"/>
          <w:sz w:val="32"/>
          <w:szCs w:val="32"/>
          <w:highlight w:val="white"/>
        </w:rPr>
        <w:t>9.210</w:t>
      </w:r>
      <w:r>
        <w:rPr>
          <w:rFonts w:ascii="仿宋_GB2312" w:eastAsia="仿宋_GB2312" w:hint="eastAsia"/>
          <w:sz w:val="32"/>
          <w:szCs w:val="32"/>
          <w:highlight w:val="white"/>
        </w:rPr>
        <w:t>卫生健康（类）</w:t>
      </w:r>
      <w:r>
        <w:rPr>
          <w:rFonts w:ascii="仿宋_GB2312" w:eastAsia="仿宋_GB2312"/>
          <w:sz w:val="32"/>
          <w:szCs w:val="32"/>
          <w:highlight w:val="white"/>
        </w:rPr>
        <w:t>11</w:t>
      </w:r>
      <w:r>
        <w:rPr>
          <w:rFonts w:ascii="仿宋_GB2312" w:eastAsia="仿宋_GB2312" w:hint="eastAsia"/>
          <w:sz w:val="32"/>
          <w:szCs w:val="32"/>
          <w:highlight w:val="white"/>
        </w:rPr>
        <w:t>行政事业单位医疗（款）</w:t>
      </w:r>
      <w:r>
        <w:rPr>
          <w:rFonts w:ascii="仿宋_GB2312" w:eastAsia="仿宋_GB2312"/>
          <w:sz w:val="32"/>
          <w:szCs w:val="32"/>
          <w:highlight w:val="white"/>
        </w:rPr>
        <w:t>02</w:t>
      </w:r>
      <w:r>
        <w:rPr>
          <w:rFonts w:ascii="仿宋_GB2312" w:eastAsia="仿宋_GB2312" w:hint="eastAsia"/>
          <w:sz w:val="32"/>
          <w:szCs w:val="32"/>
          <w:highlight w:val="white"/>
        </w:rPr>
        <w:t>事业单位医疗（项）预算数为0万元，决算数为8.18万元。决算数大于预算数的主要原因是</w:t>
      </w:r>
      <w:r>
        <w:rPr>
          <w:rFonts w:ascii="仿宋_GB2312" w:eastAsia="仿宋_GB2312"/>
          <w:sz w:val="32"/>
          <w:szCs w:val="32"/>
          <w:highlight w:val="white"/>
        </w:rPr>
        <w:t>：</w:t>
      </w:r>
      <w:r>
        <w:rPr>
          <w:rFonts w:ascii="仿宋_GB2312" w:eastAsia="仿宋_GB2312" w:hint="eastAsia"/>
          <w:sz w:val="32"/>
          <w:szCs w:val="32"/>
          <w:highlight w:val="white"/>
        </w:rPr>
        <w:t>调整预算增加8.18万元</w:t>
      </w:r>
      <w:r>
        <w:rPr>
          <w:rFonts w:ascii="仿宋_GB2312" w:eastAsia="仿宋_GB2312"/>
          <w:sz w:val="32"/>
          <w:szCs w:val="32"/>
          <w:highlight w:val="white"/>
        </w:rPr>
        <w:t>；</w:t>
      </w:r>
    </w:p>
    <w:p w:rsidR="007357F7" w:rsidRDefault="00C023AC" w:rsidP="00C13862">
      <w:pPr>
        <w:spacing w:line="560" w:lineRule="exact"/>
        <w:ind w:firstLineChars="200" w:firstLine="640"/>
        <w:rPr>
          <w:rFonts w:ascii="仿宋_GB2312" w:eastAsia="仿宋_GB2312"/>
          <w:sz w:val="32"/>
          <w:szCs w:val="32"/>
          <w:highlight w:val="white"/>
        </w:rPr>
      </w:pPr>
      <w:r>
        <w:rPr>
          <w:rFonts w:ascii="仿宋_GB2312" w:eastAsia="仿宋_GB2312"/>
          <w:sz w:val="32"/>
          <w:szCs w:val="32"/>
          <w:highlight w:val="white"/>
        </w:rPr>
        <w:t>10.221</w:t>
      </w:r>
      <w:r>
        <w:rPr>
          <w:rFonts w:ascii="仿宋_GB2312" w:eastAsia="仿宋_GB2312" w:hint="eastAsia"/>
          <w:sz w:val="32"/>
          <w:szCs w:val="32"/>
          <w:highlight w:val="white"/>
        </w:rPr>
        <w:t>住房保障支出（类）</w:t>
      </w:r>
      <w:r>
        <w:rPr>
          <w:rFonts w:ascii="仿宋_GB2312" w:eastAsia="仿宋_GB2312"/>
          <w:sz w:val="32"/>
          <w:szCs w:val="32"/>
          <w:highlight w:val="white"/>
        </w:rPr>
        <w:t>02</w:t>
      </w:r>
      <w:r>
        <w:rPr>
          <w:rFonts w:ascii="仿宋_GB2312" w:eastAsia="仿宋_GB2312" w:hint="eastAsia"/>
          <w:sz w:val="32"/>
          <w:szCs w:val="32"/>
          <w:highlight w:val="white"/>
        </w:rPr>
        <w:t>住房改革支出（款）</w:t>
      </w:r>
      <w:r>
        <w:rPr>
          <w:rFonts w:ascii="仿宋_GB2312" w:eastAsia="仿宋_GB2312"/>
          <w:sz w:val="32"/>
          <w:szCs w:val="32"/>
          <w:highlight w:val="white"/>
        </w:rPr>
        <w:t>01</w:t>
      </w:r>
      <w:r>
        <w:rPr>
          <w:rFonts w:ascii="仿宋_GB2312" w:eastAsia="仿宋_GB2312" w:hint="eastAsia"/>
          <w:sz w:val="32"/>
          <w:szCs w:val="32"/>
          <w:highlight w:val="white"/>
        </w:rPr>
        <w:t>住房公积金（项）年初预算数为0，决算数为7.55</w:t>
      </w:r>
      <w:r>
        <w:rPr>
          <w:rFonts w:ascii="仿宋_GB2312" w:eastAsia="仿宋_GB2312"/>
          <w:sz w:val="32"/>
          <w:szCs w:val="32"/>
          <w:highlight w:val="white"/>
        </w:rPr>
        <w:t>万元</w:t>
      </w:r>
      <w:bookmarkStart w:id="0" w:name="_GoBack"/>
      <w:bookmarkEnd w:id="0"/>
      <w:r>
        <w:rPr>
          <w:rFonts w:ascii="仿宋_GB2312" w:eastAsia="仿宋_GB2312"/>
          <w:sz w:val="32"/>
          <w:szCs w:val="32"/>
          <w:highlight w:val="white"/>
        </w:rPr>
        <w:t>，</w:t>
      </w:r>
      <w:r>
        <w:rPr>
          <w:rFonts w:ascii="仿宋_GB2312" w:eastAsia="仿宋_GB2312" w:hint="eastAsia"/>
          <w:sz w:val="32"/>
          <w:szCs w:val="32"/>
          <w:highlight w:val="white"/>
        </w:rPr>
        <w:t>决算数大于预算数的主要原因是</w:t>
      </w:r>
      <w:r>
        <w:rPr>
          <w:rFonts w:ascii="仿宋_GB2312" w:eastAsia="仿宋_GB2312"/>
          <w:sz w:val="32"/>
          <w:szCs w:val="32"/>
          <w:highlight w:val="white"/>
        </w:rPr>
        <w:t>：</w:t>
      </w:r>
      <w:r>
        <w:rPr>
          <w:rFonts w:ascii="仿宋_GB2312" w:eastAsia="仿宋_GB2312" w:hint="eastAsia"/>
          <w:sz w:val="32"/>
          <w:szCs w:val="32"/>
          <w:highlight w:val="white"/>
        </w:rPr>
        <w:t>调整预算增加7.55万元</w:t>
      </w:r>
      <w:r>
        <w:rPr>
          <w:rFonts w:ascii="仿宋_GB2312" w:eastAsia="仿宋_GB2312"/>
          <w:sz w:val="32"/>
          <w:szCs w:val="32"/>
          <w:highlight w:val="white"/>
        </w:rPr>
        <w:t>。</w:t>
      </w:r>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t>六、一般公共预算财政拨款基本支出决算情况说明</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2020年度一般公共预算财政拨款基本支出379.65万元，其中:人员经费240.27万元，占基本支出的63.29%，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139.38</w:t>
      </w:r>
      <w:r>
        <w:rPr>
          <w:rFonts w:ascii="仿宋_GB2312" w:eastAsia="仿宋_GB2312" w:hint="eastAsia"/>
          <w:sz w:val="32"/>
          <w:szCs w:val="32"/>
          <w:highlight w:val="white"/>
        </w:rPr>
        <w:lastRenderedPageBreak/>
        <w:t>万元，占基本支出的36.71%，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t>七、一般公共预算财政拨款“三公”经费支出决算情况说明</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（一）“三公”经费财政拨款支出决算总体情况说明。</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2020年度“三公”经费财政拨款支出预算为4.6</w:t>
      </w:r>
      <w:r>
        <w:rPr>
          <w:rFonts w:ascii="仿宋_GB2312" w:eastAsia="仿宋_GB2312"/>
          <w:sz w:val="32"/>
          <w:szCs w:val="32"/>
          <w:highlight w:val="white"/>
        </w:rPr>
        <w:t>0</w:t>
      </w:r>
      <w:r>
        <w:rPr>
          <w:rFonts w:ascii="仿宋_GB2312" w:eastAsia="仿宋_GB2312" w:hint="eastAsia"/>
          <w:sz w:val="32"/>
          <w:szCs w:val="32"/>
          <w:highlight w:val="white"/>
        </w:rPr>
        <w:t>万元，支出决算为0.04万元,完成预算的0.87%，</w:t>
      </w:r>
      <w:r>
        <w:rPr>
          <w:rFonts w:ascii="仿宋_GB2312" w:eastAsia="仿宋_GB2312"/>
          <w:sz w:val="32"/>
          <w:szCs w:val="32"/>
          <w:highlight w:val="white"/>
        </w:rPr>
        <w:t>与2019年</w:t>
      </w:r>
      <w:r>
        <w:rPr>
          <w:rFonts w:ascii="仿宋_GB2312" w:eastAsia="仿宋_GB2312" w:hint="eastAsia"/>
          <w:sz w:val="32"/>
          <w:szCs w:val="32"/>
          <w:highlight w:val="white"/>
        </w:rPr>
        <w:t>“三公”经费财政拨款支出</w:t>
      </w:r>
      <w:r>
        <w:rPr>
          <w:rFonts w:ascii="仿宋_GB2312" w:eastAsia="仿宋_GB2312"/>
          <w:sz w:val="32"/>
          <w:szCs w:val="32"/>
          <w:highlight w:val="white"/>
        </w:rPr>
        <w:t>（0.13万元）相比，减少0.09万元，下降69.23%，</w:t>
      </w:r>
      <w:r>
        <w:rPr>
          <w:rFonts w:ascii="仿宋_GB2312" w:eastAsia="仿宋_GB2312" w:hint="eastAsia"/>
          <w:sz w:val="32"/>
          <w:szCs w:val="32"/>
          <w:highlight w:val="white"/>
        </w:rPr>
        <w:t>其中：无因公出国（境）费支出预算与决算；无公务用车购置费及运行维护费支出预算与决算；公务接待费支出预算为0.</w:t>
      </w:r>
      <w:r>
        <w:rPr>
          <w:rFonts w:ascii="仿宋_GB2312" w:eastAsia="仿宋_GB2312"/>
          <w:sz w:val="32"/>
          <w:szCs w:val="32"/>
          <w:highlight w:val="white"/>
        </w:rPr>
        <w:t>6</w:t>
      </w:r>
      <w:r>
        <w:rPr>
          <w:rFonts w:ascii="仿宋_GB2312" w:eastAsia="仿宋_GB2312" w:hint="eastAsia"/>
          <w:sz w:val="32"/>
          <w:szCs w:val="32"/>
          <w:highlight w:val="white"/>
        </w:rPr>
        <w:t>万元，支出决算为0.</w:t>
      </w:r>
      <w:r>
        <w:rPr>
          <w:rFonts w:ascii="仿宋_GB2312" w:eastAsia="仿宋_GB2312"/>
          <w:sz w:val="32"/>
          <w:szCs w:val="32"/>
          <w:highlight w:val="white"/>
        </w:rPr>
        <w:t>04</w:t>
      </w:r>
      <w:r>
        <w:rPr>
          <w:rFonts w:ascii="仿宋_GB2312" w:eastAsia="仿宋_GB2312" w:hint="eastAsia"/>
          <w:sz w:val="32"/>
          <w:szCs w:val="32"/>
          <w:highlight w:val="white"/>
        </w:rPr>
        <w:t>万元,完成预算的6.67%；公务用车运行维护费支出预算4</w:t>
      </w:r>
      <w:r>
        <w:rPr>
          <w:rFonts w:ascii="仿宋_GB2312" w:eastAsia="仿宋_GB2312"/>
          <w:sz w:val="32"/>
          <w:szCs w:val="32"/>
          <w:highlight w:val="white"/>
        </w:rPr>
        <w:t>.00</w:t>
      </w:r>
      <w:r>
        <w:rPr>
          <w:rFonts w:ascii="仿宋_GB2312" w:eastAsia="仿宋_GB2312" w:hint="eastAsia"/>
          <w:sz w:val="32"/>
          <w:szCs w:val="32"/>
          <w:highlight w:val="white"/>
        </w:rPr>
        <w:t>万元，支出决算为0万元。主要原因：一是公务车辆已上交，没有公务用车运行维护费支出。二是本部门认真贯彻落实中央“八项规定”精神和厉行节约要求，从严控制“三公”经费开支。</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（二）“三公”经费财政拨款支出决算具体情况说明。</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lastRenderedPageBreak/>
        <w:t>2020年度“三公”经费财政拨款支出决算中，因公出国（境）费支出决算0万元，公务用车购置费及运行维护费支出决算0万元，公务接待费支出决算0.04万元，占100%。其中：公务接待费支出决算为0.04万元，其中：其他国内公务接待支出0.04万元。主要用于与有关单位交流工作情况及接受相关部门检查指导工作发生的接待支出。益阳市赫山区全民健身服务中心2020年共接待国内公务接待批次1次、接待人次6人次（不包括陪同人员）。</w:t>
      </w:r>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t>八、政府性基金预算收入支出决算情况说明</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2020年政府性基金本年收入55</w:t>
      </w:r>
      <w:r>
        <w:rPr>
          <w:rFonts w:ascii="仿宋_GB2312" w:eastAsia="仿宋_GB2312"/>
          <w:sz w:val="32"/>
          <w:szCs w:val="32"/>
          <w:highlight w:val="white"/>
        </w:rPr>
        <w:t>.00</w:t>
      </w:r>
      <w:r>
        <w:rPr>
          <w:rFonts w:ascii="仿宋_GB2312" w:eastAsia="仿宋_GB2312" w:hint="eastAsia"/>
          <w:sz w:val="32"/>
          <w:szCs w:val="32"/>
          <w:highlight w:val="white"/>
        </w:rPr>
        <w:t>万元,占本年收入合计的11.16%，与2019年（108.00万元）相比，减少53.00万元，下降</w:t>
      </w:r>
      <w:r>
        <w:rPr>
          <w:rFonts w:ascii="仿宋_GB2312" w:eastAsia="仿宋_GB2312"/>
          <w:sz w:val="32"/>
          <w:szCs w:val="32"/>
          <w:highlight w:val="white"/>
        </w:rPr>
        <w:t>49</w:t>
      </w:r>
      <w:r>
        <w:rPr>
          <w:rFonts w:ascii="仿宋_GB2312" w:eastAsia="仿宋_GB2312" w:hint="eastAsia"/>
          <w:sz w:val="32"/>
          <w:szCs w:val="32"/>
          <w:highlight w:val="white"/>
        </w:rPr>
        <w:t>.07%。本年支出55</w:t>
      </w:r>
      <w:r>
        <w:rPr>
          <w:rFonts w:ascii="仿宋_GB2312" w:eastAsia="仿宋_GB2312"/>
          <w:sz w:val="32"/>
          <w:szCs w:val="32"/>
          <w:highlight w:val="white"/>
        </w:rPr>
        <w:t>.00</w:t>
      </w:r>
      <w:r>
        <w:rPr>
          <w:rFonts w:ascii="仿宋_GB2312" w:eastAsia="仿宋_GB2312" w:hint="eastAsia"/>
          <w:sz w:val="32"/>
          <w:szCs w:val="32"/>
          <w:highlight w:val="white"/>
        </w:rPr>
        <w:t>万元,占本年支出合计的10.72%，比上年减少49.07%。</w:t>
      </w:r>
      <w:r>
        <w:rPr>
          <w:rFonts w:ascii="仿宋_GB2312" w:eastAsia="仿宋_GB2312"/>
          <w:sz w:val="32"/>
          <w:szCs w:val="32"/>
          <w:highlight w:val="white"/>
        </w:rPr>
        <w:t>其中：</w:t>
      </w:r>
      <w:r>
        <w:rPr>
          <w:rFonts w:ascii="仿宋_GB2312" w:eastAsia="仿宋_GB2312" w:hint="eastAsia"/>
          <w:sz w:val="32"/>
          <w:szCs w:val="32"/>
          <w:highlight w:val="white"/>
        </w:rPr>
        <w:t>项目支出55</w:t>
      </w:r>
      <w:r>
        <w:rPr>
          <w:rFonts w:ascii="仿宋_GB2312" w:eastAsia="仿宋_GB2312"/>
          <w:sz w:val="32"/>
          <w:szCs w:val="32"/>
          <w:highlight w:val="white"/>
        </w:rPr>
        <w:t>.00</w:t>
      </w:r>
      <w:r>
        <w:rPr>
          <w:rFonts w:ascii="仿宋_GB2312" w:eastAsia="仿宋_GB2312" w:hint="eastAsia"/>
          <w:sz w:val="32"/>
          <w:szCs w:val="32"/>
          <w:highlight w:val="white"/>
        </w:rPr>
        <w:t>万元,比上年减少49.07%。</w:t>
      </w:r>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t>九、国有资本经营预算财政拨款支出决算情况</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2020年本部门无国有资本经营预算财政拨款支出。</w:t>
      </w:r>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t>十、关于机关运行经费支出说明</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本部门2020年度机关运行经费支出为139.38万元，比年初预算（5.61万元）增加133.77万元，增长2384.49%。主要原因：一是自收自支人员的公用经费没有纳入财政拨款预算；二是增加了维修维护、劳务及其他商品服务等支出。</w:t>
      </w:r>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t>十一、一般性支出情况</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lastRenderedPageBreak/>
        <w:t>2020年本部门无会议费开支和培训费开支。</w:t>
      </w:r>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t>十二、关于政府采购支出说明</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本年度无政府采购支出。</w:t>
      </w:r>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t>十三、关于国有资产占有情况说明</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本单位年末无车辆</w:t>
      </w:r>
      <w:r>
        <w:rPr>
          <w:rFonts w:ascii="仿宋_GB2312" w:eastAsia="仿宋_GB2312"/>
          <w:sz w:val="32"/>
          <w:szCs w:val="32"/>
          <w:highlight w:val="white"/>
        </w:rPr>
        <w:t>；</w:t>
      </w:r>
      <w:r>
        <w:rPr>
          <w:rFonts w:ascii="仿宋_GB2312" w:eastAsia="仿宋_GB2312" w:hint="eastAsia"/>
          <w:sz w:val="32"/>
          <w:szCs w:val="32"/>
          <w:highlight w:val="white"/>
        </w:rPr>
        <w:t>年末无单价50万元以上通用设备</w:t>
      </w:r>
      <w:r>
        <w:rPr>
          <w:rFonts w:ascii="仿宋_GB2312" w:eastAsia="仿宋_GB2312"/>
          <w:sz w:val="32"/>
          <w:szCs w:val="32"/>
          <w:highlight w:val="white"/>
        </w:rPr>
        <w:t>；</w:t>
      </w:r>
      <w:r>
        <w:rPr>
          <w:rFonts w:ascii="仿宋_GB2312" w:eastAsia="仿宋_GB2312" w:hint="eastAsia"/>
          <w:sz w:val="32"/>
          <w:szCs w:val="32"/>
          <w:highlight w:val="white"/>
        </w:rPr>
        <w:t>年末无单价100万元以上专设备。</w:t>
      </w:r>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t>十四、关于2020年度预算绩效情况的说明</w:t>
      </w:r>
    </w:p>
    <w:p w:rsidR="007357F7" w:rsidRDefault="00C023AC">
      <w:pPr>
        <w:spacing w:line="560" w:lineRule="exact"/>
        <w:ind w:firstLineChars="200" w:firstLine="640"/>
        <w:rPr>
          <w:rFonts w:ascii="仿宋_GB2312" w:eastAsia="仿宋_GB2312"/>
          <w:sz w:val="32"/>
          <w:szCs w:val="32"/>
        </w:rPr>
      </w:pPr>
      <w:r>
        <w:rPr>
          <w:rFonts w:ascii="仿宋_GB2312" w:eastAsia="仿宋_GB2312" w:hint="eastAsia"/>
          <w:sz w:val="32"/>
          <w:szCs w:val="32"/>
        </w:rPr>
        <w:t>根据预算绩效管理要求，我单位组织对2020年度部门整体支出实施了全覆盖性的绩效评价，撰写了整体支出绩效评价报告。涉及项目0个，涉及一般公共预算当年财政拨款492.7</w:t>
      </w:r>
      <w:r>
        <w:rPr>
          <w:rFonts w:ascii="仿宋_GB2312" w:eastAsia="仿宋_GB2312"/>
          <w:sz w:val="32"/>
          <w:szCs w:val="32"/>
        </w:rPr>
        <w:t>0</w:t>
      </w:r>
      <w:r>
        <w:rPr>
          <w:rFonts w:ascii="仿宋_GB2312" w:eastAsia="仿宋_GB2312" w:hint="eastAsia"/>
          <w:sz w:val="32"/>
          <w:szCs w:val="32"/>
        </w:rPr>
        <w:t>万元，自评覆盖率达到100%。绩效自评结果显示，上述整体支出绩效情况较为理想，均达到了申请时设定的各项绩效目标。</w:t>
      </w:r>
    </w:p>
    <w:p w:rsidR="007357F7" w:rsidRDefault="007357F7">
      <w:pPr>
        <w:spacing w:line="560" w:lineRule="exact"/>
        <w:ind w:firstLineChars="200" w:firstLine="640"/>
        <w:rPr>
          <w:rFonts w:ascii="仿宋_GB2312" w:eastAsia="仿宋_GB2312"/>
          <w:sz w:val="32"/>
          <w:szCs w:val="32"/>
        </w:rPr>
      </w:pPr>
    </w:p>
    <w:p w:rsidR="007357F7" w:rsidRDefault="007357F7">
      <w:pPr>
        <w:spacing w:line="560" w:lineRule="exact"/>
        <w:ind w:firstLineChars="200" w:firstLine="640"/>
        <w:rPr>
          <w:rFonts w:ascii="仿宋_GB2312" w:eastAsia="仿宋_GB2312"/>
          <w:sz w:val="32"/>
          <w:szCs w:val="32"/>
        </w:rPr>
      </w:pPr>
    </w:p>
    <w:p w:rsidR="007357F7" w:rsidRDefault="00C023AC">
      <w:pPr>
        <w:spacing w:line="560" w:lineRule="exact"/>
        <w:rPr>
          <w:rFonts w:ascii="黑体" w:eastAsia="黑体"/>
          <w:sz w:val="32"/>
          <w:szCs w:val="32"/>
        </w:rPr>
      </w:pPr>
      <w:r>
        <w:rPr>
          <w:rFonts w:ascii="黑体" w:eastAsia="黑体" w:hint="eastAsia"/>
          <w:sz w:val="32"/>
          <w:szCs w:val="32"/>
        </w:rPr>
        <w:t>第四部分</w:t>
      </w:r>
    </w:p>
    <w:p w:rsidR="007357F7" w:rsidRDefault="00C023AC">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名词解释</w:t>
      </w:r>
    </w:p>
    <w:p w:rsidR="007357F7" w:rsidRDefault="007357F7">
      <w:pPr>
        <w:spacing w:line="560" w:lineRule="exact"/>
        <w:ind w:firstLineChars="200" w:firstLine="640"/>
        <w:rPr>
          <w:rFonts w:ascii="仿宋_GB2312" w:eastAsia="仿宋_GB2312"/>
          <w:sz w:val="32"/>
          <w:szCs w:val="32"/>
          <w:highlight w:val="white"/>
        </w:rPr>
      </w:pP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（一）本年收入：是指本年度取得的全部收入。</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（二）财政拨款收入：指本级财政当年拨付的资金。</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（三）政府性基金预算财政拨款收入：指本级财政当年拨付的政府性基金预算资金。</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lastRenderedPageBreak/>
        <w:t xml:space="preserve">（四）其他收入：指除上述“财政拨款收入”、“上级补助收入”、“事业收入”、“经营收入”、“附属单位上缴收入”等以外的收入。 </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（五）文化体育与传媒支出（类）：是指用于文化、文物、体育、新闻出版广播影视等方面的支出，包括保障机构正常运转、完成日常和特定的工作任务或事业发展目标的支出。</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（六）住房保障支出（类）：是指用于住房方面的支出，包括住房公积金单位部分支出的支出。</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七）其他支出（类）：是指用于反映除上述项目以外其他不能划分到具体功能科目中的支出项目，包括保障机构正常运转、完成日常和特定的工作任务或事业发展目标的支出。基本支出：指保障机构正常运转、完成支日常工作任务而发生的人员支出和公用支出。</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八）“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（九）工资福利支出：反映单位开支的在职职工和编制外长期聘用人员的各类劳动报酬，以及为上述人员缴纳的各项社会保险费等。</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lastRenderedPageBreak/>
        <w:t>（十）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（十一）机关事业单位基本养老保险缴费：反映机关事业单位缴纳的基本养老保险费。由单位代扣的工作人员基本养老保险缴费，不在此科目反映。</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（十二）职工基本医疗保险缴费：反映单位为职工缴纳的基本医疗保险费。</w:t>
      </w:r>
    </w:p>
    <w:p w:rsidR="007357F7" w:rsidRDefault="00C023AC">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（十三）其他社会保障缴费：反映单位为职工缴纳的基本医疗、失业、工伤、生育等社会保险费，残疾人就业保障金，军队（含武警）为军人缴纳的伤亡、退役医疗等社会保险费。</w:t>
      </w:r>
    </w:p>
    <w:p w:rsidR="007357F7" w:rsidRDefault="007357F7">
      <w:pPr>
        <w:spacing w:line="560" w:lineRule="exact"/>
        <w:rPr>
          <w:rFonts w:ascii="仿宋_GB2312" w:eastAsia="仿宋_GB2312"/>
          <w:sz w:val="32"/>
          <w:szCs w:val="32"/>
          <w:highlight w:val="white"/>
        </w:rPr>
      </w:pPr>
    </w:p>
    <w:p w:rsidR="007357F7" w:rsidRDefault="007357F7">
      <w:pPr>
        <w:spacing w:line="560" w:lineRule="exact"/>
        <w:rPr>
          <w:rFonts w:ascii="仿宋_GB2312" w:eastAsia="仿宋_GB2312"/>
          <w:sz w:val="32"/>
          <w:szCs w:val="32"/>
          <w:highlight w:val="white"/>
        </w:rPr>
      </w:pPr>
    </w:p>
    <w:p w:rsidR="007357F7" w:rsidRDefault="007357F7">
      <w:pPr>
        <w:spacing w:line="560" w:lineRule="exact"/>
        <w:rPr>
          <w:rFonts w:ascii="仿宋_GB2312" w:eastAsia="仿宋_GB2312"/>
          <w:sz w:val="32"/>
          <w:szCs w:val="32"/>
          <w:highlight w:val="white"/>
        </w:rPr>
      </w:pPr>
    </w:p>
    <w:p w:rsidR="007357F7" w:rsidRDefault="00C023AC">
      <w:pPr>
        <w:spacing w:line="540" w:lineRule="exact"/>
        <w:rPr>
          <w:rFonts w:ascii="方正小标宋简体" w:eastAsia="方正小标宋简体"/>
          <w:sz w:val="44"/>
          <w:szCs w:val="44"/>
          <w:highlight w:val="white"/>
        </w:rPr>
      </w:pPr>
      <w:r>
        <w:rPr>
          <w:rFonts w:ascii="黑体" w:eastAsia="黑体" w:hint="eastAsia"/>
          <w:sz w:val="32"/>
          <w:szCs w:val="32"/>
          <w:highlight w:val="white"/>
        </w:rPr>
        <w:t>第五部分  附  件</w:t>
      </w:r>
    </w:p>
    <w:p w:rsidR="007357F7" w:rsidRDefault="007357F7">
      <w:pPr>
        <w:spacing w:line="540" w:lineRule="exact"/>
        <w:ind w:firstLineChars="200" w:firstLine="640"/>
        <w:rPr>
          <w:rFonts w:ascii="仿宋_GB2312" w:eastAsia="仿宋_GB2312"/>
          <w:sz w:val="32"/>
          <w:szCs w:val="32"/>
        </w:rPr>
      </w:pPr>
    </w:p>
    <w:p w:rsidR="007357F7" w:rsidRDefault="00C023AC">
      <w:pPr>
        <w:spacing w:line="540" w:lineRule="exact"/>
        <w:jc w:val="center"/>
        <w:rPr>
          <w:rFonts w:ascii="方正小标宋简体" w:eastAsia="方正小标宋简体"/>
          <w:sz w:val="44"/>
          <w:szCs w:val="44"/>
        </w:rPr>
      </w:pPr>
      <w:r>
        <w:rPr>
          <w:rFonts w:ascii="方正小标宋简体" w:eastAsia="方正小标宋简体" w:hint="eastAsia"/>
          <w:sz w:val="44"/>
          <w:szCs w:val="44"/>
        </w:rPr>
        <w:t>2020年益阳市赫山区全民健身服务中心</w:t>
      </w:r>
    </w:p>
    <w:p w:rsidR="007357F7" w:rsidRDefault="00C023AC">
      <w:pPr>
        <w:spacing w:line="540" w:lineRule="exact"/>
        <w:jc w:val="center"/>
        <w:rPr>
          <w:rFonts w:ascii="方正小标宋简体" w:eastAsia="方正小标宋简体"/>
          <w:sz w:val="44"/>
          <w:szCs w:val="44"/>
        </w:rPr>
      </w:pPr>
      <w:r>
        <w:rPr>
          <w:rFonts w:ascii="方正小标宋简体" w:eastAsia="方正小标宋简体" w:hint="eastAsia"/>
          <w:sz w:val="44"/>
          <w:szCs w:val="44"/>
        </w:rPr>
        <w:t>部门整体支出绩效评价报告</w:t>
      </w:r>
    </w:p>
    <w:p w:rsidR="007357F7" w:rsidRDefault="007357F7">
      <w:pPr>
        <w:spacing w:line="540" w:lineRule="exact"/>
        <w:ind w:firstLineChars="200" w:firstLine="640"/>
        <w:rPr>
          <w:rFonts w:ascii="仿宋_GB2312" w:eastAsia="仿宋_GB2312"/>
          <w:sz w:val="32"/>
          <w:szCs w:val="32"/>
        </w:rPr>
      </w:pPr>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t>一、基本情况</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（一）部门职能概述</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益阳市赫山区全民健身服务中心主要职责是：负责指导全民健身运动项目的开展、普及和提高；负责培训、推广和开发体育健身项目；负责协调组织社会体育赛事及交流活动；配合做好重大社会体育活动的组织实施工作；组织各类体育培训班、学术讲座、专业技术报告会，开展科研活动，发挥咨询作用；做好青少年体育培训、指导、教研等工作；协助做好体育项目裁判员、教练员及运动员的培训、使用工作。</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（二）部门机构及人员情况</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益阳市赫山区全民健身服务中心为副科级事业单位，2020年全额拨款在职人员8人，自收自支在职人员15人。退休人员10人，其中：财政拨款退休4人，自收自支退休6人。</w:t>
      </w:r>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t>二、一般公共预算支出情况</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（一）基本支出情况</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2020年总收入492.7</w:t>
      </w:r>
      <w:r>
        <w:rPr>
          <w:rFonts w:ascii="仿宋_GB2312" w:eastAsia="仿宋_GB2312"/>
          <w:sz w:val="32"/>
          <w:szCs w:val="32"/>
        </w:rPr>
        <w:t>0</w:t>
      </w:r>
      <w:r>
        <w:rPr>
          <w:rFonts w:ascii="仿宋_GB2312" w:eastAsia="仿宋_GB2312" w:hint="eastAsia"/>
          <w:sz w:val="32"/>
          <w:szCs w:val="32"/>
        </w:rPr>
        <w:t>万元 其中：财政拨款预算收入423.15万元，其他收入69.55万元。支出512.99万元 。其中：基本支出379.65万元，项目支出133.33万元。</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2020年收入决算492.7</w:t>
      </w:r>
      <w:r>
        <w:rPr>
          <w:rFonts w:ascii="仿宋_GB2312" w:eastAsia="仿宋_GB2312"/>
          <w:sz w:val="32"/>
          <w:szCs w:val="32"/>
        </w:rPr>
        <w:t>0</w:t>
      </w:r>
      <w:r>
        <w:rPr>
          <w:rFonts w:ascii="仿宋_GB2312" w:eastAsia="仿宋_GB2312" w:hint="eastAsia"/>
          <w:sz w:val="32"/>
          <w:szCs w:val="32"/>
        </w:rPr>
        <w:t>万元，其中：财政拨款收入423.15万元、其他收入69.55万元。</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2020年支出决算为512.99万元，其中：行政运行支出205.84万元，体育场馆支出64</w:t>
      </w:r>
      <w:r>
        <w:rPr>
          <w:rFonts w:ascii="仿宋_GB2312" w:eastAsia="仿宋_GB2312"/>
          <w:sz w:val="32"/>
          <w:szCs w:val="32"/>
        </w:rPr>
        <w:t>.00</w:t>
      </w:r>
      <w:r>
        <w:rPr>
          <w:rFonts w:ascii="仿宋_GB2312" w:eastAsia="仿宋_GB2312" w:hint="eastAsia"/>
          <w:sz w:val="32"/>
          <w:szCs w:val="32"/>
        </w:rPr>
        <w:t>万元，其他文化旅游体育与传媒支出162.33万元，社会保障和就业支出10.07万元，卫生健康支出8.18万元，住房保障支出7.55万元，其它支出55</w:t>
      </w:r>
      <w:r>
        <w:rPr>
          <w:rFonts w:ascii="仿宋_GB2312" w:eastAsia="仿宋_GB2312"/>
          <w:sz w:val="32"/>
          <w:szCs w:val="32"/>
        </w:rPr>
        <w:t>.00</w:t>
      </w:r>
      <w:r>
        <w:rPr>
          <w:rFonts w:ascii="仿宋_GB2312" w:eastAsia="仿宋_GB2312" w:hint="eastAsia"/>
          <w:sz w:val="32"/>
          <w:szCs w:val="32"/>
        </w:rPr>
        <w:t>万元。</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2020年“三公经费”支出 0.0</w:t>
      </w:r>
      <w:r>
        <w:rPr>
          <w:rFonts w:ascii="仿宋_GB2312" w:eastAsia="仿宋_GB2312"/>
          <w:sz w:val="32"/>
          <w:szCs w:val="32"/>
        </w:rPr>
        <w:t>4</w:t>
      </w:r>
      <w:r>
        <w:rPr>
          <w:rFonts w:ascii="仿宋_GB2312" w:eastAsia="仿宋_GB2312" w:hint="eastAsia"/>
          <w:sz w:val="32"/>
          <w:szCs w:val="32"/>
        </w:rPr>
        <w:t>万元,其中公务接待费0.0</w:t>
      </w:r>
      <w:r>
        <w:rPr>
          <w:rFonts w:ascii="仿宋_GB2312" w:eastAsia="仿宋_GB2312"/>
          <w:sz w:val="32"/>
          <w:szCs w:val="32"/>
        </w:rPr>
        <w:t>4</w:t>
      </w:r>
      <w:r>
        <w:rPr>
          <w:rFonts w:ascii="仿宋_GB2312" w:eastAsia="仿宋_GB2312" w:hint="eastAsia"/>
          <w:sz w:val="32"/>
          <w:szCs w:val="32"/>
        </w:rPr>
        <w:t>万元。</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（二）部门整体支出绩效目标执行情况</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1.明确了2020年重点工作</w:t>
      </w:r>
      <w:r>
        <w:rPr>
          <w:rFonts w:ascii="仿宋_GB2312" w:eastAsia="仿宋_GB2312"/>
          <w:sz w:val="32"/>
          <w:szCs w:val="32"/>
        </w:rPr>
        <w:t>。</w:t>
      </w:r>
      <w:r>
        <w:rPr>
          <w:rFonts w:ascii="仿宋_GB2312" w:eastAsia="仿宋_GB2312" w:hint="eastAsia"/>
          <w:sz w:val="32"/>
          <w:szCs w:val="32"/>
        </w:rPr>
        <w:t>2020年，区全民健身服务中心认真贯彻落实《全民健身条例》和《赫山区全民健身实施计划（2016-2020年）》，围绕创建全民运动健身模范市目标，科学制定年度工作任务:一是构建全民健身公共服务体系，发挥体育社会组织正能量。二是着力完善基础设施，提升公共体育设施服务能力和水平。三是健全全民健身组织网络，提升健身服务能力和水平。四是广泛开展全民健身活动，助推群众体育事业蓬勃发展。五是举办赫山区第十九届大众运动会。六是组队参加省市级全民健身竞赛活动。七是做好体育馆免费低收费开放工作。</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2.预决算情况已在网上公开。按照区财政局的要求，我中心2020年的预决算情况在政府网站上按要求进行了公示。</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3.内部管理制度日臻完善。为进一步加强内部管理，我中心先后完善了《机关财务管理制度》、《公务接待制度》、《固定资产管理制度》等多项规章制度，尤其是对固定资产管理、购入、保管、归档、销审等都作出了严格规定，明确了具体责任人员，确保单位国有资产不流失，补齐了国有资产管理上和短板。</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“三公经费”严格控制。坚决贯彻落实国家八项规定、省委九条规定和市委十项规定要求，厉行节约、反对浪费，严格费用审批程序，做到事前、事中、事后全程监督，取得了较好的效果 。</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（三）部门整体支出情况分析</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从整体情况来看，我单位严格按照年初预算进行部门整体支出。在支出过程中，能严格遵守各项规章制度，“三公经费”明显下降，部门绩效运行良好。为了充分发挥财政资金的作用，我们通过采取组队参加省市级全民健身竞赛活动、组织举办区大众运动会、协助各单位开展全民健身活动、培训社会体育指导员、加大体育馆免费低收费开放工作力度、配置运动健身器材等措施，极大地调动了全区群众参与运动健身的积极性，健身氛围日益浓厚。从经济效益上来看，随着全民健身活动的广泛开展，健身人群日益增加，运动服装、体育用品的购买力明显提升，各类健身培训机构明显增加，推动了全区体育产业发展。从社会效益上看，提高了人民群众的身体素质，提升了广大群众的健身意识，促进了社会和谐。</w:t>
      </w:r>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t>三、绩效评价工作情况</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（一）绩效评价目的</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此次绩效评价的目的是：严格落实《预算法》及绩效管理工作的有关规定，进一步规范财政资金的管理，强化财政支出绩效理念，提升部门责任意识，提高资金使用效益，促进体育事业的发展。</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（二）绩效评价的主要过程</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根据绩效评价的要求，我们成立了自评工作领导小组，对照自评方案进行研究和布署，班子成员及中层骨干全程参与，按照自评方案的要求，对2020年整体支出进行了全面的梳理检查和</w:t>
      </w:r>
      <w:r>
        <w:rPr>
          <w:rFonts w:ascii="仿宋_GB2312" w:eastAsia="仿宋_GB2312" w:hint="eastAsia"/>
          <w:sz w:val="32"/>
          <w:szCs w:val="32"/>
        </w:rPr>
        <w:lastRenderedPageBreak/>
        <w:t>自我评价。对自评过程中发现的问题，及时查找原因，纠正偏差，为下一步工作夯实基础。</w:t>
      </w:r>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t>四、主要绩效及评价结论</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（一）主要绩效</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1.加强体育场地设施建设</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2020年，我中心积极推进公共体育场地设施建设，加快城市社区15分钟健身圈的建设，满足群众健身需求。全年争取项目资金380万元，完成了12片社会足球场建设。</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2.组队参加省、市级全民健身竞赛活动</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今年，我中心组队参加了市第二十届大众运动会的广场舞、羽毛球、乒乓球、社区男子篮球等六个项目的比赛，广场舞分获二、三等奖，羽毛球获团体二等奖，社区篮球分获第二、五名。协助区总工会和区团委组队参加了市总工会主办的第一届职工羽毛球比赛（获团体冠军）和市团委组织的气排球比赛。组织健身爱好者参加了“全民健身挑战日”和“健康跑”大型市级健身活动。组队参加了“2020年湖南省技能大赛（第七届）湖南省体育行业职业技能竞赛社会体育指导员（跆拳道项目）”的比赛，获一个个人三等奖和团体三等奖。</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3.组织举办本级全民健身系列活动</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6月11日，随着钓鱼比赛的举行拉开了《赫山区2020年全民健身系列活动暨第十九届大众运动会》序幕。本届大众运动会设比赛项目10个，从6月11日开始，到11月22日结束，历时</w:t>
      </w:r>
      <w:r>
        <w:rPr>
          <w:rFonts w:ascii="仿宋_GB2312" w:eastAsia="仿宋_GB2312" w:hint="eastAsia"/>
          <w:sz w:val="32"/>
          <w:szCs w:val="32"/>
        </w:rPr>
        <w:lastRenderedPageBreak/>
        <w:t>6个月完成了全部比赛项目。全区60个单位参加，参与总人数约5000人次。</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4.大力发展社会体育指导员</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7月8日，在赫山体育馆举行为期两天的工间操、排舞三级社会体育指导员培训，来自全区各区直机关及乡镇、街道共35个单位108名学员参加了本次培训并全部通过了考核。</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5.青少年竞技体育水平稳步提升</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业余体校持续深化与教育、体育培训机构合作，大力培育体育后备人才。今年，我们组队参加了“2020年湖南省青少年体育锦标赛”的女子篮球、男子足球、田径和拳击四个项目的比赛。女子篮球获第二名，男子足球获第五名，田径比赛获男银牌2枚，拳击比赛获金牌2枚、银牌1枚。参加2020年湖南省青少年校园足球联赛初中总决赛获男子甲组一等奖。参加市中小学生运动会足球比赛，高中男子组分获第一、第二名。为促进我区青少年竞技体育发展，2020年我们承办了湖南省青少年柔道赛和益阳市“世龙杯”跆拳道精英挑战赛。</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总体上，区全民健身服务中心2020年部门整体支出能够严格按预算执行，绩效目标完成情况整体良好。</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（二）评价结论</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根据《部门整体支出绩效自评指标计分表》，本着实事求事的原则，我们对2020年健身服务中心整体支出进行了客观的评价，自评分为：95分。</w:t>
      </w:r>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t>五、存在的主要问题</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因部分工作是根据上级相关要求和年中工作需要开展，工作经费难到位，很难纳入预算，但工作要开展，经费要使用，导致预算执行可能存在偏差。</w:t>
      </w:r>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t>六、有关建议</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科学合理编制预算，严格执行预算,避免无预算、超预算。进一步完善、明确和细化各项费用支出管理制度，严格控制招待费和各项费用支出。加强固定资产的管理，对固定资产进行定期清查盘点，建卡立档。</w:t>
      </w:r>
      <w:bookmarkStart w:id="1" w:name="YS060101"/>
      <w:bookmarkEnd w:id="1"/>
    </w:p>
    <w:p w:rsidR="007357F7" w:rsidRDefault="00C023AC">
      <w:pPr>
        <w:spacing w:line="560" w:lineRule="exact"/>
        <w:ind w:firstLineChars="200" w:firstLine="640"/>
        <w:rPr>
          <w:rFonts w:ascii="黑体" w:eastAsia="黑体"/>
          <w:sz w:val="32"/>
          <w:szCs w:val="32"/>
          <w:highlight w:val="white"/>
        </w:rPr>
      </w:pPr>
      <w:r>
        <w:rPr>
          <w:rFonts w:ascii="黑体" w:eastAsia="黑体" w:hint="eastAsia"/>
          <w:sz w:val="32"/>
          <w:szCs w:val="32"/>
          <w:highlight w:val="white"/>
        </w:rPr>
        <w:t>七、其它需要说明的事项</w:t>
      </w:r>
    </w:p>
    <w:p w:rsidR="007357F7" w:rsidRDefault="00C023AC">
      <w:pPr>
        <w:spacing w:line="540" w:lineRule="exact"/>
        <w:ind w:firstLineChars="200" w:firstLine="640"/>
        <w:rPr>
          <w:rFonts w:ascii="仿宋_GB2312" w:eastAsia="仿宋_GB2312"/>
          <w:sz w:val="32"/>
          <w:szCs w:val="32"/>
        </w:rPr>
      </w:pPr>
      <w:r>
        <w:rPr>
          <w:rFonts w:ascii="仿宋_GB2312" w:eastAsia="仿宋_GB2312" w:hint="eastAsia"/>
          <w:sz w:val="32"/>
          <w:szCs w:val="32"/>
        </w:rPr>
        <w:t>无。</w:t>
      </w:r>
    </w:p>
    <w:p w:rsidR="007357F7" w:rsidRDefault="00C023AC">
      <w:pPr>
        <w:spacing w:line="540" w:lineRule="exact"/>
        <w:rPr>
          <w:rFonts w:ascii="仿宋_GB2312" w:eastAsia="仿宋_GB2312"/>
          <w:sz w:val="32"/>
          <w:szCs w:val="32"/>
        </w:rPr>
      </w:pPr>
      <w:r>
        <w:rPr>
          <w:rFonts w:ascii="仿宋_GB2312" w:eastAsia="仿宋_GB2312" w:hint="eastAsia"/>
          <w:sz w:val="32"/>
          <w:szCs w:val="32"/>
        </w:rPr>
        <w:t xml:space="preserve"> </w:t>
      </w:r>
    </w:p>
    <w:p w:rsidR="007357F7" w:rsidRDefault="007357F7">
      <w:pPr>
        <w:spacing w:line="480" w:lineRule="exact"/>
        <w:rPr>
          <w:rFonts w:ascii="仿宋_GB2312" w:eastAsia="仿宋_GB2312"/>
          <w:sz w:val="32"/>
          <w:szCs w:val="32"/>
        </w:rPr>
      </w:pPr>
    </w:p>
    <w:p w:rsidR="00FF3A75" w:rsidRDefault="00FF3A75">
      <w:pPr>
        <w:spacing w:line="480" w:lineRule="exact"/>
        <w:rPr>
          <w:rFonts w:ascii="仿宋_GB2312" w:eastAsia="仿宋_GB2312"/>
          <w:sz w:val="32"/>
          <w:szCs w:val="32"/>
        </w:rPr>
      </w:pPr>
    </w:p>
    <w:p w:rsidR="001B1E52" w:rsidRPr="00910269" w:rsidRDefault="001B1E52" w:rsidP="001B1E52">
      <w:pPr>
        <w:spacing w:line="540" w:lineRule="exact"/>
        <w:ind w:firstLineChars="1200" w:firstLine="3840"/>
        <w:rPr>
          <w:rFonts w:ascii="仿宋_GB2312" w:eastAsia="仿宋_GB2312"/>
          <w:sz w:val="32"/>
          <w:szCs w:val="32"/>
        </w:rPr>
      </w:pPr>
      <w:r w:rsidRPr="00910269">
        <w:rPr>
          <w:rFonts w:ascii="仿宋_GB2312" w:eastAsia="仿宋_GB2312" w:hint="eastAsia"/>
          <w:sz w:val="32"/>
          <w:szCs w:val="32"/>
        </w:rPr>
        <w:t>益阳市赫山区全民健身服务中心</w:t>
      </w:r>
    </w:p>
    <w:p w:rsidR="00FF3A75" w:rsidRDefault="001B1E52" w:rsidP="001B1E52">
      <w:pPr>
        <w:spacing w:line="540" w:lineRule="exact"/>
        <w:ind w:firstLineChars="1550" w:firstLine="4960"/>
        <w:rPr>
          <w:rFonts w:ascii="仿宋_GB2312" w:eastAsia="仿宋_GB2312"/>
          <w:sz w:val="32"/>
          <w:szCs w:val="32"/>
        </w:rPr>
      </w:pPr>
      <w:r w:rsidRPr="00910269">
        <w:rPr>
          <w:rFonts w:ascii="仿宋_GB2312" w:eastAsia="仿宋_GB2312" w:hint="eastAsia"/>
          <w:sz w:val="32"/>
          <w:szCs w:val="32"/>
        </w:rPr>
        <w:t>2021年7月15日</w:t>
      </w:r>
    </w:p>
    <w:p w:rsidR="00FF3A75" w:rsidRDefault="00FF3A75">
      <w:pPr>
        <w:spacing w:line="480" w:lineRule="exact"/>
        <w:rPr>
          <w:rFonts w:ascii="黑体" w:eastAsia="黑体"/>
          <w:sz w:val="32"/>
          <w:szCs w:val="32"/>
        </w:rPr>
      </w:pPr>
    </w:p>
    <w:p w:rsidR="007357F7" w:rsidRDefault="00C023AC">
      <w:pPr>
        <w:spacing w:line="460" w:lineRule="exact"/>
        <w:jc w:val="center"/>
        <w:rPr>
          <w:rFonts w:ascii="黑体" w:eastAsia="黑体" w:cs="黑体"/>
          <w:sz w:val="32"/>
          <w:szCs w:val="32"/>
        </w:rPr>
      </w:pPr>
      <w:r>
        <w:rPr>
          <w:rFonts w:ascii="黑体" w:eastAsia="黑体" w:cs="黑体" w:hint="eastAsia"/>
          <w:sz w:val="32"/>
          <w:szCs w:val="32"/>
        </w:rPr>
        <w:t>2020年度赫山区全民健身服务中心部门整体支出绩效</w:t>
      </w:r>
    </w:p>
    <w:p w:rsidR="007357F7" w:rsidRDefault="00C023AC" w:rsidP="00C13862">
      <w:pPr>
        <w:spacing w:beforeLines="50" w:afterLines="50" w:line="460" w:lineRule="exact"/>
        <w:jc w:val="center"/>
        <w:rPr>
          <w:rFonts w:ascii="黑体" w:eastAsia="黑体" w:cs="黑体"/>
          <w:sz w:val="32"/>
          <w:szCs w:val="32"/>
        </w:rPr>
      </w:pPr>
      <w:r>
        <w:rPr>
          <w:rFonts w:ascii="黑体" w:eastAsia="黑体" w:cs="黑体" w:hint="eastAsia"/>
          <w:sz w:val="32"/>
          <w:szCs w:val="32"/>
        </w:rPr>
        <w:t>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79"/>
        <w:gridCol w:w="710"/>
        <w:gridCol w:w="946"/>
        <w:gridCol w:w="710"/>
        <w:gridCol w:w="2985"/>
        <w:gridCol w:w="3533"/>
      </w:tblGrid>
      <w:tr w:rsidR="007357F7">
        <w:trPr>
          <w:trHeight w:val="489"/>
          <w:tblHeader/>
          <w:jc w:val="center"/>
        </w:trPr>
        <w:tc>
          <w:tcPr>
            <w:tcW w:w="306" w:type="pct"/>
            <w:tcMar>
              <w:top w:w="10" w:type="dxa"/>
              <w:left w:w="10" w:type="dxa"/>
              <w:right w:w="10" w:type="dxa"/>
            </w:tcMar>
            <w:vAlign w:val="center"/>
          </w:tcPr>
          <w:p w:rsidR="007357F7" w:rsidRDefault="00C023AC">
            <w:pPr>
              <w:spacing w:line="240" w:lineRule="exact"/>
              <w:jc w:val="center"/>
              <w:rPr>
                <w:rFonts w:ascii="宋体" w:cs="宋体"/>
                <w:b/>
                <w:bCs/>
              </w:rPr>
            </w:pPr>
            <w:r>
              <w:rPr>
                <w:rFonts w:ascii="宋体" w:cs="宋体" w:hint="eastAsia"/>
                <w:b/>
                <w:bCs/>
              </w:rPr>
              <w:t>一级</w:t>
            </w:r>
            <w:r>
              <w:rPr>
                <w:rFonts w:ascii="宋体" w:cs="宋体"/>
                <w:b/>
                <w:bCs/>
              </w:rPr>
              <w:br/>
            </w:r>
            <w:r>
              <w:rPr>
                <w:rFonts w:ascii="宋体" w:cs="宋体" w:hint="eastAsia"/>
                <w:b/>
                <w:bCs/>
              </w:rPr>
              <w:t>指标</w:t>
            </w:r>
          </w:p>
        </w:tc>
        <w:tc>
          <w:tcPr>
            <w:tcW w:w="375" w:type="pct"/>
            <w:tcMar>
              <w:top w:w="10" w:type="dxa"/>
              <w:left w:w="10" w:type="dxa"/>
              <w:right w:w="10" w:type="dxa"/>
            </w:tcMar>
            <w:vAlign w:val="center"/>
          </w:tcPr>
          <w:p w:rsidR="007357F7" w:rsidRDefault="00C023AC">
            <w:pPr>
              <w:spacing w:line="240" w:lineRule="exact"/>
              <w:ind w:rightChars="-83" w:right="-174"/>
              <w:jc w:val="center"/>
              <w:rPr>
                <w:rFonts w:ascii="宋体" w:cs="宋体"/>
                <w:b/>
                <w:bCs/>
              </w:rPr>
            </w:pPr>
            <w:r>
              <w:rPr>
                <w:rFonts w:ascii="宋体" w:cs="宋体" w:hint="eastAsia"/>
                <w:b/>
                <w:bCs/>
              </w:rPr>
              <w:t>二级</w:t>
            </w:r>
          </w:p>
          <w:p w:rsidR="007357F7" w:rsidRDefault="00C023AC">
            <w:pPr>
              <w:spacing w:line="240" w:lineRule="exact"/>
              <w:ind w:rightChars="-83" w:right="-174"/>
              <w:jc w:val="center"/>
              <w:rPr>
                <w:rFonts w:ascii="宋体" w:cs="宋体"/>
                <w:b/>
                <w:bCs/>
              </w:rPr>
            </w:pPr>
            <w:r>
              <w:rPr>
                <w:rFonts w:ascii="宋体" w:cs="宋体" w:hint="eastAsia"/>
                <w:b/>
                <w:bCs/>
              </w:rPr>
              <w:t>指标</w:t>
            </w:r>
          </w:p>
        </w:tc>
        <w:tc>
          <w:tcPr>
            <w:tcW w:w="500" w:type="pct"/>
            <w:tcMar>
              <w:top w:w="10" w:type="dxa"/>
              <w:left w:w="10" w:type="dxa"/>
              <w:right w:w="10" w:type="dxa"/>
            </w:tcMar>
            <w:vAlign w:val="center"/>
          </w:tcPr>
          <w:p w:rsidR="007357F7" w:rsidRDefault="00C023AC">
            <w:pPr>
              <w:spacing w:line="240" w:lineRule="exact"/>
              <w:jc w:val="center"/>
              <w:rPr>
                <w:rFonts w:ascii="宋体" w:cs="宋体"/>
                <w:b/>
                <w:bCs/>
              </w:rPr>
            </w:pPr>
            <w:r>
              <w:rPr>
                <w:rFonts w:ascii="宋体" w:cs="宋体" w:hint="eastAsia"/>
                <w:b/>
                <w:bCs/>
              </w:rPr>
              <w:t>三级</w:t>
            </w:r>
          </w:p>
          <w:p w:rsidR="007357F7" w:rsidRDefault="00C023AC">
            <w:pPr>
              <w:spacing w:line="240" w:lineRule="exact"/>
              <w:jc w:val="center"/>
              <w:rPr>
                <w:rFonts w:ascii="宋体" w:cs="宋体"/>
                <w:b/>
                <w:bCs/>
              </w:rPr>
            </w:pPr>
            <w:r>
              <w:rPr>
                <w:rFonts w:ascii="宋体" w:cs="宋体" w:hint="eastAsia"/>
                <w:b/>
                <w:bCs/>
              </w:rPr>
              <w:t>指标</w:t>
            </w:r>
          </w:p>
        </w:tc>
        <w:tc>
          <w:tcPr>
            <w:tcW w:w="375" w:type="pct"/>
            <w:vAlign w:val="center"/>
          </w:tcPr>
          <w:p w:rsidR="007357F7" w:rsidRDefault="00C023AC">
            <w:pPr>
              <w:spacing w:line="240" w:lineRule="exact"/>
              <w:ind w:leftChars="50" w:left="105" w:rightChars="50" w:right="105"/>
              <w:jc w:val="center"/>
              <w:rPr>
                <w:rFonts w:ascii="宋体" w:cs="宋体"/>
                <w:b/>
                <w:bCs/>
              </w:rPr>
            </w:pPr>
            <w:r>
              <w:rPr>
                <w:rFonts w:ascii="宋体" w:cs="宋体" w:hint="eastAsia"/>
                <w:b/>
                <w:bCs/>
              </w:rPr>
              <w:t>自评分</w:t>
            </w:r>
          </w:p>
        </w:tc>
        <w:tc>
          <w:tcPr>
            <w:tcW w:w="1576" w:type="pct"/>
            <w:tcMar>
              <w:top w:w="10" w:type="dxa"/>
              <w:left w:w="10" w:type="dxa"/>
              <w:right w:w="10" w:type="dxa"/>
            </w:tcMar>
            <w:vAlign w:val="center"/>
          </w:tcPr>
          <w:p w:rsidR="007357F7" w:rsidRDefault="00C023AC">
            <w:pPr>
              <w:spacing w:line="240" w:lineRule="exact"/>
              <w:ind w:leftChars="50" w:left="105" w:rightChars="50" w:right="105"/>
              <w:jc w:val="center"/>
              <w:rPr>
                <w:rFonts w:ascii="宋体" w:cs="宋体"/>
                <w:b/>
                <w:bCs/>
              </w:rPr>
            </w:pPr>
            <w:r>
              <w:rPr>
                <w:rFonts w:ascii="宋体" w:cs="宋体" w:hint="eastAsia"/>
                <w:b/>
                <w:bCs/>
              </w:rPr>
              <w:t>指标解释</w:t>
            </w:r>
          </w:p>
        </w:tc>
        <w:tc>
          <w:tcPr>
            <w:tcW w:w="1866" w:type="pct"/>
            <w:tcMar>
              <w:top w:w="10" w:type="dxa"/>
              <w:left w:w="10" w:type="dxa"/>
              <w:right w:w="10" w:type="dxa"/>
            </w:tcMar>
            <w:vAlign w:val="center"/>
          </w:tcPr>
          <w:p w:rsidR="007357F7" w:rsidRDefault="00C023AC">
            <w:pPr>
              <w:spacing w:line="240" w:lineRule="exact"/>
              <w:ind w:leftChars="50" w:left="105" w:rightChars="50" w:right="105"/>
              <w:jc w:val="center"/>
              <w:rPr>
                <w:rFonts w:ascii="宋体" w:cs="宋体"/>
                <w:b/>
                <w:bCs/>
              </w:rPr>
            </w:pPr>
            <w:r>
              <w:rPr>
                <w:rFonts w:ascii="宋体" w:cs="宋体" w:hint="eastAsia"/>
                <w:b/>
                <w:bCs/>
              </w:rPr>
              <w:t>指标说明</w:t>
            </w:r>
          </w:p>
        </w:tc>
      </w:tr>
      <w:tr w:rsidR="007357F7">
        <w:trPr>
          <w:trHeight w:val="1776"/>
          <w:jc w:val="center"/>
        </w:trPr>
        <w:tc>
          <w:tcPr>
            <w:tcW w:w="306" w:type="pct"/>
            <w:vMerge w:val="restart"/>
            <w:noWrap/>
            <w:tcMar>
              <w:top w:w="10" w:type="dxa"/>
              <w:left w:w="10" w:type="dxa"/>
              <w:right w:w="10" w:type="dxa"/>
            </w:tcMar>
            <w:textDirection w:val="tbRlV"/>
            <w:vAlign w:val="center"/>
          </w:tcPr>
          <w:p w:rsidR="007357F7" w:rsidRDefault="00C023AC">
            <w:pPr>
              <w:spacing w:line="240" w:lineRule="exact"/>
              <w:jc w:val="center"/>
              <w:rPr>
                <w:rFonts w:ascii="宋体" w:cs="宋体"/>
              </w:rPr>
            </w:pPr>
            <w:r>
              <w:rPr>
                <w:rFonts w:ascii="宋体" w:cs="宋体" w:hint="eastAsia"/>
              </w:rPr>
              <w:t>投</w:t>
            </w:r>
            <w:r>
              <w:rPr>
                <w:rFonts w:ascii="宋体" w:cs="宋体"/>
              </w:rPr>
              <w:t xml:space="preserve">   </w:t>
            </w:r>
            <w:r>
              <w:rPr>
                <w:rFonts w:ascii="宋体" w:cs="宋体" w:hint="eastAsia"/>
              </w:rPr>
              <w:t>入（</w:t>
            </w:r>
            <w:r>
              <w:rPr>
                <w:rFonts w:ascii="宋体" w:cs="宋体"/>
              </w:rPr>
              <w:t>20</w:t>
            </w:r>
            <w:r>
              <w:rPr>
                <w:rFonts w:ascii="宋体" w:cs="宋体" w:hint="eastAsia"/>
              </w:rPr>
              <w:t>分）</w:t>
            </w:r>
          </w:p>
        </w:tc>
        <w:tc>
          <w:tcPr>
            <w:tcW w:w="375" w:type="pct"/>
            <w:vMerge w:val="restar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目标</w:t>
            </w:r>
            <w:r>
              <w:rPr>
                <w:rFonts w:ascii="宋体" w:cs="宋体"/>
              </w:rPr>
              <w:br/>
            </w:r>
            <w:r>
              <w:rPr>
                <w:rFonts w:ascii="宋体" w:cs="宋体" w:hint="eastAsia"/>
              </w:rPr>
              <w:t>设定（</w:t>
            </w:r>
            <w:r>
              <w:rPr>
                <w:rFonts w:ascii="宋体" w:cs="宋体"/>
              </w:rPr>
              <w:t>5</w:t>
            </w:r>
            <w:r>
              <w:rPr>
                <w:rFonts w:ascii="宋体" w:cs="宋体" w:hint="eastAsia"/>
              </w:rPr>
              <w:t>分）</w:t>
            </w:r>
          </w:p>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绩效目标</w:t>
            </w:r>
          </w:p>
          <w:p w:rsidR="007357F7" w:rsidRDefault="00C023AC">
            <w:pPr>
              <w:spacing w:line="240" w:lineRule="exact"/>
              <w:jc w:val="center"/>
              <w:rPr>
                <w:rFonts w:ascii="宋体" w:cs="宋体"/>
              </w:rPr>
            </w:pPr>
            <w:r>
              <w:rPr>
                <w:rFonts w:ascii="宋体" w:cs="宋体" w:hint="eastAsia"/>
              </w:rPr>
              <w:t>合理性（</w:t>
            </w:r>
            <w:r>
              <w:rPr>
                <w:rFonts w:ascii="宋体" w:cs="宋体"/>
              </w:rPr>
              <w:t>2</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部门所设立的整体绩效目标依据是否充分，是否符合客观实际，用以反映和考核部门整体绩效目标与部门履职、年度工作任务的相符性情况。</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评价要点：</w:t>
            </w:r>
            <w:r>
              <w:rPr>
                <w:rFonts w:ascii="宋体" w:cs="宋体"/>
              </w:rPr>
              <w:br/>
            </w:r>
            <w:r>
              <w:rPr>
                <w:rFonts w:ascii="宋体" w:cs="宋体" w:hint="eastAsia"/>
              </w:rPr>
              <w:t>①是否符合国家法律法规、国民经济和社会发展总体规划；</w:t>
            </w:r>
            <w:r>
              <w:rPr>
                <w:rFonts w:ascii="宋体" w:cs="宋体"/>
              </w:rPr>
              <w:br/>
            </w:r>
            <w:r>
              <w:rPr>
                <w:rFonts w:ascii="宋体" w:cs="宋体" w:hint="eastAsia"/>
              </w:rPr>
              <w:t>②是否符合部门“三定”方案确定的职责；</w:t>
            </w:r>
            <w:r>
              <w:rPr>
                <w:rFonts w:ascii="宋体" w:cs="宋体"/>
              </w:rPr>
              <w:br/>
            </w:r>
            <w:r>
              <w:rPr>
                <w:rFonts w:ascii="宋体" w:cs="宋体" w:hint="eastAsia"/>
              </w:rPr>
              <w:t>③是否符合部门制定的中长期实施规划。</w:t>
            </w:r>
          </w:p>
        </w:tc>
      </w:tr>
      <w:tr w:rsidR="007357F7">
        <w:trPr>
          <w:trHeight w:val="1971"/>
          <w:jc w:val="center"/>
        </w:trPr>
        <w:tc>
          <w:tcPr>
            <w:tcW w:w="306" w:type="pct"/>
            <w:vMerge/>
            <w:vAlign w:val="center"/>
          </w:tcPr>
          <w:p w:rsidR="007357F7" w:rsidRDefault="007357F7"/>
        </w:tc>
        <w:tc>
          <w:tcPr>
            <w:tcW w:w="375" w:type="pct"/>
            <w:vMerge/>
            <w:vAlign w:val="center"/>
          </w:tcPr>
          <w:p w:rsidR="007357F7" w:rsidRDefault="007357F7"/>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绩效指标</w:t>
            </w:r>
          </w:p>
          <w:p w:rsidR="007357F7" w:rsidRDefault="00C023AC">
            <w:pPr>
              <w:spacing w:line="240" w:lineRule="exact"/>
              <w:jc w:val="center"/>
              <w:rPr>
                <w:rFonts w:ascii="宋体" w:cs="宋体"/>
              </w:rPr>
            </w:pPr>
            <w:r>
              <w:rPr>
                <w:rFonts w:ascii="宋体" w:cs="宋体" w:hint="eastAsia"/>
              </w:rPr>
              <w:t>明确性（</w:t>
            </w:r>
            <w:r>
              <w:rPr>
                <w:rFonts w:ascii="宋体" w:cs="宋体"/>
              </w:rPr>
              <w:t>3</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3</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部门依据整体绩效目标所设定的绩效指标是否清晰、细化、可衡量，用以反映和考核部门整体绩效目标的明细化情况。</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评价要点：</w:t>
            </w:r>
            <w:r>
              <w:rPr>
                <w:rFonts w:ascii="宋体" w:cs="宋体"/>
              </w:rPr>
              <w:br/>
            </w:r>
            <w:r>
              <w:rPr>
                <w:rFonts w:ascii="宋体" w:cs="宋体" w:hint="eastAsia"/>
              </w:rPr>
              <w:t>①是否将部门整体的绩效目标细化分解为具体的工作任务；</w:t>
            </w:r>
            <w:r>
              <w:rPr>
                <w:rFonts w:ascii="宋体" w:cs="宋体"/>
              </w:rPr>
              <w:br/>
            </w:r>
            <w:r>
              <w:rPr>
                <w:rFonts w:ascii="宋体" w:cs="宋体" w:hint="eastAsia"/>
              </w:rPr>
              <w:t>②是否通过清晰、可衡量的指标值予以体现。</w:t>
            </w:r>
            <w:r>
              <w:rPr>
                <w:rFonts w:ascii="宋体" w:cs="宋体"/>
              </w:rPr>
              <w:t xml:space="preserve">    </w:t>
            </w:r>
            <w:r>
              <w:rPr>
                <w:rFonts w:ascii="宋体" w:cs="宋体" w:hint="eastAsia"/>
              </w:rPr>
              <w:t>③是否与部门年度的任务数或计划数相对应；</w:t>
            </w:r>
            <w:r>
              <w:rPr>
                <w:rFonts w:ascii="宋体" w:cs="宋体"/>
              </w:rPr>
              <w:br/>
            </w:r>
            <w:r>
              <w:rPr>
                <w:rFonts w:ascii="宋体" w:cs="宋体" w:hint="eastAsia"/>
              </w:rPr>
              <w:t>④是否与本年度部门预算资金相匹配。</w:t>
            </w:r>
          </w:p>
        </w:tc>
      </w:tr>
      <w:tr w:rsidR="007357F7">
        <w:trPr>
          <w:trHeight w:val="1546"/>
          <w:jc w:val="center"/>
        </w:trPr>
        <w:tc>
          <w:tcPr>
            <w:tcW w:w="306" w:type="pct"/>
            <w:vMerge/>
            <w:vAlign w:val="center"/>
          </w:tcPr>
          <w:p w:rsidR="007357F7" w:rsidRDefault="007357F7"/>
        </w:tc>
        <w:tc>
          <w:tcPr>
            <w:tcW w:w="375" w:type="pct"/>
            <w:vMerge w:val="restar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预算</w:t>
            </w:r>
            <w:r>
              <w:rPr>
                <w:rFonts w:ascii="宋体" w:cs="宋体"/>
              </w:rPr>
              <w:br/>
            </w:r>
            <w:r>
              <w:rPr>
                <w:rFonts w:ascii="宋体" w:cs="宋体" w:hint="eastAsia"/>
              </w:rPr>
              <w:t>配置（</w:t>
            </w:r>
            <w:r>
              <w:rPr>
                <w:rFonts w:ascii="宋体" w:cs="宋体"/>
              </w:rPr>
              <w:t>15</w:t>
            </w:r>
            <w:r>
              <w:rPr>
                <w:rFonts w:ascii="宋体" w:cs="宋体" w:hint="eastAsia"/>
              </w:rPr>
              <w:t>分）</w:t>
            </w:r>
          </w:p>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在职人员</w:t>
            </w:r>
          </w:p>
          <w:p w:rsidR="007357F7" w:rsidRDefault="00C023AC">
            <w:pPr>
              <w:spacing w:line="240" w:lineRule="exact"/>
              <w:jc w:val="center"/>
              <w:rPr>
                <w:rFonts w:ascii="宋体" w:cs="宋体"/>
              </w:rPr>
            </w:pPr>
            <w:r>
              <w:rPr>
                <w:rFonts w:ascii="宋体" w:cs="宋体" w:hint="eastAsia"/>
              </w:rPr>
              <w:t>控制率（</w:t>
            </w:r>
            <w:r>
              <w:rPr>
                <w:rFonts w:ascii="宋体" w:cs="宋体"/>
              </w:rPr>
              <w:t>5</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部门本年度实际在职人员数与编制数的比率，用以反映和考核部门对人员成本的控制程度。</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在职人员控制率</w:t>
            </w:r>
            <w:r>
              <w:rPr>
                <w:rFonts w:ascii="宋体" w:cs="宋体"/>
              </w:rPr>
              <w:t>=</w:t>
            </w:r>
            <w:r>
              <w:rPr>
                <w:rFonts w:ascii="宋体" w:cs="宋体" w:hint="eastAsia"/>
              </w:rPr>
              <w:t>（在职人员数</w:t>
            </w:r>
            <w:r>
              <w:rPr>
                <w:rFonts w:ascii="宋体" w:cs="宋体"/>
              </w:rPr>
              <w:t>/</w:t>
            </w:r>
            <w:r>
              <w:rPr>
                <w:rFonts w:ascii="宋体" w:cs="宋体" w:hint="eastAsia"/>
              </w:rPr>
              <w:t>编制数）×</w:t>
            </w:r>
            <w:r>
              <w:rPr>
                <w:rFonts w:ascii="宋体" w:cs="宋体"/>
              </w:rPr>
              <w:t>100%</w:t>
            </w:r>
            <w:r>
              <w:rPr>
                <w:rFonts w:ascii="宋体" w:cs="宋体" w:hint="eastAsia"/>
              </w:rPr>
              <w:t>。</w:t>
            </w:r>
            <w:r>
              <w:rPr>
                <w:rFonts w:ascii="宋体" w:cs="宋体"/>
              </w:rPr>
              <w:br/>
            </w:r>
            <w:r>
              <w:rPr>
                <w:rFonts w:ascii="宋体" w:cs="宋体" w:hint="eastAsia"/>
              </w:rPr>
              <w:t>在职人员数：部门实际在职人数，以财政部确定的部门决算编制口径为准。</w:t>
            </w:r>
            <w:r>
              <w:rPr>
                <w:rFonts w:ascii="宋体" w:cs="宋体"/>
              </w:rPr>
              <w:br/>
            </w:r>
            <w:r>
              <w:rPr>
                <w:rFonts w:ascii="宋体" w:cs="宋体" w:hint="eastAsia"/>
              </w:rPr>
              <w:t>编制数：机构编制部门核定批复的部门的人员编制数。</w:t>
            </w:r>
          </w:p>
        </w:tc>
      </w:tr>
      <w:tr w:rsidR="007357F7">
        <w:trPr>
          <w:trHeight w:val="2030"/>
          <w:jc w:val="center"/>
        </w:trPr>
        <w:tc>
          <w:tcPr>
            <w:tcW w:w="306" w:type="pct"/>
            <w:vMerge/>
            <w:vAlign w:val="center"/>
          </w:tcPr>
          <w:p w:rsidR="007357F7" w:rsidRDefault="007357F7"/>
        </w:tc>
        <w:tc>
          <w:tcPr>
            <w:tcW w:w="375" w:type="pct"/>
            <w:vMerge/>
            <w:vAlign w:val="center"/>
          </w:tcPr>
          <w:p w:rsidR="007357F7" w:rsidRDefault="007357F7"/>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“三公经费”</w:t>
            </w:r>
          </w:p>
          <w:p w:rsidR="007357F7" w:rsidRDefault="00C023AC">
            <w:pPr>
              <w:spacing w:line="240" w:lineRule="exact"/>
              <w:jc w:val="center"/>
              <w:rPr>
                <w:rFonts w:ascii="宋体" w:cs="宋体"/>
              </w:rPr>
            </w:pPr>
            <w:r>
              <w:rPr>
                <w:rFonts w:ascii="宋体" w:cs="宋体" w:hint="eastAsia"/>
              </w:rPr>
              <w:t>变动率（</w:t>
            </w:r>
            <w:r>
              <w:rPr>
                <w:rFonts w:ascii="宋体" w:cs="宋体"/>
              </w:rPr>
              <w:t>5</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部门本年度“三公经费”预算数与上年度“三公经费”预算数的变动比率，用以反映和考核部门对控制重点行政成本的努力程度。</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“三公经费”变动率</w:t>
            </w:r>
            <w:r>
              <w:rPr>
                <w:rFonts w:ascii="宋体" w:cs="宋体"/>
              </w:rPr>
              <w:t>=[</w:t>
            </w:r>
            <w:r>
              <w:rPr>
                <w:rFonts w:ascii="宋体" w:cs="宋体" w:hint="eastAsia"/>
              </w:rPr>
              <w:t>（本年度“三公经费”总额</w:t>
            </w:r>
            <w:r>
              <w:rPr>
                <w:rFonts w:ascii="宋体" w:cs="宋体"/>
              </w:rPr>
              <w:t>-</w:t>
            </w:r>
            <w:r>
              <w:rPr>
                <w:rFonts w:ascii="宋体" w:cs="宋体" w:hint="eastAsia"/>
              </w:rPr>
              <w:t>上年度“三公经费”总额）</w:t>
            </w:r>
            <w:r>
              <w:rPr>
                <w:rFonts w:ascii="宋体" w:cs="宋体"/>
              </w:rPr>
              <w:t>/</w:t>
            </w:r>
            <w:r>
              <w:rPr>
                <w:rFonts w:ascii="宋体" w:cs="宋体" w:hint="eastAsia"/>
              </w:rPr>
              <w:t>上年度“三公经费”总额</w:t>
            </w:r>
            <w:r>
              <w:rPr>
                <w:rFonts w:ascii="宋体" w:cs="宋体"/>
              </w:rPr>
              <w:t>]</w:t>
            </w:r>
            <w:r>
              <w:rPr>
                <w:rFonts w:ascii="宋体" w:cs="宋体" w:hint="eastAsia"/>
              </w:rPr>
              <w:t>×</w:t>
            </w:r>
            <w:r>
              <w:rPr>
                <w:rFonts w:ascii="宋体" w:cs="宋体"/>
              </w:rPr>
              <w:t>100%</w:t>
            </w:r>
            <w:r>
              <w:rPr>
                <w:rFonts w:ascii="宋体" w:cs="宋体" w:hint="eastAsia"/>
              </w:rPr>
              <w:t>。</w:t>
            </w:r>
            <w:r>
              <w:rPr>
                <w:rFonts w:ascii="宋体" w:cs="宋体"/>
              </w:rPr>
              <w:br/>
            </w:r>
            <w:r>
              <w:rPr>
                <w:rFonts w:ascii="宋体" w:cs="宋体" w:hint="eastAsia"/>
              </w:rPr>
              <w:t>“三公经费”：年度预算安排的因公出国（境）费、公务车辆购置及运行费和公务招待费。</w:t>
            </w:r>
          </w:p>
        </w:tc>
      </w:tr>
      <w:tr w:rsidR="007357F7">
        <w:trPr>
          <w:trHeight w:val="2510"/>
          <w:jc w:val="center"/>
        </w:trPr>
        <w:tc>
          <w:tcPr>
            <w:tcW w:w="306" w:type="pct"/>
            <w:vMerge/>
            <w:vAlign w:val="center"/>
          </w:tcPr>
          <w:p w:rsidR="007357F7" w:rsidRDefault="007357F7"/>
        </w:tc>
        <w:tc>
          <w:tcPr>
            <w:tcW w:w="375" w:type="pct"/>
            <w:vMerge/>
            <w:vAlign w:val="center"/>
          </w:tcPr>
          <w:p w:rsidR="007357F7" w:rsidRDefault="007357F7"/>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重点支出</w:t>
            </w:r>
          </w:p>
          <w:p w:rsidR="007357F7" w:rsidRDefault="00C023AC">
            <w:pPr>
              <w:spacing w:line="240" w:lineRule="exact"/>
              <w:jc w:val="center"/>
              <w:rPr>
                <w:rFonts w:ascii="宋体" w:cs="宋体"/>
              </w:rPr>
            </w:pPr>
            <w:r>
              <w:rPr>
                <w:rFonts w:ascii="宋体" w:cs="宋体" w:hint="eastAsia"/>
              </w:rPr>
              <w:t>安排率（</w:t>
            </w:r>
            <w:r>
              <w:rPr>
                <w:rFonts w:ascii="宋体" w:cs="宋体"/>
              </w:rPr>
              <w:t>5</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部门本年度预算安排的重点预算支出与部门预算总支出的比率，用以反映和考核部门对履行主要职责或完成重点任务的保障程度。</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重点支出安排率</w:t>
            </w:r>
            <w:r>
              <w:rPr>
                <w:rFonts w:ascii="宋体" w:cs="宋体"/>
              </w:rPr>
              <w:t>=</w:t>
            </w:r>
            <w:r>
              <w:rPr>
                <w:rFonts w:ascii="宋体" w:cs="宋体" w:hint="eastAsia"/>
              </w:rPr>
              <w:t>（重点预算支出</w:t>
            </w:r>
            <w:r>
              <w:rPr>
                <w:rFonts w:ascii="宋体" w:cs="宋体"/>
              </w:rPr>
              <w:t>/</w:t>
            </w:r>
            <w:r>
              <w:rPr>
                <w:rFonts w:ascii="宋体" w:cs="宋体" w:hint="eastAsia"/>
              </w:rPr>
              <w:t>预算总支出）×</w:t>
            </w:r>
            <w:r>
              <w:rPr>
                <w:rFonts w:ascii="宋体" w:cs="宋体"/>
              </w:rPr>
              <w:t>100%</w:t>
            </w:r>
            <w:r>
              <w:rPr>
                <w:rFonts w:ascii="宋体" w:cs="宋体" w:hint="eastAsia"/>
              </w:rPr>
              <w:t>。</w:t>
            </w:r>
            <w:r>
              <w:rPr>
                <w:rFonts w:ascii="宋体" w:cs="宋体"/>
              </w:rPr>
              <w:br/>
            </w:r>
            <w:r>
              <w:rPr>
                <w:rFonts w:ascii="宋体" w:cs="宋体" w:hint="eastAsia"/>
              </w:rPr>
              <w:t>重点预算支出：部门年度预算安排的，与本部门履职和发展密切相关、具有明显社会和经济影响、党委政府关心或社会比较关注的预算支出支出总额。</w:t>
            </w:r>
            <w:r>
              <w:rPr>
                <w:rFonts w:ascii="宋体" w:cs="宋体"/>
              </w:rPr>
              <w:br/>
            </w:r>
            <w:r>
              <w:rPr>
                <w:rFonts w:ascii="宋体" w:cs="宋体" w:hint="eastAsia"/>
              </w:rPr>
              <w:t>预算总支出：部门年度预算安排的预算支出支出总额。</w:t>
            </w:r>
          </w:p>
        </w:tc>
      </w:tr>
      <w:tr w:rsidR="007357F7">
        <w:trPr>
          <w:trHeight w:val="1462"/>
          <w:jc w:val="center"/>
        </w:trPr>
        <w:tc>
          <w:tcPr>
            <w:tcW w:w="306" w:type="pct"/>
            <w:vMerge w:val="restart"/>
            <w:noWrap/>
            <w:tcMar>
              <w:top w:w="10" w:type="dxa"/>
              <w:left w:w="10" w:type="dxa"/>
              <w:right w:w="10" w:type="dxa"/>
            </w:tcMar>
            <w:textDirection w:val="tbRlV"/>
            <w:vAlign w:val="center"/>
          </w:tcPr>
          <w:p w:rsidR="007357F7" w:rsidRDefault="00C023AC">
            <w:pPr>
              <w:spacing w:line="240" w:lineRule="exact"/>
              <w:jc w:val="center"/>
              <w:rPr>
                <w:rFonts w:ascii="宋体" w:cs="宋体"/>
              </w:rPr>
            </w:pPr>
            <w:r>
              <w:rPr>
                <w:rFonts w:ascii="宋体" w:cs="宋体" w:hint="eastAsia"/>
              </w:rPr>
              <w:t>过</w:t>
            </w:r>
            <w:r>
              <w:rPr>
                <w:rFonts w:ascii="宋体" w:cs="宋体"/>
              </w:rPr>
              <w:t xml:space="preserve">   </w:t>
            </w:r>
            <w:r>
              <w:rPr>
                <w:rFonts w:ascii="宋体" w:cs="宋体" w:hint="eastAsia"/>
              </w:rPr>
              <w:t>程（</w:t>
            </w:r>
            <w:r>
              <w:rPr>
                <w:rFonts w:ascii="宋体" w:cs="宋体"/>
              </w:rPr>
              <w:t>30</w:t>
            </w:r>
            <w:r>
              <w:rPr>
                <w:rFonts w:ascii="宋体" w:cs="宋体" w:hint="eastAsia"/>
              </w:rPr>
              <w:t>分）</w:t>
            </w:r>
          </w:p>
        </w:tc>
        <w:tc>
          <w:tcPr>
            <w:tcW w:w="375" w:type="pct"/>
            <w:vMerge w:val="restar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预算</w:t>
            </w:r>
            <w:r>
              <w:rPr>
                <w:rFonts w:ascii="宋体" w:cs="宋体"/>
              </w:rPr>
              <w:br/>
            </w:r>
            <w:r>
              <w:rPr>
                <w:rFonts w:ascii="宋体" w:cs="宋体" w:hint="eastAsia"/>
              </w:rPr>
              <w:t>执行（</w:t>
            </w:r>
            <w:r>
              <w:rPr>
                <w:rFonts w:ascii="宋体" w:cs="宋体"/>
              </w:rPr>
              <w:t>20</w:t>
            </w:r>
            <w:r>
              <w:rPr>
                <w:rFonts w:ascii="宋体" w:cs="宋体" w:hint="eastAsia"/>
              </w:rPr>
              <w:t>分）</w:t>
            </w:r>
          </w:p>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预算</w:t>
            </w:r>
          </w:p>
          <w:p w:rsidR="007357F7" w:rsidRDefault="00C023AC">
            <w:pPr>
              <w:spacing w:line="240" w:lineRule="exact"/>
              <w:jc w:val="center"/>
              <w:rPr>
                <w:rFonts w:ascii="宋体" w:cs="宋体"/>
              </w:rPr>
            </w:pPr>
            <w:r>
              <w:rPr>
                <w:rFonts w:ascii="宋体" w:cs="宋体" w:hint="eastAsia"/>
              </w:rPr>
              <w:t>执行率（</w:t>
            </w:r>
            <w:r>
              <w:rPr>
                <w:rFonts w:ascii="宋体" w:cs="宋体"/>
              </w:rPr>
              <w:t>4</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部门本年度预算完成数与预算数的比率，用以反映和考核部门预算完成程度。</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预算执行率</w:t>
            </w:r>
            <w:r>
              <w:rPr>
                <w:rFonts w:ascii="宋体" w:cs="宋体"/>
              </w:rPr>
              <w:t>=</w:t>
            </w:r>
            <w:r>
              <w:rPr>
                <w:rFonts w:ascii="宋体" w:cs="宋体" w:hint="eastAsia"/>
              </w:rPr>
              <w:t>（预算执行数</w:t>
            </w:r>
            <w:r>
              <w:rPr>
                <w:rFonts w:ascii="宋体" w:cs="宋体"/>
              </w:rPr>
              <w:t>/</w:t>
            </w:r>
            <w:r>
              <w:rPr>
                <w:rFonts w:ascii="宋体" w:cs="宋体" w:hint="eastAsia"/>
              </w:rPr>
              <w:t>预算数）×</w:t>
            </w:r>
            <w:r>
              <w:rPr>
                <w:rFonts w:ascii="宋体" w:cs="宋体"/>
              </w:rPr>
              <w:t>100%</w:t>
            </w:r>
            <w:r>
              <w:rPr>
                <w:rFonts w:ascii="宋体" w:cs="宋体" w:hint="eastAsia"/>
              </w:rPr>
              <w:t>。</w:t>
            </w:r>
            <w:r>
              <w:rPr>
                <w:rFonts w:ascii="宋体" w:cs="宋体"/>
              </w:rPr>
              <w:br/>
            </w:r>
            <w:r>
              <w:rPr>
                <w:rFonts w:ascii="宋体" w:cs="宋体" w:hint="eastAsia"/>
              </w:rPr>
              <w:t>预算执行数：部门本年度实际完成的预算数。</w:t>
            </w:r>
            <w:r>
              <w:rPr>
                <w:rFonts w:ascii="宋体" w:cs="宋体"/>
              </w:rPr>
              <w:br/>
            </w:r>
            <w:r>
              <w:rPr>
                <w:rFonts w:ascii="宋体" w:cs="宋体" w:hint="eastAsia"/>
              </w:rPr>
              <w:t>预算数：财政部门批复的本年度部门预算数。</w:t>
            </w:r>
          </w:p>
        </w:tc>
      </w:tr>
      <w:tr w:rsidR="007357F7">
        <w:trPr>
          <w:trHeight w:val="1824"/>
          <w:jc w:val="center"/>
        </w:trPr>
        <w:tc>
          <w:tcPr>
            <w:tcW w:w="306" w:type="pct"/>
            <w:vMerge/>
            <w:vAlign w:val="center"/>
          </w:tcPr>
          <w:p w:rsidR="007357F7" w:rsidRDefault="007357F7"/>
        </w:tc>
        <w:tc>
          <w:tcPr>
            <w:tcW w:w="375" w:type="pct"/>
            <w:vMerge/>
            <w:vAlign w:val="center"/>
          </w:tcPr>
          <w:p w:rsidR="007357F7" w:rsidRDefault="007357F7"/>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预算</w:t>
            </w:r>
          </w:p>
          <w:p w:rsidR="007357F7" w:rsidRDefault="00C023AC">
            <w:pPr>
              <w:spacing w:line="240" w:lineRule="exact"/>
              <w:jc w:val="center"/>
              <w:rPr>
                <w:rFonts w:ascii="宋体" w:cs="宋体"/>
              </w:rPr>
            </w:pPr>
            <w:r>
              <w:rPr>
                <w:rFonts w:ascii="宋体" w:cs="宋体" w:hint="eastAsia"/>
              </w:rPr>
              <w:t>调整率（</w:t>
            </w:r>
            <w:r>
              <w:rPr>
                <w:rFonts w:ascii="宋体" w:cs="宋体"/>
              </w:rPr>
              <w:t>2</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部门本年度预算调整数与预算数的比率，用以反映和考核部门预算的调整程度。</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预算调整率</w:t>
            </w:r>
            <w:r>
              <w:rPr>
                <w:rFonts w:ascii="宋体" w:cs="宋体"/>
              </w:rPr>
              <w:t>=</w:t>
            </w:r>
            <w:r>
              <w:rPr>
                <w:rFonts w:ascii="宋体" w:cs="宋体" w:hint="eastAsia"/>
              </w:rPr>
              <w:t>（预算调整数</w:t>
            </w:r>
            <w:r>
              <w:rPr>
                <w:rFonts w:ascii="宋体" w:cs="宋体"/>
              </w:rPr>
              <w:t>/</w:t>
            </w:r>
            <w:r>
              <w:rPr>
                <w:rFonts w:ascii="宋体" w:cs="宋体" w:hint="eastAsia"/>
              </w:rPr>
              <w:t>预算数）×</w:t>
            </w:r>
            <w:r>
              <w:rPr>
                <w:rFonts w:ascii="宋体" w:cs="宋体"/>
              </w:rPr>
              <w:t>100%</w:t>
            </w:r>
            <w:r>
              <w:rPr>
                <w:rFonts w:ascii="宋体" w:cs="宋体" w:hint="eastAsia"/>
              </w:rPr>
              <w:t>。</w:t>
            </w:r>
            <w:r>
              <w:rPr>
                <w:rFonts w:ascii="宋体" w:cs="宋体"/>
              </w:rPr>
              <w:br/>
            </w:r>
            <w:r>
              <w:rPr>
                <w:rFonts w:ascii="宋体" w:cs="宋体" w:hint="eastAsia"/>
              </w:rPr>
              <w:t>预算调整数：部门在本年度内涉及预算的追加、追减或结构调整的资金总和（因落实国家政策、发生不可抗力、上级部门或本级党委政府临时交办而产生的调整除外）。</w:t>
            </w:r>
          </w:p>
        </w:tc>
      </w:tr>
      <w:tr w:rsidR="007357F7">
        <w:trPr>
          <w:trHeight w:val="2531"/>
          <w:jc w:val="center"/>
        </w:trPr>
        <w:tc>
          <w:tcPr>
            <w:tcW w:w="306" w:type="pct"/>
            <w:vMerge/>
            <w:vAlign w:val="center"/>
          </w:tcPr>
          <w:p w:rsidR="007357F7" w:rsidRDefault="007357F7"/>
        </w:tc>
        <w:tc>
          <w:tcPr>
            <w:tcW w:w="375" w:type="pct"/>
            <w:vMerge/>
            <w:vAlign w:val="center"/>
          </w:tcPr>
          <w:p w:rsidR="007357F7" w:rsidRDefault="007357F7"/>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支付</w:t>
            </w:r>
          </w:p>
          <w:p w:rsidR="007357F7" w:rsidRDefault="00C023AC">
            <w:pPr>
              <w:spacing w:line="240" w:lineRule="exact"/>
              <w:jc w:val="center"/>
              <w:rPr>
                <w:rFonts w:ascii="宋体" w:cs="宋体"/>
              </w:rPr>
            </w:pPr>
            <w:r>
              <w:rPr>
                <w:rFonts w:ascii="宋体" w:cs="宋体" w:hint="eastAsia"/>
              </w:rPr>
              <w:t>进度率（</w:t>
            </w:r>
            <w:r>
              <w:rPr>
                <w:rFonts w:ascii="宋体" w:cs="宋体"/>
              </w:rPr>
              <w:t>2</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部门实际支付进度与既定支付进度的比率，用以反映和考核部门预算执行的及时性和均衡性程度。</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支付进度率</w:t>
            </w:r>
            <w:r>
              <w:rPr>
                <w:rFonts w:ascii="宋体" w:cs="宋体"/>
              </w:rPr>
              <w:t>=</w:t>
            </w:r>
            <w:r>
              <w:rPr>
                <w:rFonts w:ascii="宋体" w:cs="宋体" w:hint="eastAsia"/>
              </w:rPr>
              <w:t>（实际支付进度</w:t>
            </w:r>
            <w:r>
              <w:rPr>
                <w:rFonts w:ascii="宋体" w:cs="宋体"/>
              </w:rPr>
              <w:t>/</w:t>
            </w:r>
            <w:r>
              <w:rPr>
                <w:rFonts w:ascii="宋体" w:cs="宋体" w:hint="eastAsia"/>
              </w:rPr>
              <w:t>既定支付进度）×</w:t>
            </w:r>
            <w:r>
              <w:rPr>
                <w:rFonts w:ascii="宋体" w:cs="宋体"/>
              </w:rPr>
              <w:t>100%</w:t>
            </w:r>
            <w:r>
              <w:rPr>
                <w:rFonts w:ascii="宋体" w:cs="宋体" w:hint="eastAsia"/>
              </w:rPr>
              <w:t>。</w:t>
            </w:r>
            <w:r>
              <w:rPr>
                <w:rFonts w:ascii="宋体" w:cs="宋体"/>
              </w:rPr>
              <w:br/>
            </w:r>
            <w:r>
              <w:rPr>
                <w:rFonts w:ascii="宋体" w:cs="宋体" w:hint="eastAsia"/>
              </w:rPr>
              <w:t>实际支付进度：部门在某一时点的支出预算执行总数与年度支出预算数的比率。</w:t>
            </w:r>
            <w:r>
              <w:rPr>
                <w:rFonts w:ascii="宋体" w:cs="宋体"/>
              </w:rPr>
              <w:br/>
            </w:r>
            <w:r>
              <w:rPr>
                <w:rFonts w:ascii="宋体" w:cs="宋体" w:hint="eastAsia"/>
              </w:rPr>
              <w:t>既定支付进度：由部门在申报部门整体绩效目标时，参照序时支付进度、前三年支付进度、本级部门平均支付进度水平等确定的，在某一时点应达到的支付进度（比率）。</w:t>
            </w:r>
          </w:p>
        </w:tc>
      </w:tr>
      <w:tr w:rsidR="007357F7">
        <w:trPr>
          <w:trHeight w:val="1209"/>
          <w:jc w:val="center"/>
        </w:trPr>
        <w:tc>
          <w:tcPr>
            <w:tcW w:w="306" w:type="pct"/>
            <w:vMerge/>
            <w:noWrap/>
            <w:tcMar>
              <w:top w:w="10" w:type="dxa"/>
              <w:left w:w="10" w:type="dxa"/>
              <w:right w:w="10" w:type="dxa"/>
            </w:tcMar>
            <w:textDirection w:val="tbRlV"/>
            <w:vAlign w:val="center"/>
          </w:tcPr>
          <w:p w:rsidR="007357F7" w:rsidRDefault="007357F7"/>
        </w:tc>
        <w:tc>
          <w:tcPr>
            <w:tcW w:w="375" w:type="pct"/>
            <w:vMerge/>
            <w:tcMar>
              <w:top w:w="10" w:type="dxa"/>
              <w:left w:w="10" w:type="dxa"/>
              <w:right w:w="10" w:type="dxa"/>
            </w:tcMar>
            <w:vAlign w:val="center"/>
          </w:tcPr>
          <w:p w:rsidR="007357F7" w:rsidRDefault="007357F7"/>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结转</w:t>
            </w:r>
          </w:p>
          <w:p w:rsidR="007357F7" w:rsidRDefault="00C023AC">
            <w:pPr>
              <w:spacing w:line="240" w:lineRule="exact"/>
              <w:jc w:val="center"/>
              <w:rPr>
                <w:rFonts w:ascii="宋体" w:cs="宋体"/>
              </w:rPr>
            </w:pPr>
            <w:r>
              <w:rPr>
                <w:rFonts w:ascii="宋体" w:cs="宋体" w:hint="eastAsia"/>
              </w:rPr>
              <w:t>结余率（</w:t>
            </w:r>
            <w:r>
              <w:rPr>
                <w:rFonts w:ascii="宋体" w:cs="宋体"/>
              </w:rPr>
              <w:t>2</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部门本年度结转结余总额与支出预算数的比率，用以反映和考核部门对本年度结转结余资金的实际控制程度。</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结转结余率</w:t>
            </w:r>
            <w:r>
              <w:rPr>
                <w:rFonts w:ascii="宋体" w:cs="宋体"/>
              </w:rPr>
              <w:t>=</w:t>
            </w:r>
            <w:r>
              <w:rPr>
                <w:rFonts w:ascii="宋体" w:cs="宋体" w:hint="eastAsia"/>
              </w:rPr>
              <w:t>结转结余总额</w:t>
            </w:r>
            <w:r>
              <w:rPr>
                <w:rFonts w:ascii="宋体" w:cs="宋体"/>
              </w:rPr>
              <w:t>/</w:t>
            </w:r>
            <w:r>
              <w:rPr>
                <w:rFonts w:ascii="宋体" w:cs="宋体" w:hint="eastAsia"/>
              </w:rPr>
              <w:t>支出预算数×</w:t>
            </w:r>
            <w:r>
              <w:rPr>
                <w:rFonts w:ascii="宋体" w:cs="宋体"/>
              </w:rPr>
              <w:t>100%</w:t>
            </w:r>
            <w:r>
              <w:rPr>
                <w:rFonts w:ascii="宋体" w:cs="宋体" w:hint="eastAsia"/>
              </w:rPr>
              <w:t>。</w:t>
            </w:r>
            <w:r>
              <w:rPr>
                <w:rFonts w:ascii="宋体" w:cs="宋体"/>
              </w:rPr>
              <w:br/>
            </w:r>
            <w:r>
              <w:rPr>
                <w:rFonts w:ascii="宋体" w:cs="宋体" w:hint="eastAsia"/>
              </w:rPr>
              <w:t>结转结余总额：部门本年度的结转资金与结余资金之和（以决算数为准）。</w:t>
            </w:r>
          </w:p>
        </w:tc>
      </w:tr>
      <w:tr w:rsidR="007357F7">
        <w:trPr>
          <w:trHeight w:val="1113"/>
          <w:jc w:val="center"/>
        </w:trPr>
        <w:tc>
          <w:tcPr>
            <w:tcW w:w="306" w:type="pct"/>
            <w:vMerge/>
            <w:vAlign w:val="center"/>
          </w:tcPr>
          <w:p w:rsidR="007357F7" w:rsidRDefault="007357F7"/>
        </w:tc>
        <w:tc>
          <w:tcPr>
            <w:tcW w:w="375" w:type="pct"/>
            <w:vMerge/>
            <w:vAlign w:val="center"/>
          </w:tcPr>
          <w:p w:rsidR="007357F7" w:rsidRDefault="007357F7"/>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结转结余</w:t>
            </w:r>
          </w:p>
          <w:p w:rsidR="007357F7" w:rsidRDefault="00C023AC">
            <w:pPr>
              <w:spacing w:line="240" w:lineRule="exact"/>
              <w:jc w:val="center"/>
              <w:rPr>
                <w:rFonts w:ascii="宋体" w:cs="宋体"/>
              </w:rPr>
            </w:pPr>
            <w:r>
              <w:rPr>
                <w:rFonts w:ascii="宋体" w:cs="宋体" w:hint="eastAsia"/>
              </w:rPr>
              <w:t>变动率（</w:t>
            </w:r>
            <w:r>
              <w:rPr>
                <w:rFonts w:ascii="宋体" w:cs="宋体"/>
              </w:rPr>
              <w:t>2</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部门本年度结转结余资金总额与上年度结转结余资金总额的变动比率，用以反映和考核部门对控制结转结余资金的努力程度。</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结转结余变动率</w:t>
            </w:r>
            <w:r>
              <w:rPr>
                <w:rFonts w:ascii="宋体" w:cs="宋体"/>
              </w:rPr>
              <w:t>=[</w:t>
            </w:r>
            <w:r>
              <w:rPr>
                <w:rFonts w:ascii="宋体" w:cs="宋体" w:hint="eastAsia"/>
              </w:rPr>
              <w:t>（本年度累计结转结余资金总额</w:t>
            </w:r>
            <w:r>
              <w:rPr>
                <w:rFonts w:ascii="宋体" w:cs="宋体"/>
              </w:rPr>
              <w:t>-</w:t>
            </w:r>
            <w:r>
              <w:rPr>
                <w:rFonts w:ascii="宋体" w:cs="宋体" w:hint="eastAsia"/>
              </w:rPr>
              <w:t>上年度累计结转结余资金总额）</w:t>
            </w:r>
            <w:r>
              <w:rPr>
                <w:rFonts w:ascii="宋体" w:cs="宋体"/>
              </w:rPr>
              <w:t>/</w:t>
            </w:r>
            <w:r>
              <w:rPr>
                <w:rFonts w:ascii="宋体" w:cs="宋体" w:hint="eastAsia"/>
              </w:rPr>
              <w:t>上年度累计结转结余资金总额</w:t>
            </w:r>
            <w:r>
              <w:rPr>
                <w:rFonts w:ascii="宋体" w:cs="宋体"/>
              </w:rPr>
              <w:t>]</w:t>
            </w:r>
            <w:r>
              <w:rPr>
                <w:rFonts w:ascii="宋体" w:cs="宋体" w:hint="eastAsia"/>
              </w:rPr>
              <w:t>×</w:t>
            </w:r>
            <w:r>
              <w:rPr>
                <w:rFonts w:ascii="宋体" w:cs="宋体"/>
              </w:rPr>
              <w:t>100%</w:t>
            </w:r>
            <w:r>
              <w:rPr>
                <w:rFonts w:ascii="宋体" w:cs="宋体" w:hint="eastAsia"/>
              </w:rPr>
              <w:t>。</w:t>
            </w:r>
          </w:p>
        </w:tc>
      </w:tr>
      <w:tr w:rsidR="007357F7">
        <w:trPr>
          <w:trHeight w:val="1315"/>
          <w:jc w:val="center"/>
        </w:trPr>
        <w:tc>
          <w:tcPr>
            <w:tcW w:w="306" w:type="pct"/>
            <w:vMerge/>
            <w:vAlign w:val="center"/>
          </w:tcPr>
          <w:p w:rsidR="007357F7" w:rsidRDefault="007357F7"/>
        </w:tc>
        <w:tc>
          <w:tcPr>
            <w:tcW w:w="375" w:type="pct"/>
            <w:vMerge/>
            <w:vAlign w:val="center"/>
          </w:tcPr>
          <w:p w:rsidR="007357F7" w:rsidRDefault="007357F7"/>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公用经费</w:t>
            </w:r>
          </w:p>
          <w:p w:rsidR="007357F7" w:rsidRDefault="00C023AC">
            <w:pPr>
              <w:spacing w:line="240" w:lineRule="exact"/>
              <w:jc w:val="center"/>
              <w:rPr>
                <w:rFonts w:ascii="宋体" w:cs="宋体"/>
              </w:rPr>
            </w:pPr>
            <w:r>
              <w:rPr>
                <w:rFonts w:ascii="宋体" w:cs="宋体" w:hint="eastAsia"/>
              </w:rPr>
              <w:t>控制率（</w:t>
            </w:r>
            <w:r>
              <w:rPr>
                <w:rFonts w:ascii="宋体" w:cs="宋体"/>
              </w:rPr>
              <w:t>2</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部门本年度实际支出的公用经费总额与预算安排的公用经费总额的比率，用以反映和考核部门对机构运转成本的实际控制程度。</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公用经费控制率</w:t>
            </w:r>
            <w:r>
              <w:rPr>
                <w:rFonts w:ascii="宋体" w:cs="宋体"/>
              </w:rPr>
              <w:t>=</w:t>
            </w:r>
            <w:r>
              <w:rPr>
                <w:rFonts w:ascii="宋体" w:cs="宋体" w:hint="eastAsia"/>
              </w:rPr>
              <w:t>（实际支出公用经费总额</w:t>
            </w:r>
            <w:r>
              <w:rPr>
                <w:rFonts w:ascii="宋体" w:cs="宋体"/>
              </w:rPr>
              <w:t>/</w:t>
            </w:r>
            <w:r>
              <w:rPr>
                <w:rFonts w:ascii="宋体" w:cs="宋体" w:hint="eastAsia"/>
              </w:rPr>
              <w:t>预算安排公用经费总额）×</w:t>
            </w:r>
            <w:r>
              <w:rPr>
                <w:rFonts w:ascii="宋体" w:cs="宋体"/>
              </w:rPr>
              <w:t>100%</w:t>
            </w:r>
            <w:r>
              <w:rPr>
                <w:rFonts w:ascii="宋体" w:cs="宋体" w:hint="eastAsia"/>
              </w:rPr>
              <w:t>。</w:t>
            </w:r>
          </w:p>
        </w:tc>
      </w:tr>
      <w:tr w:rsidR="007357F7">
        <w:trPr>
          <w:trHeight w:val="1018"/>
          <w:jc w:val="center"/>
        </w:trPr>
        <w:tc>
          <w:tcPr>
            <w:tcW w:w="306" w:type="pct"/>
            <w:vMerge/>
            <w:vAlign w:val="center"/>
          </w:tcPr>
          <w:p w:rsidR="007357F7" w:rsidRDefault="007357F7"/>
        </w:tc>
        <w:tc>
          <w:tcPr>
            <w:tcW w:w="375" w:type="pct"/>
            <w:vMerge/>
            <w:vAlign w:val="center"/>
          </w:tcPr>
          <w:p w:rsidR="007357F7" w:rsidRDefault="007357F7"/>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“三公经费”控制率（</w:t>
            </w:r>
            <w:r>
              <w:rPr>
                <w:rFonts w:ascii="宋体" w:cs="宋体"/>
              </w:rPr>
              <w:t>2</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部门本年度“三公经费”实际支出数与预算安排数的比率，用以反映和考核部门对“三公经费”的实际控制程度。</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“三公经费”控制率</w:t>
            </w:r>
            <w:r>
              <w:rPr>
                <w:rFonts w:ascii="宋体" w:cs="宋体"/>
              </w:rPr>
              <w:t>=</w:t>
            </w:r>
            <w:r>
              <w:rPr>
                <w:rFonts w:ascii="宋体" w:cs="宋体" w:hint="eastAsia"/>
              </w:rPr>
              <w:t>（“三公经费”实际支出数</w:t>
            </w:r>
            <w:r>
              <w:rPr>
                <w:rFonts w:ascii="宋体" w:cs="宋体"/>
              </w:rPr>
              <w:t>/</w:t>
            </w:r>
            <w:r>
              <w:rPr>
                <w:rFonts w:ascii="宋体" w:cs="宋体" w:hint="eastAsia"/>
              </w:rPr>
              <w:t>“三公经费”预算安排数）×</w:t>
            </w:r>
            <w:r>
              <w:rPr>
                <w:rFonts w:ascii="宋体" w:cs="宋体"/>
              </w:rPr>
              <w:t>100%</w:t>
            </w:r>
            <w:r>
              <w:rPr>
                <w:rFonts w:ascii="宋体" w:cs="宋体" w:hint="eastAsia"/>
              </w:rPr>
              <w:t>。</w:t>
            </w:r>
          </w:p>
        </w:tc>
      </w:tr>
      <w:tr w:rsidR="007357F7">
        <w:trPr>
          <w:trHeight w:val="1320"/>
          <w:jc w:val="center"/>
        </w:trPr>
        <w:tc>
          <w:tcPr>
            <w:tcW w:w="306" w:type="pct"/>
            <w:vMerge/>
            <w:vAlign w:val="center"/>
          </w:tcPr>
          <w:p w:rsidR="007357F7" w:rsidRDefault="007357F7"/>
        </w:tc>
        <w:tc>
          <w:tcPr>
            <w:tcW w:w="375" w:type="pct"/>
            <w:vMerge/>
            <w:vAlign w:val="center"/>
          </w:tcPr>
          <w:p w:rsidR="007357F7" w:rsidRDefault="007357F7"/>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政府采购</w:t>
            </w:r>
          </w:p>
          <w:p w:rsidR="007357F7" w:rsidRDefault="00C023AC">
            <w:pPr>
              <w:spacing w:line="240" w:lineRule="exact"/>
              <w:jc w:val="center"/>
              <w:rPr>
                <w:rFonts w:ascii="宋体" w:cs="宋体"/>
              </w:rPr>
            </w:pPr>
            <w:r>
              <w:rPr>
                <w:rFonts w:ascii="宋体" w:cs="宋体" w:hint="eastAsia"/>
              </w:rPr>
              <w:t>执行率（</w:t>
            </w:r>
            <w:r>
              <w:rPr>
                <w:rFonts w:ascii="宋体" w:cs="宋体"/>
              </w:rPr>
              <w:t>4</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部门本年度实际政府采购金额与年初政府采购预算的比率，用以反映和考核部门政府采购预算执行情况。</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政府采购执行率</w:t>
            </w:r>
            <w:r>
              <w:rPr>
                <w:rFonts w:ascii="宋体" w:cs="宋体"/>
              </w:rPr>
              <w:t>=</w:t>
            </w:r>
            <w:r>
              <w:rPr>
                <w:rFonts w:ascii="宋体" w:cs="宋体" w:hint="eastAsia"/>
              </w:rPr>
              <w:t>（实际政府采购金额</w:t>
            </w:r>
            <w:r>
              <w:rPr>
                <w:rFonts w:ascii="宋体" w:cs="宋体"/>
              </w:rPr>
              <w:t>/</w:t>
            </w:r>
            <w:r>
              <w:rPr>
                <w:rFonts w:ascii="宋体" w:cs="宋体" w:hint="eastAsia"/>
              </w:rPr>
              <w:t>政府采购预算数）×</w:t>
            </w:r>
            <w:r>
              <w:rPr>
                <w:rFonts w:ascii="宋体" w:cs="宋体"/>
              </w:rPr>
              <w:t>100%</w:t>
            </w:r>
            <w:r>
              <w:rPr>
                <w:rFonts w:ascii="宋体" w:cs="宋体" w:hint="eastAsia"/>
              </w:rPr>
              <w:t>；</w:t>
            </w:r>
            <w:r>
              <w:rPr>
                <w:rFonts w:ascii="宋体" w:cs="宋体"/>
              </w:rPr>
              <w:br/>
            </w:r>
            <w:r>
              <w:rPr>
                <w:rFonts w:ascii="宋体" w:cs="宋体" w:hint="eastAsia"/>
              </w:rPr>
              <w:t>政府采购预算：采购机关根据事业发展计划和行政任务编制的、并经过规定程序批准的年度政府采购计划。</w:t>
            </w:r>
            <w:r>
              <w:rPr>
                <w:rFonts w:ascii="宋体" w:cs="宋体"/>
              </w:rPr>
              <w:t xml:space="preserve"> </w:t>
            </w:r>
          </w:p>
        </w:tc>
      </w:tr>
      <w:tr w:rsidR="007357F7">
        <w:trPr>
          <w:trHeight w:val="1730"/>
          <w:jc w:val="center"/>
        </w:trPr>
        <w:tc>
          <w:tcPr>
            <w:tcW w:w="306" w:type="pct"/>
            <w:vMerge w:val="restart"/>
            <w:vAlign w:val="center"/>
          </w:tcPr>
          <w:p w:rsidR="007357F7" w:rsidRDefault="00C023AC">
            <w:pPr>
              <w:spacing w:line="240" w:lineRule="exact"/>
              <w:jc w:val="center"/>
              <w:rPr>
                <w:rFonts w:ascii="宋体" w:cs="宋体"/>
              </w:rPr>
            </w:pPr>
            <w:r>
              <w:rPr>
                <w:rFonts w:ascii="宋体" w:cs="宋体" w:hint="eastAsia"/>
              </w:rPr>
              <w:t>过</w:t>
            </w:r>
          </w:p>
          <w:p w:rsidR="007357F7" w:rsidRDefault="00C023AC">
            <w:pPr>
              <w:spacing w:line="240" w:lineRule="exact"/>
              <w:jc w:val="center"/>
              <w:rPr>
                <w:rFonts w:ascii="宋体" w:cs="宋体"/>
              </w:rPr>
            </w:pPr>
            <w:r>
              <w:rPr>
                <w:rFonts w:ascii="宋体" w:cs="宋体" w:hint="eastAsia"/>
              </w:rPr>
              <w:t>程（</w:t>
            </w:r>
            <w:r>
              <w:rPr>
                <w:rFonts w:ascii="宋体" w:cs="宋体"/>
              </w:rPr>
              <w:t>30</w:t>
            </w:r>
            <w:r>
              <w:rPr>
                <w:rFonts w:ascii="宋体" w:cs="宋体" w:hint="eastAsia"/>
              </w:rPr>
              <w:t>分）</w:t>
            </w:r>
          </w:p>
        </w:tc>
        <w:tc>
          <w:tcPr>
            <w:tcW w:w="375" w:type="pct"/>
            <w:vMerge w:val="restar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预算</w:t>
            </w:r>
            <w:r>
              <w:rPr>
                <w:rFonts w:ascii="宋体" w:cs="宋体"/>
              </w:rPr>
              <w:br/>
            </w:r>
            <w:r>
              <w:rPr>
                <w:rFonts w:ascii="宋体" w:cs="宋体" w:hint="eastAsia"/>
              </w:rPr>
              <w:t>管理（</w:t>
            </w:r>
            <w:r>
              <w:rPr>
                <w:rFonts w:ascii="宋体" w:cs="宋体"/>
              </w:rPr>
              <w:t>5</w:t>
            </w:r>
            <w:r>
              <w:rPr>
                <w:rFonts w:ascii="宋体" w:cs="宋体" w:hint="eastAsia"/>
              </w:rPr>
              <w:t>分）</w:t>
            </w:r>
          </w:p>
          <w:p w:rsidR="007357F7" w:rsidRDefault="00C023AC">
            <w:pPr>
              <w:spacing w:line="240" w:lineRule="exact"/>
              <w:jc w:val="center"/>
              <w:rPr>
                <w:rFonts w:ascii="宋体" w:cs="宋体"/>
              </w:rPr>
            </w:pPr>
            <w:r>
              <w:rPr>
                <w:rFonts w:ascii="宋体" w:cs="宋体" w:hint="eastAsia"/>
              </w:rPr>
              <w:t>）</w:t>
            </w:r>
          </w:p>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管理制度</w:t>
            </w:r>
          </w:p>
          <w:p w:rsidR="007357F7" w:rsidRDefault="00C023AC">
            <w:pPr>
              <w:spacing w:line="240" w:lineRule="exact"/>
              <w:jc w:val="center"/>
              <w:rPr>
                <w:rFonts w:ascii="宋体" w:cs="宋体"/>
              </w:rPr>
            </w:pPr>
            <w:r>
              <w:rPr>
                <w:rFonts w:ascii="宋体" w:cs="宋体" w:hint="eastAsia"/>
              </w:rPr>
              <w:t>健全性（</w:t>
            </w:r>
            <w:r>
              <w:rPr>
                <w:rFonts w:ascii="宋体" w:cs="宋体"/>
              </w:rPr>
              <w:t>2</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部门为加强预算管理、规范财务行为而制定的管理制度是否健全完整，用以反映和考核部门预算管理制度对完成主要职责或促进事业发展的保障情况。</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评价要点：</w:t>
            </w:r>
            <w:r>
              <w:rPr>
                <w:rFonts w:ascii="宋体" w:cs="宋体"/>
              </w:rPr>
              <w:br/>
            </w:r>
            <w:r>
              <w:rPr>
                <w:rFonts w:ascii="宋体" w:cs="宋体" w:hint="eastAsia"/>
              </w:rPr>
              <w:t>①是否已制定或具有预算资金管理办法、内部财务管理制度、会计核算制度等管理制度；</w:t>
            </w:r>
            <w:r>
              <w:rPr>
                <w:rFonts w:ascii="宋体" w:cs="宋体"/>
              </w:rPr>
              <w:br/>
            </w:r>
            <w:r>
              <w:rPr>
                <w:rFonts w:ascii="宋体" w:cs="宋体" w:hint="eastAsia"/>
              </w:rPr>
              <w:t>②相关管理制度是否合法、合规、完整；</w:t>
            </w:r>
            <w:r>
              <w:rPr>
                <w:rFonts w:ascii="宋体" w:cs="宋体"/>
              </w:rPr>
              <w:br/>
            </w:r>
            <w:r>
              <w:rPr>
                <w:rFonts w:ascii="宋体" w:cs="宋体" w:hint="eastAsia"/>
              </w:rPr>
              <w:t>③相关管理制度是否得到有效执行。</w:t>
            </w:r>
          </w:p>
        </w:tc>
      </w:tr>
      <w:tr w:rsidR="007357F7">
        <w:trPr>
          <w:trHeight w:val="2537"/>
          <w:jc w:val="center"/>
        </w:trPr>
        <w:tc>
          <w:tcPr>
            <w:tcW w:w="306" w:type="pct"/>
            <w:vMerge/>
            <w:vAlign w:val="center"/>
          </w:tcPr>
          <w:p w:rsidR="007357F7" w:rsidRDefault="007357F7"/>
        </w:tc>
        <w:tc>
          <w:tcPr>
            <w:tcW w:w="375" w:type="pct"/>
            <w:vMerge/>
            <w:vAlign w:val="center"/>
          </w:tcPr>
          <w:p w:rsidR="007357F7" w:rsidRDefault="007357F7"/>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资金使用</w:t>
            </w:r>
          </w:p>
          <w:p w:rsidR="007357F7" w:rsidRDefault="00C023AC">
            <w:pPr>
              <w:spacing w:line="240" w:lineRule="exact"/>
              <w:jc w:val="center"/>
              <w:rPr>
                <w:rFonts w:ascii="宋体" w:cs="宋体"/>
              </w:rPr>
            </w:pPr>
            <w:r>
              <w:rPr>
                <w:rFonts w:ascii="宋体" w:cs="宋体" w:hint="eastAsia"/>
              </w:rPr>
              <w:t>合规性（</w:t>
            </w:r>
            <w:r>
              <w:rPr>
                <w:rFonts w:ascii="宋体" w:cs="宋体"/>
              </w:rPr>
              <w:t>1</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部门使用预算资金是否符合相关的预算财务管理制度的规定，用以反映和考核部门预算资金的规范运行情况。</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评价要点：</w:t>
            </w:r>
            <w:r>
              <w:rPr>
                <w:rFonts w:ascii="宋体" w:cs="宋体"/>
              </w:rPr>
              <w:br/>
            </w:r>
            <w:r>
              <w:rPr>
                <w:rFonts w:ascii="宋体" w:cs="宋体" w:hint="eastAsia"/>
              </w:rPr>
              <w:t>①是否符合国家财经法规和财务管理制度规定以及有关预算支出管理办法的规定；</w:t>
            </w:r>
            <w:r>
              <w:rPr>
                <w:rFonts w:ascii="宋体" w:cs="宋体"/>
              </w:rPr>
              <w:br/>
            </w:r>
            <w:r>
              <w:rPr>
                <w:rFonts w:ascii="宋体" w:cs="宋体" w:hint="eastAsia"/>
              </w:rPr>
              <w:t>②资金的拨付是否有完整的审批程序和手续；</w:t>
            </w:r>
            <w:r>
              <w:rPr>
                <w:rFonts w:ascii="宋体" w:cs="宋体"/>
              </w:rPr>
              <w:br/>
            </w:r>
            <w:r>
              <w:rPr>
                <w:rFonts w:ascii="宋体" w:cs="宋体" w:hint="eastAsia"/>
              </w:rPr>
              <w:t>③预算支出的重大开支是否经过评估论证；</w:t>
            </w:r>
            <w:r>
              <w:rPr>
                <w:rFonts w:ascii="宋体" w:cs="宋体"/>
              </w:rPr>
              <w:br/>
            </w:r>
            <w:r>
              <w:rPr>
                <w:rFonts w:ascii="宋体" w:cs="宋体" w:hint="eastAsia"/>
              </w:rPr>
              <w:t>④是否符合部门预算批复的用途；</w:t>
            </w:r>
            <w:r>
              <w:rPr>
                <w:rFonts w:ascii="宋体" w:cs="宋体"/>
              </w:rPr>
              <w:br/>
            </w:r>
            <w:r>
              <w:rPr>
                <w:rFonts w:ascii="宋体" w:cs="宋体" w:hint="eastAsia"/>
              </w:rPr>
              <w:t>⑤是否存在截留、挤占、挪用、虚列支出等情况。</w:t>
            </w:r>
          </w:p>
        </w:tc>
      </w:tr>
      <w:tr w:rsidR="007357F7">
        <w:trPr>
          <w:trHeight w:val="1272"/>
          <w:jc w:val="center"/>
        </w:trPr>
        <w:tc>
          <w:tcPr>
            <w:tcW w:w="306" w:type="pct"/>
            <w:vMerge/>
            <w:vAlign w:val="center"/>
          </w:tcPr>
          <w:p w:rsidR="007357F7" w:rsidRDefault="007357F7"/>
        </w:tc>
        <w:tc>
          <w:tcPr>
            <w:tcW w:w="375" w:type="pct"/>
            <w:vMerge/>
            <w:vAlign w:val="center"/>
          </w:tcPr>
          <w:p w:rsidR="007357F7" w:rsidRDefault="007357F7"/>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预决算信</w:t>
            </w:r>
          </w:p>
          <w:p w:rsidR="007357F7" w:rsidRDefault="00C023AC">
            <w:pPr>
              <w:spacing w:line="240" w:lineRule="exact"/>
              <w:jc w:val="center"/>
              <w:rPr>
                <w:rFonts w:ascii="宋体" w:cs="宋体"/>
              </w:rPr>
            </w:pPr>
            <w:r>
              <w:rPr>
                <w:rFonts w:ascii="宋体" w:cs="宋体" w:hint="eastAsia"/>
              </w:rPr>
              <w:t>息公开性（</w:t>
            </w:r>
            <w:r>
              <w:rPr>
                <w:rFonts w:ascii="宋体" w:cs="宋体"/>
              </w:rPr>
              <w:t>1</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部门是否按照政府信息公开有关规定公开相关预决算信息，用以反映和考核部门预决算管理的公开透明情况。</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评价要点：</w:t>
            </w:r>
            <w:r>
              <w:rPr>
                <w:rFonts w:ascii="宋体" w:cs="宋体"/>
              </w:rPr>
              <w:br/>
            </w:r>
            <w:r>
              <w:rPr>
                <w:rFonts w:ascii="宋体" w:cs="宋体" w:hint="eastAsia"/>
              </w:rPr>
              <w:t>①是否按规定内容公开预决算信息；</w:t>
            </w:r>
            <w:r>
              <w:rPr>
                <w:rFonts w:ascii="宋体" w:cs="宋体"/>
              </w:rPr>
              <w:br/>
            </w:r>
            <w:r>
              <w:rPr>
                <w:rFonts w:ascii="宋体" w:cs="宋体" w:hint="eastAsia"/>
              </w:rPr>
              <w:t>②是否按规定时限公开预决算信息。</w:t>
            </w:r>
            <w:r>
              <w:rPr>
                <w:rFonts w:ascii="宋体" w:cs="宋体"/>
              </w:rPr>
              <w:br/>
            </w:r>
            <w:r>
              <w:rPr>
                <w:rFonts w:ascii="宋体" w:cs="宋体" w:hint="eastAsia"/>
              </w:rPr>
              <w:t>预决算信息是指与部门预算、执行、决算、监督、绩效等管理相关的信息。</w:t>
            </w:r>
          </w:p>
        </w:tc>
      </w:tr>
      <w:tr w:rsidR="007357F7">
        <w:trPr>
          <w:trHeight w:val="1737"/>
          <w:jc w:val="center"/>
        </w:trPr>
        <w:tc>
          <w:tcPr>
            <w:tcW w:w="306" w:type="pct"/>
            <w:vMerge/>
            <w:vAlign w:val="center"/>
          </w:tcPr>
          <w:p w:rsidR="007357F7" w:rsidRDefault="007357F7"/>
        </w:tc>
        <w:tc>
          <w:tcPr>
            <w:tcW w:w="375" w:type="pct"/>
            <w:vMerge/>
            <w:vAlign w:val="center"/>
          </w:tcPr>
          <w:p w:rsidR="007357F7" w:rsidRDefault="007357F7"/>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基础信息</w:t>
            </w:r>
          </w:p>
          <w:p w:rsidR="007357F7" w:rsidRDefault="00C023AC">
            <w:pPr>
              <w:spacing w:line="240" w:lineRule="exact"/>
              <w:jc w:val="center"/>
              <w:rPr>
                <w:rFonts w:ascii="宋体" w:cs="宋体"/>
              </w:rPr>
            </w:pPr>
            <w:r>
              <w:rPr>
                <w:rFonts w:ascii="宋体" w:cs="宋体" w:hint="eastAsia"/>
              </w:rPr>
              <w:t>完善性（</w:t>
            </w:r>
            <w:r>
              <w:rPr>
                <w:rFonts w:ascii="宋体" w:cs="宋体"/>
              </w:rPr>
              <w:t>1</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部门基础信息是否完善，用以反映和考核基础信息对预算管理工作的支撑情况。</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评价要点：</w:t>
            </w:r>
            <w:r>
              <w:rPr>
                <w:rFonts w:ascii="宋体" w:cs="宋体"/>
              </w:rPr>
              <w:br/>
            </w:r>
            <w:r>
              <w:rPr>
                <w:rFonts w:ascii="宋体" w:cs="宋体" w:hint="eastAsia"/>
              </w:rPr>
              <w:t>①基础数据信息和会计信息资料是否真实；</w:t>
            </w:r>
            <w:r>
              <w:rPr>
                <w:rFonts w:ascii="宋体" w:cs="宋体"/>
              </w:rPr>
              <w:br/>
            </w:r>
            <w:r>
              <w:rPr>
                <w:rFonts w:ascii="宋体" w:cs="宋体" w:hint="eastAsia"/>
              </w:rPr>
              <w:t>②基础数据信息和会计信息资料是否完整；</w:t>
            </w:r>
            <w:r>
              <w:rPr>
                <w:rFonts w:ascii="宋体" w:cs="宋体"/>
              </w:rPr>
              <w:br/>
            </w:r>
            <w:r>
              <w:rPr>
                <w:rFonts w:ascii="宋体" w:cs="宋体" w:hint="eastAsia"/>
              </w:rPr>
              <w:t>③基础数据信息和会计信息资料是否准确。</w:t>
            </w:r>
          </w:p>
        </w:tc>
      </w:tr>
      <w:tr w:rsidR="007357F7">
        <w:trPr>
          <w:trHeight w:val="1389"/>
          <w:jc w:val="center"/>
        </w:trPr>
        <w:tc>
          <w:tcPr>
            <w:tcW w:w="306" w:type="pct"/>
            <w:vMerge/>
            <w:noWrap/>
            <w:tcMar>
              <w:top w:w="10" w:type="dxa"/>
              <w:left w:w="10" w:type="dxa"/>
              <w:right w:w="10" w:type="dxa"/>
            </w:tcMar>
            <w:textDirection w:val="tbRlV"/>
            <w:vAlign w:val="center"/>
          </w:tcPr>
          <w:p w:rsidR="007357F7" w:rsidRDefault="007357F7"/>
        </w:tc>
        <w:tc>
          <w:tcPr>
            <w:tcW w:w="375" w:type="pct"/>
            <w:vMerge w:val="restar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资产</w:t>
            </w:r>
            <w:r>
              <w:rPr>
                <w:rFonts w:ascii="宋体" w:cs="宋体"/>
              </w:rPr>
              <w:br/>
            </w:r>
            <w:r>
              <w:rPr>
                <w:rFonts w:ascii="宋体" w:cs="宋体" w:hint="eastAsia"/>
              </w:rPr>
              <w:t>管理（</w:t>
            </w:r>
            <w:r>
              <w:rPr>
                <w:rFonts w:ascii="宋体" w:cs="宋体"/>
              </w:rPr>
              <w:t>5</w:t>
            </w:r>
            <w:r>
              <w:rPr>
                <w:rFonts w:ascii="宋体" w:cs="宋体" w:hint="eastAsia"/>
              </w:rPr>
              <w:t>分）</w:t>
            </w:r>
          </w:p>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管理制度</w:t>
            </w:r>
          </w:p>
          <w:p w:rsidR="007357F7" w:rsidRDefault="00C023AC">
            <w:pPr>
              <w:spacing w:line="240" w:lineRule="exact"/>
              <w:jc w:val="center"/>
              <w:rPr>
                <w:rFonts w:ascii="宋体" w:cs="宋体"/>
              </w:rPr>
            </w:pPr>
            <w:r>
              <w:rPr>
                <w:rFonts w:ascii="宋体" w:cs="宋体" w:hint="eastAsia"/>
              </w:rPr>
              <w:t>健全性（</w:t>
            </w:r>
            <w:r>
              <w:rPr>
                <w:rFonts w:ascii="宋体" w:cs="宋体"/>
              </w:rPr>
              <w:t>2</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rightChars="50" w:right="105"/>
              <w:rPr>
                <w:rFonts w:ascii="宋体" w:cs="宋体"/>
              </w:rPr>
            </w:pP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部门为加强资产管理、规范资产管理行为而制定的管理制度是否健全完整，用以反映和考核部门资产管理制度对完成主要职责或促进社会发展的保障情况。</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评价要点：</w:t>
            </w:r>
            <w:r>
              <w:rPr>
                <w:rFonts w:ascii="宋体" w:cs="宋体"/>
              </w:rPr>
              <w:br/>
            </w:r>
            <w:r>
              <w:rPr>
                <w:rFonts w:ascii="宋体" w:cs="宋体" w:hint="eastAsia"/>
              </w:rPr>
              <w:t>①是否已制定或具有资产管理制度；</w:t>
            </w:r>
            <w:r>
              <w:rPr>
                <w:rFonts w:ascii="宋体" w:cs="宋体"/>
              </w:rPr>
              <w:t xml:space="preserve">           </w:t>
            </w:r>
            <w:r>
              <w:rPr>
                <w:rFonts w:ascii="宋体" w:cs="宋体" w:hint="eastAsia"/>
              </w:rPr>
              <w:t>②相关资金管理制度是否合法、合规、完整；</w:t>
            </w:r>
            <w:r>
              <w:rPr>
                <w:rFonts w:ascii="宋体" w:cs="宋体"/>
              </w:rPr>
              <w:br/>
            </w:r>
            <w:r>
              <w:rPr>
                <w:rFonts w:ascii="宋体" w:cs="宋体" w:hint="eastAsia"/>
              </w:rPr>
              <w:t>③相关资产管理制度是否得到有效执行。</w:t>
            </w:r>
          </w:p>
        </w:tc>
      </w:tr>
      <w:tr w:rsidR="007357F7">
        <w:trPr>
          <w:trHeight w:val="1887"/>
          <w:jc w:val="center"/>
        </w:trPr>
        <w:tc>
          <w:tcPr>
            <w:tcW w:w="306" w:type="pct"/>
            <w:vMerge/>
            <w:vAlign w:val="center"/>
          </w:tcPr>
          <w:p w:rsidR="007357F7" w:rsidRDefault="007357F7"/>
        </w:tc>
        <w:tc>
          <w:tcPr>
            <w:tcW w:w="375" w:type="pct"/>
            <w:vMerge/>
            <w:vAlign w:val="center"/>
          </w:tcPr>
          <w:p w:rsidR="007357F7" w:rsidRDefault="007357F7"/>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资产管理</w:t>
            </w:r>
          </w:p>
          <w:p w:rsidR="007357F7" w:rsidRDefault="00C023AC">
            <w:pPr>
              <w:spacing w:line="240" w:lineRule="exact"/>
              <w:jc w:val="center"/>
              <w:rPr>
                <w:rFonts w:ascii="宋体" w:cs="宋体"/>
              </w:rPr>
            </w:pPr>
            <w:r>
              <w:rPr>
                <w:rFonts w:ascii="宋体" w:cs="宋体" w:hint="eastAsia"/>
              </w:rPr>
              <w:t>安全性（</w:t>
            </w:r>
            <w:r>
              <w:rPr>
                <w:rFonts w:ascii="宋体" w:cs="宋体"/>
              </w:rPr>
              <w:t>2</w:t>
            </w:r>
            <w:r>
              <w:rPr>
                <w:rFonts w:ascii="宋体" w:cs="宋体" w:hint="eastAsia"/>
              </w:rPr>
              <w:t>分）</w:t>
            </w:r>
          </w:p>
        </w:tc>
        <w:tc>
          <w:tcPr>
            <w:tcW w:w="375" w:type="pct"/>
          </w:tcPr>
          <w:p w:rsidR="007357F7" w:rsidRDefault="007357F7">
            <w:pPr>
              <w:tabs>
                <w:tab w:val="left" w:pos="761"/>
                <w:tab w:val="left" w:pos="2604"/>
              </w:tabs>
              <w:spacing w:line="240" w:lineRule="exact"/>
              <w:ind w:leftChars="50" w:left="105" w:rightChars="50" w:right="105" w:firstLineChars="46" w:firstLine="97"/>
              <w:jc w:val="center"/>
              <w:rPr>
                <w:rFonts w:ascii="宋体" w:cs="宋体"/>
              </w:rPr>
            </w:pPr>
          </w:p>
          <w:p w:rsidR="007357F7" w:rsidRDefault="007357F7">
            <w:pPr>
              <w:tabs>
                <w:tab w:val="left" w:pos="761"/>
                <w:tab w:val="left" w:pos="2604"/>
              </w:tabs>
              <w:spacing w:line="240" w:lineRule="exact"/>
              <w:ind w:leftChars="50" w:left="105" w:rightChars="50" w:right="105" w:firstLineChars="46" w:firstLine="97"/>
              <w:jc w:val="center"/>
              <w:rPr>
                <w:rFonts w:ascii="宋体" w:cs="宋体"/>
              </w:rPr>
            </w:pPr>
          </w:p>
          <w:p w:rsidR="007357F7" w:rsidRDefault="007357F7">
            <w:pPr>
              <w:tabs>
                <w:tab w:val="left" w:pos="761"/>
                <w:tab w:val="left" w:pos="2604"/>
              </w:tabs>
              <w:spacing w:line="240" w:lineRule="exact"/>
              <w:ind w:leftChars="50" w:left="105" w:rightChars="50" w:right="105" w:firstLineChars="46" w:firstLine="97"/>
              <w:jc w:val="center"/>
              <w:rPr>
                <w:rFonts w:ascii="宋体" w:cs="宋体"/>
              </w:rPr>
            </w:pPr>
          </w:p>
          <w:p w:rsidR="007357F7" w:rsidRDefault="00C023AC">
            <w:pPr>
              <w:tabs>
                <w:tab w:val="left" w:pos="761"/>
                <w:tab w:val="left" w:pos="2604"/>
              </w:tabs>
              <w:spacing w:line="240" w:lineRule="exact"/>
              <w:ind w:leftChars="50" w:left="105" w:rightChars="50" w:right="105" w:firstLineChars="46" w:firstLine="97"/>
              <w:jc w:val="center"/>
              <w:rPr>
                <w:rFonts w:ascii="宋体" w:cs="宋体"/>
              </w:rPr>
            </w:pPr>
            <w:r>
              <w:rPr>
                <w:rFonts w:ascii="宋体" w:cs="宋体" w:hint="eastAsia"/>
              </w:rPr>
              <w:t>2</w:t>
            </w:r>
          </w:p>
          <w:p w:rsidR="007357F7" w:rsidRDefault="007357F7">
            <w:pPr>
              <w:tabs>
                <w:tab w:val="left" w:pos="761"/>
                <w:tab w:val="left" w:pos="2604"/>
              </w:tabs>
              <w:spacing w:line="240" w:lineRule="exact"/>
              <w:ind w:leftChars="50" w:left="105" w:rightChars="50" w:right="105" w:firstLineChars="46" w:firstLine="97"/>
              <w:jc w:val="center"/>
              <w:rPr>
                <w:rFonts w:ascii="宋体" w:cs="宋体"/>
              </w:rPr>
            </w:pPr>
          </w:p>
          <w:p w:rsidR="007357F7" w:rsidRDefault="007357F7">
            <w:pPr>
              <w:tabs>
                <w:tab w:val="left" w:pos="761"/>
                <w:tab w:val="left" w:pos="2604"/>
              </w:tabs>
              <w:spacing w:line="240" w:lineRule="exact"/>
              <w:ind w:leftChars="50" w:left="105" w:rightChars="50" w:right="105" w:firstLineChars="46" w:firstLine="97"/>
              <w:jc w:val="center"/>
              <w:rPr>
                <w:rFonts w:ascii="宋体" w:cs="宋体"/>
              </w:rPr>
            </w:pPr>
          </w:p>
        </w:tc>
        <w:tc>
          <w:tcPr>
            <w:tcW w:w="1576" w:type="pct"/>
            <w:tcMar>
              <w:top w:w="10" w:type="dxa"/>
              <w:left w:w="10" w:type="dxa"/>
              <w:right w:w="10" w:type="dxa"/>
            </w:tcMar>
            <w:vAlign w:val="center"/>
          </w:tcPr>
          <w:p w:rsidR="007357F7" w:rsidRDefault="00C023AC">
            <w:pPr>
              <w:tabs>
                <w:tab w:val="left" w:pos="761"/>
                <w:tab w:val="left" w:pos="2604"/>
              </w:tabs>
              <w:spacing w:line="240" w:lineRule="exact"/>
              <w:ind w:leftChars="50" w:left="105" w:rightChars="50" w:right="105" w:firstLineChars="46" w:firstLine="97"/>
              <w:rPr>
                <w:rFonts w:ascii="宋体" w:cs="宋体"/>
              </w:rPr>
            </w:pPr>
            <w:r>
              <w:rPr>
                <w:rFonts w:ascii="宋体" w:cs="宋体" w:hint="eastAsia"/>
              </w:rPr>
              <w:t>部门的资产是否保存完整、使用合规、配置合理、处置规范、收入及时足额上缴，用以反映和考核部门资产安全运行情况。</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评价要点：</w:t>
            </w:r>
            <w:r>
              <w:rPr>
                <w:rFonts w:ascii="宋体" w:cs="宋体"/>
              </w:rPr>
              <w:br/>
            </w:r>
            <w:r>
              <w:rPr>
                <w:rFonts w:ascii="宋体" w:cs="宋体" w:hint="eastAsia"/>
              </w:rPr>
              <w:t>①资产保存是否完整；</w:t>
            </w:r>
            <w:r>
              <w:rPr>
                <w:rFonts w:ascii="宋体" w:cs="宋体"/>
              </w:rPr>
              <w:br/>
            </w:r>
            <w:r>
              <w:rPr>
                <w:rFonts w:ascii="宋体" w:cs="宋体" w:hint="eastAsia"/>
              </w:rPr>
              <w:t>②资产配置是否合理；</w:t>
            </w:r>
            <w:r>
              <w:rPr>
                <w:rFonts w:ascii="宋体" w:cs="宋体"/>
              </w:rPr>
              <w:br/>
            </w:r>
            <w:r>
              <w:rPr>
                <w:rFonts w:ascii="宋体" w:cs="宋体" w:hint="eastAsia"/>
              </w:rPr>
              <w:t>③资产处置是否规范；</w:t>
            </w:r>
            <w:r>
              <w:rPr>
                <w:rFonts w:ascii="宋体" w:cs="宋体"/>
              </w:rPr>
              <w:br/>
            </w:r>
            <w:r>
              <w:rPr>
                <w:rFonts w:ascii="宋体" w:cs="宋体" w:hint="eastAsia"/>
              </w:rPr>
              <w:t>④资产账务管理是否合规，是否帐实相符；</w:t>
            </w:r>
            <w:r>
              <w:rPr>
                <w:rFonts w:ascii="宋体" w:cs="宋体"/>
              </w:rPr>
              <w:br/>
            </w:r>
            <w:r>
              <w:rPr>
                <w:rFonts w:ascii="宋体" w:cs="宋体" w:hint="eastAsia"/>
              </w:rPr>
              <w:t>⑤资产是否有偿使用及处置收入及时足额上缴。</w:t>
            </w:r>
          </w:p>
        </w:tc>
      </w:tr>
      <w:tr w:rsidR="007357F7">
        <w:trPr>
          <w:trHeight w:val="895"/>
          <w:jc w:val="center"/>
        </w:trPr>
        <w:tc>
          <w:tcPr>
            <w:tcW w:w="306" w:type="pct"/>
            <w:vMerge/>
            <w:vAlign w:val="center"/>
          </w:tcPr>
          <w:p w:rsidR="007357F7" w:rsidRDefault="007357F7"/>
        </w:tc>
        <w:tc>
          <w:tcPr>
            <w:tcW w:w="375" w:type="pct"/>
            <w:vMerge/>
            <w:vAlign w:val="center"/>
          </w:tcPr>
          <w:p w:rsidR="007357F7" w:rsidRDefault="007357F7"/>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固定资产</w:t>
            </w:r>
          </w:p>
          <w:p w:rsidR="007357F7" w:rsidRDefault="00C023AC">
            <w:pPr>
              <w:spacing w:line="240" w:lineRule="exact"/>
              <w:jc w:val="center"/>
              <w:rPr>
                <w:rFonts w:ascii="宋体" w:cs="宋体"/>
              </w:rPr>
            </w:pPr>
            <w:r>
              <w:rPr>
                <w:rFonts w:ascii="宋体" w:cs="宋体" w:hint="eastAsia"/>
              </w:rPr>
              <w:t>利用率（</w:t>
            </w:r>
            <w:r>
              <w:rPr>
                <w:rFonts w:ascii="宋体" w:cs="宋体"/>
              </w:rPr>
              <w:t>1</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部门实际在用固定资产总额与所有固定资产总额的比率，用以反映和考核部门固定资产使用效率程度。</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固定资产利用率</w:t>
            </w:r>
            <w:r>
              <w:rPr>
                <w:rFonts w:ascii="宋体" w:cs="宋体"/>
              </w:rPr>
              <w:t>=</w:t>
            </w:r>
            <w:r>
              <w:rPr>
                <w:rFonts w:ascii="宋体" w:cs="宋体" w:hint="eastAsia"/>
              </w:rPr>
              <w:t>（实际在用固定资产总额</w:t>
            </w:r>
            <w:r>
              <w:rPr>
                <w:rFonts w:ascii="宋体" w:cs="宋体"/>
              </w:rPr>
              <w:t>/</w:t>
            </w:r>
            <w:r>
              <w:rPr>
                <w:rFonts w:ascii="宋体" w:cs="宋体" w:hint="eastAsia"/>
              </w:rPr>
              <w:t>所有固定资产总额）×</w:t>
            </w:r>
            <w:r>
              <w:rPr>
                <w:rFonts w:ascii="宋体" w:cs="宋体"/>
              </w:rPr>
              <w:t>100%</w:t>
            </w:r>
            <w:r>
              <w:rPr>
                <w:rFonts w:ascii="宋体" w:cs="宋体" w:hint="eastAsia"/>
              </w:rPr>
              <w:t>。</w:t>
            </w:r>
          </w:p>
        </w:tc>
      </w:tr>
      <w:tr w:rsidR="007357F7">
        <w:trPr>
          <w:trHeight w:val="2171"/>
          <w:jc w:val="center"/>
        </w:trPr>
        <w:tc>
          <w:tcPr>
            <w:tcW w:w="306" w:type="pct"/>
            <w:vMerge w:val="restart"/>
            <w:noWrap/>
            <w:tcMar>
              <w:top w:w="10" w:type="dxa"/>
              <w:left w:w="10" w:type="dxa"/>
              <w:right w:w="10" w:type="dxa"/>
            </w:tcMar>
            <w:textDirection w:val="tbRlV"/>
            <w:vAlign w:val="center"/>
          </w:tcPr>
          <w:p w:rsidR="007357F7" w:rsidRDefault="00C023AC">
            <w:pPr>
              <w:spacing w:line="240" w:lineRule="exact"/>
              <w:jc w:val="center"/>
              <w:rPr>
                <w:rFonts w:ascii="宋体" w:cs="宋体"/>
              </w:rPr>
            </w:pPr>
            <w:r>
              <w:rPr>
                <w:rFonts w:ascii="宋体" w:cs="宋体" w:hint="eastAsia"/>
              </w:rPr>
              <w:lastRenderedPageBreak/>
              <w:t>产</w:t>
            </w:r>
            <w:r>
              <w:rPr>
                <w:rFonts w:ascii="宋体" w:cs="宋体"/>
              </w:rPr>
              <w:t xml:space="preserve">   </w:t>
            </w:r>
            <w:r>
              <w:rPr>
                <w:rFonts w:ascii="宋体" w:cs="宋体" w:hint="eastAsia"/>
              </w:rPr>
              <w:t>出（</w:t>
            </w:r>
            <w:r>
              <w:rPr>
                <w:rFonts w:ascii="宋体" w:cs="宋体"/>
              </w:rPr>
              <w:t>30</w:t>
            </w:r>
            <w:r>
              <w:rPr>
                <w:rFonts w:ascii="宋体" w:cs="宋体" w:hint="eastAsia"/>
              </w:rPr>
              <w:t>分）</w:t>
            </w:r>
          </w:p>
        </w:tc>
        <w:tc>
          <w:tcPr>
            <w:tcW w:w="375" w:type="pct"/>
            <w:vMerge w:val="restar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职责</w:t>
            </w:r>
            <w:r>
              <w:rPr>
                <w:rFonts w:ascii="宋体" w:cs="宋体"/>
              </w:rPr>
              <w:br/>
            </w:r>
            <w:r>
              <w:rPr>
                <w:rFonts w:ascii="宋体" w:cs="宋体" w:hint="eastAsia"/>
              </w:rPr>
              <w:t>履行（</w:t>
            </w:r>
            <w:r>
              <w:rPr>
                <w:rFonts w:ascii="宋体" w:cs="宋体"/>
              </w:rPr>
              <w:t>30</w:t>
            </w:r>
            <w:r>
              <w:rPr>
                <w:rFonts w:ascii="宋体" w:cs="宋体" w:hint="eastAsia"/>
              </w:rPr>
              <w:t>分）</w:t>
            </w:r>
          </w:p>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实际</w:t>
            </w:r>
          </w:p>
          <w:p w:rsidR="007357F7" w:rsidRDefault="00C023AC">
            <w:pPr>
              <w:spacing w:line="240" w:lineRule="exact"/>
              <w:jc w:val="center"/>
              <w:rPr>
                <w:rFonts w:ascii="宋体" w:cs="宋体"/>
              </w:rPr>
            </w:pPr>
            <w:r>
              <w:rPr>
                <w:rFonts w:ascii="宋体" w:cs="宋体" w:hint="eastAsia"/>
              </w:rPr>
              <w:t>完成率（</w:t>
            </w:r>
            <w:r>
              <w:rPr>
                <w:rFonts w:ascii="宋体" w:cs="宋体"/>
              </w:rPr>
              <w:t>8</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7</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部门履行职责而实际完成工作数与计划工作数的比率，用以反映和考核部门履职工作任务目标的实现程度。</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实际完成率</w:t>
            </w:r>
            <w:r>
              <w:rPr>
                <w:rFonts w:ascii="宋体" w:cs="宋体"/>
              </w:rPr>
              <w:t>=</w:t>
            </w:r>
            <w:r>
              <w:rPr>
                <w:rFonts w:ascii="宋体" w:cs="宋体" w:hint="eastAsia"/>
              </w:rPr>
              <w:t>（实际完成工作数</w:t>
            </w:r>
            <w:r>
              <w:rPr>
                <w:rFonts w:ascii="宋体" w:cs="宋体"/>
              </w:rPr>
              <w:t>/</w:t>
            </w:r>
            <w:r>
              <w:rPr>
                <w:rFonts w:ascii="宋体" w:cs="宋体" w:hint="eastAsia"/>
              </w:rPr>
              <w:t>计划工作数）×</w:t>
            </w:r>
            <w:r>
              <w:rPr>
                <w:rFonts w:ascii="宋体" w:cs="宋体"/>
              </w:rPr>
              <w:t>100%</w:t>
            </w:r>
            <w:r>
              <w:rPr>
                <w:rFonts w:ascii="宋体" w:cs="宋体" w:hint="eastAsia"/>
              </w:rPr>
              <w:t>。</w:t>
            </w:r>
            <w:r>
              <w:rPr>
                <w:rFonts w:ascii="宋体" w:cs="宋体"/>
              </w:rPr>
              <w:br/>
            </w:r>
            <w:r>
              <w:rPr>
                <w:rFonts w:ascii="宋体" w:cs="宋体" w:hint="eastAsia"/>
              </w:rPr>
              <w:t>实际完成工作数：一定时期（年度或规划期）内部门实际完成工作任务的数量。</w:t>
            </w:r>
            <w:r>
              <w:rPr>
                <w:rFonts w:ascii="宋体" w:cs="宋体"/>
              </w:rPr>
              <w:br/>
            </w:r>
            <w:r>
              <w:rPr>
                <w:rFonts w:ascii="宋体" w:cs="宋体" w:hint="eastAsia"/>
              </w:rPr>
              <w:t>计划工作数：部门整体绩效目标确定的一定时期（年度或规划期）内预计完成工作任务的数量。</w:t>
            </w:r>
          </w:p>
        </w:tc>
      </w:tr>
      <w:tr w:rsidR="007357F7">
        <w:trPr>
          <w:trHeight w:val="1393"/>
          <w:jc w:val="center"/>
        </w:trPr>
        <w:tc>
          <w:tcPr>
            <w:tcW w:w="306" w:type="pct"/>
            <w:vMerge/>
            <w:textDirection w:val="tbRlV"/>
            <w:vAlign w:val="center"/>
          </w:tcPr>
          <w:p w:rsidR="007357F7" w:rsidRDefault="007357F7"/>
        </w:tc>
        <w:tc>
          <w:tcPr>
            <w:tcW w:w="375" w:type="pct"/>
            <w:vMerge/>
            <w:vAlign w:val="center"/>
          </w:tcPr>
          <w:p w:rsidR="007357F7" w:rsidRDefault="007357F7"/>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完成</w:t>
            </w:r>
          </w:p>
          <w:p w:rsidR="007357F7" w:rsidRDefault="00C023AC">
            <w:pPr>
              <w:spacing w:line="240" w:lineRule="exact"/>
              <w:jc w:val="center"/>
              <w:rPr>
                <w:rFonts w:ascii="宋体" w:cs="宋体"/>
              </w:rPr>
            </w:pPr>
            <w:r>
              <w:rPr>
                <w:rFonts w:ascii="宋体" w:cs="宋体" w:hint="eastAsia"/>
              </w:rPr>
              <w:t>及时率（</w:t>
            </w:r>
            <w:r>
              <w:rPr>
                <w:rFonts w:ascii="宋体" w:cs="宋体"/>
              </w:rPr>
              <w:t>4</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部门在规定时限内及时完成的实际工作数与计划工作数的比率</w:t>
            </w:r>
            <w:r>
              <w:rPr>
                <w:rFonts w:ascii="宋体" w:cs="宋体"/>
              </w:rPr>
              <w:t>,</w:t>
            </w:r>
            <w:r>
              <w:rPr>
                <w:rFonts w:ascii="宋体" w:cs="宋体" w:hint="eastAsia"/>
              </w:rPr>
              <w:t>用以反映和考核部门履职时效目标的实现程度。</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完成及时率</w:t>
            </w:r>
            <w:r>
              <w:rPr>
                <w:rFonts w:ascii="宋体" w:cs="宋体"/>
              </w:rPr>
              <w:t>=</w:t>
            </w:r>
            <w:r>
              <w:rPr>
                <w:rFonts w:ascii="宋体" w:cs="宋体" w:hint="eastAsia"/>
              </w:rPr>
              <w:t>（及时完成实际工作数</w:t>
            </w:r>
            <w:r>
              <w:rPr>
                <w:rFonts w:ascii="宋体" w:cs="宋体"/>
              </w:rPr>
              <w:t>/</w:t>
            </w:r>
            <w:r>
              <w:rPr>
                <w:rFonts w:ascii="宋体" w:cs="宋体" w:hint="eastAsia"/>
              </w:rPr>
              <w:t>计划工作数）×</w:t>
            </w:r>
            <w:r>
              <w:rPr>
                <w:rFonts w:ascii="宋体" w:cs="宋体"/>
              </w:rPr>
              <w:t>100%</w:t>
            </w:r>
            <w:r>
              <w:rPr>
                <w:rFonts w:ascii="宋体" w:cs="宋体" w:hint="eastAsia"/>
              </w:rPr>
              <w:t>。</w:t>
            </w:r>
            <w:r>
              <w:rPr>
                <w:rFonts w:ascii="宋体" w:cs="宋体"/>
              </w:rPr>
              <w:br/>
            </w:r>
            <w:r>
              <w:rPr>
                <w:rFonts w:ascii="宋体" w:cs="宋体" w:hint="eastAsia"/>
              </w:rPr>
              <w:t>及时完成实际工作数：部门按照整体绩效目标确定的时限实际完成的工作任务数量。</w:t>
            </w:r>
          </w:p>
        </w:tc>
      </w:tr>
      <w:tr w:rsidR="007357F7">
        <w:trPr>
          <w:trHeight w:val="1675"/>
          <w:jc w:val="center"/>
        </w:trPr>
        <w:tc>
          <w:tcPr>
            <w:tcW w:w="306" w:type="pct"/>
            <w:vMerge/>
            <w:vAlign w:val="center"/>
          </w:tcPr>
          <w:p w:rsidR="007357F7" w:rsidRDefault="007357F7"/>
        </w:tc>
        <w:tc>
          <w:tcPr>
            <w:tcW w:w="375" w:type="pct"/>
            <w:vMerge/>
            <w:vAlign w:val="center"/>
          </w:tcPr>
          <w:p w:rsidR="007357F7" w:rsidRDefault="007357F7"/>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质量</w:t>
            </w:r>
          </w:p>
          <w:p w:rsidR="007357F7" w:rsidRDefault="00C023AC">
            <w:pPr>
              <w:spacing w:line="240" w:lineRule="exact"/>
              <w:jc w:val="center"/>
              <w:rPr>
                <w:rFonts w:ascii="宋体" w:cs="宋体"/>
              </w:rPr>
            </w:pPr>
            <w:r>
              <w:rPr>
                <w:rFonts w:ascii="宋体" w:cs="宋体" w:hint="eastAsia"/>
              </w:rPr>
              <w:t>达标率（</w:t>
            </w:r>
            <w:r>
              <w:rPr>
                <w:rFonts w:ascii="宋体" w:cs="宋体"/>
              </w:rPr>
              <w:t>8</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7</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达到质量标准（绩效标准值）的实际工作数与计划工作数的比率</w:t>
            </w:r>
            <w:r>
              <w:rPr>
                <w:rFonts w:ascii="宋体" w:cs="宋体"/>
              </w:rPr>
              <w:t>,</w:t>
            </w:r>
            <w:r>
              <w:rPr>
                <w:rFonts w:ascii="宋体" w:cs="宋体" w:hint="eastAsia"/>
              </w:rPr>
              <w:t>用以反映和考核部门履职质量目标的实现程度。</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质量达标率</w:t>
            </w:r>
            <w:r>
              <w:rPr>
                <w:rFonts w:ascii="宋体" w:cs="宋体"/>
              </w:rPr>
              <w:t>=</w:t>
            </w:r>
            <w:r>
              <w:rPr>
                <w:rFonts w:ascii="宋体" w:cs="宋体" w:hint="eastAsia"/>
              </w:rPr>
              <w:t>（质量达标实际工作数</w:t>
            </w:r>
            <w:r>
              <w:rPr>
                <w:rFonts w:ascii="宋体" w:cs="宋体"/>
              </w:rPr>
              <w:t>/</w:t>
            </w:r>
            <w:r>
              <w:rPr>
                <w:rFonts w:ascii="宋体" w:cs="宋体" w:hint="eastAsia"/>
              </w:rPr>
              <w:t>计划工作数）×</w:t>
            </w:r>
            <w:r>
              <w:rPr>
                <w:rFonts w:ascii="宋体" w:cs="宋体"/>
              </w:rPr>
              <w:t>100%</w:t>
            </w:r>
            <w:r>
              <w:rPr>
                <w:rFonts w:ascii="宋体" w:cs="宋体" w:hint="eastAsia"/>
              </w:rPr>
              <w:t>。</w:t>
            </w:r>
            <w:r>
              <w:rPr>
                <w:rFonts w:ascii="宋体" w:cs="宋体"/>
              </w:rPr>
              <w:br/>
            </w:r>
            <w:r>
              <w:rPr>
                <w:rFonts w:ascii="宋体" w:cs="宋体" w:hint="eastAsia"/>
              </w:rPr>
              <w:t>质量达标实际工作数：一定时期（年度或规划期）内部门实际完成工作数中达到部门绩效目标要求（绩效标准值）的工作任务数量。</w:t>
            </w:r>
          </w:p>
        </w:tc>
      </w:tr>
      <w:tr w:rsidR="007357F7">
        <w:trPr>
          <w:trHeight w:val="1125"/>
          <w:jc w:val="center"/>
        </w:trPr>
        <w:tc>
          <w:tcPr>
            <w:tcW w:w="306" w:type="pct"/>
            <w:vMerge/>
            <w:vAlign w:val="center"/>
          </w:tcPr>
          <w:p w:rsidR="007357F7" w:rsidRDefault="007357F7"/>
        </w:tc>
        <w:tc>
          <w:tcPr>
            <w:tcW w:w="375" w:type="pct"/>
            <w:vMerge/>
            <w:vAlign w:val="center"/>
          </w:tcPr>
          <w:p w:rsidR="007357F7" w:rsidRDefault="007357F7"/>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重点工作</w:t>
            </w:r>
          </w:p>
          <w:p w:rsidR="007357F7" w:rsidRDefault="00C023AC">
            <w:pPr>
              <w:spacing w:line="240" w:lineRule="exact"/>
              <w:jc w:val="center"/>
              <w:rPr>
                <w:rFonts w:ascii="宋体" w:cs="宋体"/>
              </w:rPr>
            </w:pPr>
            <w:r>
              <w:rPr>
                <w:rFonts w:ascii="宋体" w:cs="宋体" w:hint="eastAsia"/>
              </w:rPr>
              <w:t>办结率（</w:t>
            </w:r>
            <w:r>
              <w:rPr>
                <w:rFonts w:ascii="宋体" w:cs="宋体"/>
              </w:rPr>
              <w:t>10</w:t>
            </w:r>
            <w:r>
              <w:rPr>
                <w:rFonts w:ascii="宋体" w:cs="宋体" w:hint="eastAsia"/>
              </w:rPr>
              <w:t>分）</w:t>
            </w:r>
          </w:p>
        </w:tc>
        <w:tc>
          <w:tcPr>
            <w:tcW w:w="375" w:type="pct"/>
          </w:tcPr>
          <w:p w:rsidR="007357F7" w:rsidRDefault="007357F7">
            <w:pPr>
              <w:tabs>
                <w:tab w:val="left" w:pos="2604"/>
              </w:tabs>
              <w:spacing w:line="240" w:lineRule="exact"/>
              <w:ind w:rightChars="50" w:right="105"/>
              <w:rPr>
                <w:rFonts w:ascii="宋体" w:cs="宋体"/>
              </w:rPr>
            </w:pPr>
          </w:p>
          <w:p w:rsidR="007357F7" w:rsidRDefault="007357F7">
            <w:pPr>
              <w:tabs>
                <w:tab w:val="left" w:pos="2604"/>
              </w:tabs>
              <w:spacing w:line="240" w:lineRule="exact"/>
              <w:ind w:rightChars="50" w:right="105"/>
              <w:jc w:val="center"/>
              <w:rPr>
                <w:rFonts w:ascii="宋体" w:cs="宋体"/>
              </w:rPr>
            </w:pPr>
          </w:p>
          <w:p w:rsidR="007357F7" w:rsidRDefault="00C023AC">
            <w:pPr>
              <w:tabs>
                <w:tab w:val="left" w:pos="2604"/>
              </w:tabs>
              <w:spacing w:line="240" w:lineRule="exact"/>
              <w:ind w:rightChars="50" w:right="105" w:firstLineChars="100" w:firstLine="210"/>
              <w:rPr>
                <w:rFonts w:ascii="宋体" w:cs="宋体"/>
              </w:rPr>
            </w:pPr>
            <w:r>
              <w:rPr>
                <w:rFonts w:ascii="宋体" w:cs="宋体" w:hint="eastAsia"/>
              </w:rPr>
              <w:t>10</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部门年度重点工作实际完成数与交办或下达数的比率，用以反映部门对重点工作的办理落实程度。</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重点工作办结率</w:t>
            </w:r>
            <w:r>
              <w:rPr>
                <w:rFonts w:ascii="宋体" w:cs="宋体"/>
              </w:rPr>
              <w:t>=</w:t>
            </w:r>
            <w:r>
              <w:rPr>
                <w:rFonts w:ascii="宋体" w:cs="宋体" w:hint="eastAsia"/>
              </w:rPr>
              <w:t>（重点工作实际完成数</w:t>
            </w:r>
            <w:r>
              <w:rPr>
                <w:rFonts w:ascii="宋体" w:cs="宋体"/>
              </w:rPr>
              <w:t>/</w:t>
            </w:r>
            <w:r>
              <w:rPr>
                <w:rFonts w:ascii="宋体" w:cs="宋体" w:hint="eastAsia"/>
              </w:rPr>
              <w:t>交办或下达数）×</w:t>
            </w:r>
            <w:r>
              <w:rPr>
                <w:rFonts w:ascii="宋体" w:cs="宋体"/>
              </w:rPr>
              <w:t>100%</w:t>
            </w:r>
            <w:r>
              <w:rPr>
                <w:rFonts w:ascii="宋体" w:cs="宋体" w:hint="eastAsia"/>
              </w:rPr>
              <w:t>。</w:t>
            </w:r>
            <w:r>
              <w:rPr>
                <w:rFonts w:ascii="宋体" w:cs="宋体"/>
              </w:rPr>
              <w:br/>
            </w:r>
            <w:r>
              <w:rPr>
                <w:rFonts w:ascii="宋体" w:cs="宋体" w:hint="eastAsia"/>
              </w:rPr>
              <w:t>重点工作是指党委、政府、人大、相关部门交办或下达的工作任务。</w:t>
            </w:r>
          </w:p>
        </w:tc>
      </w:tr>
      <w:tr w:rsidR="007357F7">
        <w:trPr>
          <w:trHeight w:val="709"/>
          <w:jc w:val="center"/>
        </w:trPr>
        <w:tc>
          <w:tcPr>
            <w:tcW w:w="306" w:type="pct"/>
            <w:vMerge w:val="restart"/>
            <w:noWrap/>
            <w:tcMar>
              <w:top w:w="10" w:type="dxa"/>
              <w:left w:w="10" w:type="dxa"/>
              <w:right w:w="10" w:type="dxa"/>
            </w:tcMar>
            <w:textDirection w:val="tbRlV"/>
            <w:vAlign w:val="center"/>
          </w:tcPr>
          <w:p w:rsidR="007357F7" w:rsidRDefault="00C023AC">
            <w:pPr>
              <w:spacing w:line="240" w:lineRule="exact"/>
              <w:jc w:val="center"/>
              <w:rPr>
                <w:rFonts w:ascii="宋体" w:cs="宋体"/>
              </w:rPr>
            </w:pPr>
            <w:r>
              <w:rPr>
                <w:rFonts w:ascii="宋体" w:cs="宋体" w:hint="eastAsia"/>
              </w:rPr>
              <w:t>效</w:t>
            </w:r>
            <w:r>
              <w:rPr>
                <w:rFonts w:ascii="宋体" w:cs="宋体"/>
              </w:rPr>
              <w:t xml:space="preserve">   </w:t>
            </w:r>
            <w:r>
              <w:rPr>
                <w:rFonts w:ascii="宋体" w:cs="宋体" w:hint="eastAsia"/>
              </w:rPr>
              <w:t>果（</w:t>
            </w:r>
            <w:r>
              <w:rPr>
                <w:rFonts w:ascii="宋体" w:cs="宋体"/>
              </w:rPr>
              <w:t>20</w:t>
            </w:r>
            <w:r>
              <w:rPr>
                <w:rFonts w:ascii="宋体" w:cs="宋体" w:hint="eastAsia"/>
              </w:rPr>
              <w:t>分）</w:t>
            </w:r>
          </w:p>
        </w:tc>
        <w:tc>
          <w:tcPr>
            <w:tcW w:w="375" w:type="pct"/>
            <w:vMerge w:val="restar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履职</w:t>
            </w:r>
            <w:r>
              <w:rPr>
                <w:rFonts w:ascii="宋体" w:cs="宋体"/>
              </w:rPr>
              <w:br/>
            </w:r>
            <w:r>
              <w:rPr>
                <w:rFonts w:ascii="宋体" w:cs="宋体" w:hint="eastAsia"/>
              </w:rPr>
              <w:t>效益（</w:t>
            </w:r>
            <w:r>
              <w:rPr>
                <w:rFonts w:ascii="宋体" w:cs="宋体"/>
              </w:rPr>
              <w:t>20</w:t>
            </w:r>
            <w:r>
              <w:rPr>
                <w:rFonts w:ascii="宋体" w:cs="宋体" w:hint="eastAsia"/>
              </w:rPr>
              <w:t>分）</w:t>
            </w:r>
          </w:p>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经济效益（</w:t>
            </w:r>
            <w:r>
              <w:rPr>
                <w:rFonts w:ascii="宋体" w:cs="宋体"/>
              </w:rPr>
              <w:t>5</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部门履行职责对经济发展所带来的直接或间接影响。</w:t>
            </w:r>
          </w:p>
        </w:tc>
        <w:tc>
          <w:tcPr>
            <w:tcW w:w="1866" w:type="pct"/>
            <w:vMerge w:val="restar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7357F7">
        <w:trPr>
          <w:trHeight w:val="709"/>
          <w:jc w:val="center"/>
        </w:trPr>
        <w:tc>
          <w:tcPr>
            <w:tcW w:w="306" w:type="pct"/>
            <w:vMerge/>
            <w:vAlign w:val="center"/>
          </w:tcPr>
          <w:p w:rsidR="007357F7" w:rsidRDefault="007357F7"/>
        </w:tc>
        <w:tc>
          <w:tcPr>
            <w:tcW w:w="375" w:type="pct"/>
            <w:vMerge/>
            <w:vAlign w:val="center"/>
          </w:tcPr>
          <w:p w:rsidR="007357F7" w:rsidRDefault="007357F7"/>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社会效益（</w:t>
            </w:r>
            <w:r>
              <w:rPr>
                <w:rFonts w:ascii="宋体" w:cs="宋体"/>
              </w:rPr>
              <w:t>5</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部门履行职责对社会发展所带来的直接或间接影响。</w:t>
            </w:r>
          </w:p>
        </w:tc>
        <w:tc>
          <w:tcPr>
            <w:tcW w:w="1866" w:type="pct"/>
            <w:vMerge/>
            <w:vAlign w:val="center"/>
          </w:tcPr>
          <w:p w:rsidR="007357F7" w:rsidRDefault="007357F7"/>
        </w:tc>
      </w:tr>
      <w:tr w:rsidR="007357F7">
        <w:trPr>
          <w:trHeight w:val="709"/>
          <w:jc w:val="center"/>
        </w:trPr>
        <w:tc>
          <w:tcPr>
            <w:tcW w:w="306" w:type="pct"/>
            <w:vMerge/>
            <w:vAlign w:val="center"/>
          </w:tcPr>
          <w:p w:rsidR="007357F7" w:rsidRDefault="007357F7"/>
        </w:tc>
        <w:tc>
          <w:tcPr>
            <w:tcW w:w="375" w:type="pct"/>
            <w:vMerge/>
            <w:vAlign w:val="center"/>
          </w:tcPr>
          <w:p w:rsidR="007357F7" w:rsidRDefault="007357F7"/>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生态效益（</w:t>
            </w:r>
            <w:r>
              <w:rPr>
                <w:rFonts w:ascii="宋体" w:cs="宋体"/>
              </w:rPr>
              <w:t>5</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部门履行职责对生态环境所带来的直接或间接影响。</w:t>
            </w:r>
          </w:p>
        </w:tc>
        <w:tc>
          <w:tcPr>
            <w:tcW w:w="1866" w:type="pct"/>
            <w:vMerge/>
            <w:vAlign w:val="center"/>
          </w:tcPr>
          <w:p w:rsidR="007357F7" w:rsidRDefault="007357F7"/>
        </w:tc>
      </w:tr>
      <w:tr w:rsidR="007357F7">
        <w:trPr>
          <w:trHeight w:val="1063"/>
          <w:jc w:val="center"/>
        </w:trPr>
        <w:tc>
          <w:tcPr>
            <w:tcW w:w="306" w:type="pct"/>
            <w:vMerge/>
            <w:vAlign w:val="center"/>
          </w:tcPr>
          <w:p w:rsidR="007357F7" w:rsidRDefault="007357F7"/>
        </w:tc>
        <w:tc>
          <w:tcPr>
            <w:tcW w:w="375" w:type="pct"/>
            <w:vMerge/>
            <w:vAlign w:val="center"/>
          </w:tcPr>
          <w:p w:rsidR="007357F7" w:rsidRDefault="007357F7"/>
        </w:tc>
        <w:tc>
          <w:tcPr>
            <w:tcW w:w="500" w:type="pct"/>
            <w:tcMar>
              <w:top w:w="10" w:type="dxa"/>
              <w:left w:w="10" w:type="dxa"/>
              <w:right w:w="10" w:type="dxa"/>
            </w:tcMar>
            <w:vAlign w:val="center"/>
          </w:tcPr>
          <w:p w:rsidR="007357F7" w:rsidRDefault="00C023AC">
            <w:pPr>
              <w:spacing w:line="240" w:lineRule="exact"/>
              <w:jc w:val="center"/>
              <w:rPr>
                <w:rFonts w:ascii="宋体" w:cs="宋体"/>
              </w:rPr>
            </w:pPr>
            <w:r>
              <w:rPr>
                <w:rFonts w:ascii="宋体" w:cs="宋体" w:hint="eastAsia"/>
              </w:rPr>
              <w:t>社会公众</w:t>
            </w:r>
          </w:p>
          <w:p w:rsidR="007357F7" w:rsidRDefault="00C023AC">
            <w:pPr>
              <w:spacing w:line="240" w:lineRule="exact"/>
              <w:jc w:val="center"/>
              <w:rPr>
                <w:rFonts w:ascii="宋体" w:cs="宋体"/>
              </w:rPr>
            </w:pPr>
            <w:r>
              <w:rPr>
                <w:rFonts w:ascii="宋体" w:cs="宋体" w:hint="eastAsia"/>
              </w:rPr>
              <w:t>或服务对</w:t>
            </w:r>
          </w:p>
          <w:p w:rsidR="007357F7" w:rsidRDefault="00C023AC">
            <w:pPr>
              <w:spacing w:line="240" w:lineRule="exact"/>
              <w:jc w:val="center"/>
              <w:rPr>
                <w:rFonts w:ascii="宋体" w:cs="宋体"/>
              </w:rPr>
            </w:pPr>
            <w:r>
              <w:rPr>
                <w:rFonts w:ascii="宋体" w:cs="宋体" w:hint="eastAsia"/>
              </w:rPr>
              <w:t>象满意度（</w:t>
            </w:r>
            <w:r>
              <w:rPr>
                <w:rFonts w:ascii="宋体" w:cs="宋体"/>
              </w:rPr>
              <w:t>5</w:t>
            </w:r>
            <w:r>
              <w:rPr>
                <w:rFonts w:ascii="宋体" w:cs="宋体" w:hint="eastAsia"/>
              </w:rPr>
              <w:t>分）</w:t>
            </w: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6" w:type="pct"/>
            <w:tcMar>
              <w:top w:w="10" w:type="dxa"/>
              <w:left w:w="10" w:type="dxa"/>
              <w:right w:w="10" w:type="dxa"/>
            </w:tcMar>
            <w:vAlign w:val="center"/>
          </w:tcPr>
          <w:p w:rsidR="007357F7" w:rsidRDefault="00C023AC">
            <w:pPr>
              <w:tabs>
                <w:tab w:val="left" w:pos="2604"/>
              </w:tabs>
              <w:spacing w:line="240" w:lineRule="exact"/>
              <w:ind w:leftChars="50" w:left="105" w:rightChars="50" w:right="105" w:firstLineChars="46" w:firstLine="97"/>
              <w:rPr>
                <w:rFonts w:ascii="宋体" w:cs="宋体"/>
              </w:rPr>
            </w:pPr>
            <w:r>
              <w:rPr>
                <w:rFonts w:ascii="宋体" w:cs="宋体" w:hint="eastAsia"/>
              </w:rPr>
              <w:t>社会公众或部门的服务对象对部门履职效果的满意程度。</w:t>
            </w:r>
          </w:p>
        </w:tc>
        <w:tc>
          <w:tcPr>
            <w:tcW w:w="1866" w:type="pct"/>
            <w:tcMar>
              <w:top w:w="10" w:type="dxa"/>
              <w:left w:w="10" w:type="dxa"/>
              <w:right w:w="10" w:type="dxa"/>
            </w:tcMar>
            <w:vAlign w:val="center"/>
          </w:tcPr>
          <w:p w:rsidR="007357F7" w:rsidRDefault="00C023AC">
            <w:pPr>
              <w:spacing w:line="240" w:lineRule="exact"/>
              <w:ind w:leftChars="50" w:left="105" w:rightChars="50" w:right="105"/>
              <w:rPr>
                <w:rFonts w:ascii="宋体" w:cs="宋体"/>
              </w:rPr>
            </w:pPr>
            <w:r>
              <w:rPr>
                <w:rFonts w:ascii="宋体" w:cs="宋体" w:hint="eastAsia"/>
              </w:rPr>
              <w:t>社会公众或服务对象是指部门履行职责而影响到的部门、群体或个人。一般采取社会调查的方式。</w:t>
            </w:r>
          </w:p>
        </w:tc>
      </w:tr>
      <w:tr w:rsidR="007357F7">
        <w:trPr>
          <w:trHeight w:val="692"/>
          <w:jc w:val="center"/>
        </w:trPr>
        <w:tc>
          <w:tcPr>
            <w:tcW w:w="306" w:type="pct"/>
            <w:vAlign w:val="center"/>
          </w:tcPr>
          <w:p w:rsidR="007357F7" w:rsidRDefault="00C023AC">
            <w:pPr>
              <w:spacing w:line="240" w:lineRule="exact"/>
              <w:rPr>
                <w:rFonts w:ascii="宋体" w:cs="宋体"/>
              </w:rPr>
            </w:pPr>
            <w:r>
              <w:rPr>
                <w:rFonts w:ascii="宋体" w:cs="宋体" w:hint="eastAsia"/>
              </w:rPr>
              <w:t>总分</w:t>
            </w:r>
          </w:p>
        </w:tc>
        <w:tc>
          <w:tcPr>
            <w:tcW w:w="375" w:type="pct"/>
            <w:vAlign w:val="center"/>
          </w:tcPr>
          <w:p w:rsidR="007357F7" w:rsidRDefault="007357F7">
            <w:pPr>
              <w:spacing w:line="240" w:lineRule="exact"/>
              <w:rPr>
                <w:rFonts w:ascii="宋体" w:cs="宋体"/>
              </w:rPr>
            </w:pPr>
          </w:p>
        </w:tc>
        <w:tc>
          <w:tcPr>
            <w:tcW w:w="500" w:type="pct"/>
            <w:tcMar>
              <w:top w:w="10" w:type="dxa"/>
              <w:left w:w="10" w:type="dxa"/>
              <w:right w:w="10" w:type="dxa"/>
            </w:tcMar>
            <w:vAlign w:val="center"/>
          </w:tcPr>
          <w:p w:rsidR="007357F7" w:rsidRDefault="007357F7">
            <w:pPr>
              <w:spacing w:line="240" w:lineRule="exact"/>
              <w:jc w:val="center"/>
              <w:rPr>
                <w:rFonts w:ascii="宋体" w:cs="宋体"/>
              </w:rPr>
            </w:pPr>
          </w:p>
        </w:tc>
        <w:tc>
          <w:tcPr>
            <w:tcW w:w="375" w:type="pct"/>
          </w:tcPr>
          <w:p w:rsidR="007357F7" w:rsidRDefault="007357F7">
            <w:pPr>
              <w:tabs>
                <w:tab w:val="left" w:pos="2604"/>
              </w:tabs>
              <w:spacing w:line="240" w:lineRule="exact"/>
              <w:ind w:leftChars="50" w:left="105" w:rightChars="50" w:right="105" w:firstLineChars="46" w:firstLine="97"/>
              <w:jc w:val="center"/>
              <w:rPr>
                <w:rFonts w:ascii="宋体" w:cs="宋体"/>
              </w:rPr>
            </w:pPr>
          </w:p>
          <w:p w:rsidR="007357F7" w:rsidRDefault="00C023AC">
            <w:pPr>
              <w:tabs>
                <w:tab w:val="left" w:pos="2604"/>
              </w:tabs>
              <w:spacing w:line="240" w:lineRule="exact"/>
              <w:ind w:leftChars="50" w:left="105" w:rightChars="50" w:right="105" w:firstLineChars="46" w:firstLine="97"/>
              <w:jc w:val="center"/>
              <w:rPr>
                <w:rFonts w:ascii="宋体" w:cs="宋体"/>
              </w:rPr>
            </w:pPr>
            <w:r>
              <w:rPr>
                <w:rFonts w:ascii="宋体" w:cs="宋体" w:hint="eastAsia"/>
              </w:rPr>
              <w:t>95</w:t>
            </w:r>
          </w:p>
        </w:tc>
        <w:tc>
          <w:tcPr>
            <w:tcW w:w="1576" w:type="pct"/>
            <w:tcMar>
              <w:top w:w="10" w:type="dxa"/>
              <w:left w:w="10" w:type="dxa"/>
              <w:right w:w="10" w:type="dxa"/>
            </w:tcMar>
            <w:vAlign w:val="center"/>
          </w:tcPr>
          <w:p w:rsidR="007357F7" w:rsidRDefault="007357F7">
            <w:pPr>
              <w:tabs>
                <w:tab w:val="left" w:pos="2604"/>
              </w:tabs>
              <w:spacing w:line="240" w:lineRule="exact"/>
              <w:ind w:leftChars="50" w:left="105" w:rightChars="50" w:right="105" w:firstLineChars="46" w:firstLine="97"/>
              <w:rPr>
                <w:rFonts w:ascii="宋体" w:cs="宋体"/>
              </w:rPr>
            </w:pPr>
          </w:p>
        </w:tc>
        <w:tc>
          <w:tcPr>
            <w:tcW w:w="1866" w:type="pct"/>
            <w:tcMar>
              <w:top w:w="10" w:type="dxa"/>
              <w:left w:w="10" w:type="dxa"/>
              <w:right w:w="10" w:type="dxa"/>
            </w:tcMar>
            <w:vAlign w:val="center"/>
          </w:tcPr>
          <w:p w:rsidR="007357F7" w:rsidRDefault="007357F7">
            <w:pPr>
              <w:spacing w:line="240" w:lineRule="exact"/>
              <w:ind w:leftChars="50" w:left="105" w:rightChars="50" w:right="105"/>
              <w:rPr>
                <w:rFonts w:ascii="宋体" w:cs="宋体"/>
              </w:rPr>
            </w:pPr>
          </w:p>
        </w:tc>
      </w:tr>
    </w:tbl>
    <w:p w:rsidR="007357F7" w:rsidRDefault="007357F7"/>
    <w:sectPr w:rsidR="007357F7" w:rsidSect="007357F7">
      <w:footerReference w:type="default" r:id="rId6"/>
      <w:pgSz w:w="11906" w:h="16838"/>
      <w:pgMar w:top="2098" w:right="1474" w:bottom="1985" w:left="1588" w:header="851" w:footer="170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79E" w:rsidRDefault="00EE679E" w:rsidP="007357F7">
      <w:r>
        <w:separator/>
      </w:r>
    </w:p>
  </w:endnote>
  <w:endnote w:type="continuationSeparator" w:id="0">
    <w:p w:rsidR="00EE679E" w:rsidRDefault="00EE679E" w:rsidP="007357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008736"/>
      <w:docPartObj>
        <w:docPartGallery w:val="Page Numbers (Bottom of Page)"/>
        <w:docPartUnique/>
      </w:docPartObj>
    </w:sdtPr>
    <w:sdtContent>
      <w:p w:rsidR="007357F7" w:rsidRDefault="006665D8">
        <w:pPr>
          <w:pStyle w:val="a6"/>
          <w:jc w:val="center"/>
        </w:pPr>
        <w:r>
          <w:fldChar w:fldCharType="begin"/>
        </w:r>
        <w:r w:rsidR="00C023AC">
          <w:instrText>PAGE   \* MERGEFORMAT</w:instrText>
        </w:r>
        <w:r>
          <w:fldChar w:fldCharType="separate"/>
        </w:r>
        <w:r w:rsidR="00C13862" w:rsidRPr="00C13862">
          <w:rPr>
            <w:noProof/>
            <w:lang w:val="zh-CN"/>
          </w:rPr>
          <w:t>8</w:t>
        </w:r>
        <w:r>
          <w:fldChar w:fldCharType="end"/>
        </w:r>
      </w:p>
    </w:sdtContent>
  </w:sdt>
  <w:p w:rsidR="007357F7" w:rsidRDefault="007357F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79E" w:rsidRDefault="00EE679E" w:rsidP="007357F7">
      <w:r>
        <w:separator/>
      </w:r>
    </w:p>
  </w:footnote>
  <w:footnote w:type="continuationSeparator" w:id="0">
    <w:p w:rsidR="00EE679E" w:rsidRDefault="00EE679E" w:rsidP="007357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useAltKinsokuLineBreakRules/>
  </w:compat>
  <w:rsids>
    <w:rsidRoot w:val="007357F7"/>
    <w:rsid w:val="00107247"/>
    <w:rsid w:val="001B1E52"/>
    <w:rsid w:val="00581F48"/>
    <w:rsid w:val="006665D8"/>
    <w:rsid w:val="007357F7"/>
    <w:rsid w:val="00C023AC"/>
    <w:rsid w:val="00C13862"/>
    <w:rsid w:val="00EE679E"/>
    <w:rsid w:val="00FF3A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357F7"/>
    <w:pPr>
      <w:jc w:val="both"/>
    </w:pPr>
    <w:rPr>
      <w:kern w:val="2"/>
      <w:sz w:val="21"/>
      <w:szCs w:val="21"/>
    </w:rPr>
  </w:style>
  <w:style w:type="paragraph" w:styleId="1">
    <w:name w:val="heading 1"/>
    <w:basedOn w:val="a"/>
    <w:next w:val="a"/>
    <w:rsid w:val="007357F7"/>
    <w:pPr>
      <w:keepNext/>
      <w:keepLines/>
      <w:spacing w:before="340" w:after="330" w:line="578" w:lineRule="auto"/>
      <w:outlineLvl w:val="0"/>
    </w:pPr>
    <w:rPr>
      <w:b/>
      <w:bCs/>
      <w:kern w:val="44"/>
      <w:sz w:val="44"/>
    </w:rPr>
  </w:style>
  <w:style w:type="paragraph" w:styleId="2">
    <w:name w:val="heading 2"/>
    <w:basedOn w:val="a"/>
    <w:next w:val="a"/>
    <w:rsid w:val="007357F7"/>
    <w:pPr>
      <w:keepNext/>
      <w:keepLines/>
      <w:spacing w:before="260" w:after="260" w:line="415" w:lineRule="auto"/>
      <w:outlineLvl w:val="1"/>
    </w:pPr>
    <w:rPr>
      <w:rFonts w:ascii="Arial" w:eastAsia="黑体" w:hAnsi="Arial"/>
      <w:b/>
      <w:sz w:val="32"/>
    </w:rPr>
  </w:style>
  <w:style w:type="paragraph" w:styleId="3">
    <w:name w:val="heading 3"/>
    <w:basedOn w:val="a"/>
    <w:next w:val="a"/>
    <w:rsid w:val="007357F7"/>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357F7"/>
    <w:pPr>
      <w:spacing w:before="100" w:beforeAutospacing="1" w:after="100" w:afterAutospacing="1"/>
      <w:jc w:val="left"/>
    </w:pPr>
    <w:rPr>
      <w:rFonts w:ascii="宋体" w:cs="宋体"/>
      <w:kern w:val="0"/>
      <w:sz w:val="24"/>
      <w:szCs w:val="24"/>
    </w:rPr>
  </w:style>
  <w:style w:type="paragraph" w:styleId="a4">
    <w:name w:val="List Paragraph"/>
    <w:basedOn w:val="a"/>
    <w:rsid w:val="007357F7"/>
    <w:pPr>
      <w:ind w:firstLineChars="200" w:firstLine="200"/>
    </w:pPr>
  </w:style>
  <w:style w:type="character" w:customStyle="1" w:styleId="15">
    <w:name w:val="15"/>
    <w:basedOn w:val="a0"/>
    <w:rsid w:val="007357F7"/>
    <w:rPr>
      <w:rFonts w:ascii="Calibri" w:hAnsi="Calibri" w:cs="Times New Roman"/>
      <w:b/>
      <w:bCs/>
    </w:rPr>
  </w:style>
  <w:style w:type="character" w:customStyle="1" w:styleId="16">
    <w:name w:val="16"/>
    <w:basedOn w:val="a0"/>
    <w:rsid w:val="007357F7"/>
    <w:rPr>
      <w:rFonts w:ascii="Calibri" w:hAnsi="Calibri"/>
    </w:rPr>
  </w:style>
  <w:style w:type="paragraph" w:customStyle="1" w:styleId="10">
    <w:name w:val="正文1"/>
    <w:rsid w:val="007357F7"/>
    <w:pPr>
      <w:snapToGrid w:val="0"/>
      <w:spacing w:after="200"/>
    </w:pPr>
    <w:rPr>
      <w:rFonts w:ascii="Tahoma" w:eastAsia="微软雅黑" w:hAnsi="Tahoma" w:cs="Arial"/>
      <w:sz w:val="22"/>
      <w:szCs w:val="22"/>
    </w:rPr>
  </w:style>
  <w:style w:type="paragraph" w:styleId="a5">
    <w:name w:val="header"/>
    <w:basedOn w:val="a"/>
    <w:rsid w:val="007357F7"/>
    <w:pPr>
      <w:pBdr>
        <w:bottom w:val="single" w:sz="6" w:space="1" w:color="auto"/>
      </w:pBdr>
      <w:tabs>
        <w:tab w:val="center" w:pos="4153"/>
        <w:tab w:val="right" w:pos="8306"/>
      </w:tabs>
      <w:snapToGrid w:val="0"/>
      <w:jc w:val="center"/>
    </w:pPr>
    <w:rPr>
      <w:sz w:val="18"/>
      <w:szCs w:val="18"/>
    </w:rPr>
  </w:style>
  <w:style w:type="paragraph" w:styleId="a6">
    <w:name w:val="footer"/>
    <w:basedOn w:val="a"/>
    <w:rsid w:val="007357F7"/>
    <w:pPr>
      <w:tabs>
        <w:tab w:val="center" w:pos="4153"/>
        <w:tab w:val="right" w:pos="8306"/>
      </w:tabs>
      <w:snapToGrid w:val="0"/>
      <w:jc w:val="left"/>
    </w:pPr>
    <w:rPr>
      <w:sz w:val="18"/>
      <w:szCs w:val="18"/>
    </w:rPr>
  </w:style>
  <w:style w:type="paragraph" w:styleId="a7">
    <w:name w:val="Balloon Text"/>
    <w:basedOn w:val="a"/>
    <w:rsid w:val="007357F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22</Pages>
  <Words>1882</Words>
  <Characters>10729</Characters>
  <Application>Microsoft Office Word</Application>
  <DocSecurity>0</DocSecurity>
  <Lines>89</Lines>
  <Paragraphs>25</Paragraphs>
  <ScaleCrop>false</ScaleCrop>
  <Company/>
  <LinksUpToDate>false</LinksUpToDate>
  <CharactersWithSpaces>12586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cp:revision>
  <cp:lastPrinted>2022-05-27T03:19:00Z</cp:lastPrinted>
  <dcterms:created xsi:type="dcterms:W3CDTF">2021-10-21T02:49:00Z</dcterms:created>
  <dcterms:modified xsi:type="dcterms:W3CDTF">2022-05-31T02:47:00Z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9A9A74CFFBD04F5CA1EDAFC024BEEC7E</vt:lpwstr>
  </property>
</Properties>
</file>