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lang w:eastAsia="zh-CN"/>
        </w:rPr>
      </w:pPr>
      <w:bookmarkStart w:id="9" w:name="_GoBack"/>
      <w:r>
        <w:rPr>
          <w:rFonts w:hint="eastAsia" w:ascii="宋体" w:hAnsi="宋体" w:cs="宋体"/>
          <w:b/>
          <w:bCs/>
          <w:color w:val="auto"/>
          <w:sz w:val="44"/>
          <w:szCs w:val="44"/>
          <w:lang w:val="en-US" w:eastAsia="zh-CN"/>
        </w:rPr>
        <w:t>赫山区区长</w:t>
      </w:r>
      <w:r>
        <w:rPr>
          <w:rFonts w:hint="eastAsia" w:ascii="宋体" w:hAnsi="宋体" w:eastAsia="宋体" w:cs="宋体"/>
          <w:b/>
          <w:bCs/>
          <w:color w:val="auto"/>
          <w:sz w:val="44"/>
          <w:szCs w:val="44"/>
        </w:rPr>
        <w:t>质量奖</w:t>
      </w:r>
      <w:bookmarkStart w:id="0" w:name="bookmark22"/>
      <w:r>
        <w:rPr>
          <w:rFonts w:hint="eastAsia" w:ascii="宋体" w:hAnsi="宋体" w:eastAsia="宋体" w:cs="宋体"/>
          <w:b/>
          <w:bCs/>
          <w:color w:val="auto"/>
          <w:sz w:val="44"/>
          <w:szCs w:val="44"/>
        </w:rPr>
        <w:t>（个人）评审</w:t>
      </w:r>
      <w:bookmarkEnd w:id="0"/>
      <w:r>
        <w:rPr>
          <w:rFonts w:hint="eastAsia" w:ascii="宋体" w:hAnsi="宋体" w:cs="宋体"/>
          <w:b/>
          <w:bCs/>
          <w:color w:val="auto"/>
          <w:sz w:val="44"/>
          <w:szCs w:val="44"/>
          <w:lang w:eastAsia="zh-CN"/>
        </w:rPr>
        <w:t>细则</w:t>
      </w:r>
    </w:p>
    <w:bookmarkEnd w:id="9"/>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对个人的评审内容包括基本条件、</w:t>
      </w:r>
      <w:r>
        <w:rPr>
          <w:rFonts w:hint="eastAsia" w:ascii="仿宋_GB2312" w:hAnsi="仿宋_GB2312" w:eastAsia="仿宋_GB2312" w:cs="仿宋_GB2312"/>
          <w:color w:val="auto"/>
          <w:sz w:val="32"/>
          <w:szCs w:val="32"/>
          <w:lang w:val="en-US" w:eastAsia="zh-CN"/>
        </w:rPr>
        <w:t>关键</w:t>
      </w:r>
      <w:r>
        <w:rPr>
          <w:rFonts w:hint="eastAsia" w:ascii="仿宋_GB2312" w:hAnsi="仿宋_GB2312" w:eastAsia="仿宋_GB2312" w:cs="仿宋_GB2312"/>
          <w:color w:val="auto"/>
          <w:sz w:val="32"/>
          <w:szCs w:val="32"/>
        </w:rPr>
        <w:t>要求和否决事项三个方面。基本条件分为政治素质、道德品质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职业操守</w:t>
      </w:r>
      <w:r>
        <w:rPr>
          <w:rFonts w:hint="eastAsia" w:ascii="仿宋_GB2312" w:hAnsi="仿宋_GB2312" w:eastAsia="仿宋_GB2312" w:cs="仿宋_GB2312"/>
          <w:color w:val="auto"/>
          <w:sz w:val="32"/>
          <w:szCs w:val="32"/>
          <w:lang w:val="en-US" w:eastAsia="zh-CN"/>
        </w:rPr>
        <w:t>和社会评价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关键要求从质量文化与理论提升、突破和创新、工作业绩等方面进行</w:t>
      </w:r>
      <w:r>
        <w:rPr>
          <w:rFonts w:hint="eastAsia" w:ascii="仿宋_GB2312" w:hAnsi="仿宋_GB2312" w:eastAsia="仿宋_GB2312" w:cs="仿宋_GB2312"/>
          <w:color w:val="auto"/>
          <w:sz w:val="32"/>
          <w:szCs w:val="32"/>
        </w:rPr>
        <w:t>评审。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黑体" w:cs="Times New Roman"/>
          <w:b w:val="0"/>
          <w:bCs w:val="0"/>
          <w:color w:val="000000"/>
          <w:kern w:val="0"/>
          <w:sz w:val="32"/>
          <w:szCs w:val="32"/>
          <w:lang w:val="en-US" w:eastAsia="zh-CN"/>
        </w:rPr>
      </w:pPr>
      <w:r>
        <w:rPr>
          <w:rFonts w:hint="eastAsia" w:eastAsia="黑体" w:cs="Times New Roman"/>
          <w:b w:val="0"/>
          <w:bCs w:val="0"/>
          <w:color w:val="000000"/>
          <w:kern w:val="0"/>
          <w:sz w:val="32"/>
          <w:szCs w:val="32"/>
          <w:lang w:val="en-US" w:eastAsia="zh-CN"/>
        </w:rPr>
        <w:t>一、</w:t>
      </w:r>
      <w:r>
        <w:rPr>
          <w:rFonts w:hint="eastAsia" w:ascii="Times New Roman" w:hAnsi="Times New Roman" w:eastAsia="黑体" w:cs="Times New Roman"/>
          <w:b w:val="0"/>
          <w:bCs w:val="0"/>
          <w:color w:val="000000"/>
          <w:kern w:val="0"/>
          <w:sz w:val="32"/>
          <w:szCs w:val="32"/>
          <w:lang w:val="en-US" w:eastAsia="zh-CN"/>
        </w:rPr>
        <w:t>评审</w:t>
      </w:r>
      <w:r>
        <w:rPr>
          <w:rFonts w:hint="eastAsia" w:eastAsia="黑体" w:cs="Times New Roman"/>
          <w:b w:val="0"/>
          <w:bCs w:val="0"/>
          <w:color w:val="000000"/>
          <w:kern w:val="0"/>
          <w:sz w:val="32"/>
          <w:szCs w:val="32"/>
          <w:lang w:val="en-US" w:eastAsia="zh-CN"/>
        </w:rPr>
        <w:t>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color w:val="auto"/>
          <w:sz w:val="32"/>
          <w:szCs w:val="32"/>
          <w:lang w:val="en-US" w:eastAsia="zh-CN"/>
        </w:rPr>
        <w:t>赫山区区长质量奖（个人）评审细则包括基本条件和关键要求两大大部分，由2个一级评审项目、7个二级评审项目组成，各级评审指标及其分值分布如表1所示。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表1：</w:t>
      </w:r>
      <w:r>
        <w:rPr>
          <w:rFonts w:hint="eastAsia" w:ascii="仿宋_GB2312" w:hAnsi="仿宋_GB2312" w:eastAsia="仿宋_GB2312" w:cs="仿宋_GB2312"/>
          <w:b/>
          <w:bCs/>
          <w:color w:val="auto"/>
          <w:sz w:val="32"/>
          <w:szCs w:val="32"/>
          <w:lang w:val="en-US" w:eastAsia="zh-CN"/>
        </w:rPr>
        <w:t>赫山区区长质量奖（个人）评审内容框架</w:t>
      </w:r>
    </w:p>
    <w:tbl>
      <w:tblPr>
        <w:tblStyle w:val="2"/>
        <w:tblW w:w="836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569"/>
        <w:gridCol w:w="479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764" w:hRule="atLeast"/>
          <w:jc w:val="center"/>
        </w:trPr>
        <w:tc>
          <w:tcPr>
            <w:tcW w:w="356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b/>
                <w:bCs/>
                <w:color w:val="000000"/>
                <w:kern w:val="0"/>
                <w:sz w:val="24"/>
                <w:szCs w:val="24"/>
                <w:lang w:val="en-US" w:eastAsia="zh-CN"/>
              </w:rPr>
            </w:pPr>
            <w:r>
              <w:rPr>
                <w:rFonts w:hint="eastAsia" w:ascii="Times New Roman" w:hAnsi="Times New Roman" w:eastAsia="仿宋_GB2312" w:cs="Times New Roman"/>
                <w:b/>
                <w:bCs/>
                <w:color w:val="000000"/>
                <w:kern w:val="0"/>
                <w:sz w:val="24"/>
                <w:szCs w:val="24"/>
                <w:lang w:val="en-US" w:eastAsia="zh-CN"/>
              </w:rPr>
              <w:t>一级评审指标</w:t>
            </w: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b/>
                <w:bCs/>
                <w:color w:val="000000"/>
                <w:kern w:val="0"/>
                <w:sz w:val="24"/>
                <w:szCs w:val="24"/>
                <w:lang w:val="en-US" w:eastAsia="zh-CN"/>
              </w:rPr>
            </w:pPr>
            <w:r>
              <w:rPr>
                <w:rFonts w:hint="eastAsia" w:ascii="Times New Roman" w:hAnsi="Times New Roman" w:eastAsia="仿宋_GB2312" w:cs="Times New Roman"/>
                <w:b/>
                <w:bCs/>
                <w:color w:val="000000"/>
                <w:kern w:val="0"/>
                <w:sz w:val="24"/>
                <w:szCs w:val="24"/>
                <w:lang w:val="en-US" w:eastAsia="zh-CN"/>
              </w:rPr>
              <w:t>二级评审指标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654" w:hRule="atLeast"/>
          <w:jc w:val="center"/>
        </w:trPr>
        <w:tc>
          <w:tcPr>
            <w:tcW w:w="356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1.基本条件（400分）</w:t>
            </w: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1.1政治素质（120分）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42" w:hRule="atLeast"/>
          <w:jc w:val="center"/>
        </w:trPr>
        <w:tc>
          <w:tcPr>
            <w:tcW w:w="356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1.2道德品质（90分）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356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1.3职业操守（120分）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356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1.4社会评价（70分）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3569"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2.关键要求（600分）</w:t>
            </w: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2.1质量文化与理论提升（250分）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356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color w:val="auto"/>
                <w:sz w:val="32"/>
                <w:szCs w:val="32"/>
              </w:rPr>
            </w:pP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2.2突破和创新（150分）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3569"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hint="eastAsia" w:ascii="仿宋" w:hAnsi="仿宋" w:eastAsia="仿宋" w:cs="仿宋"/>
                <w:color w:val="auto"/>
                <w:sz w:val="32"/>
                <w:szCs w:val="32"/>
              </w:rPr>
            </w:pPr>
          </w:p>
        </w:tc>
        <w:tc>
          <w:tcPr>
            <w:tcW w:w="479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2.3工作业绩（200分）</w:t>
            </w: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eastAsia="黑体" w:cs="Times New Roman"/>
          <w:b w:val="0"/>
          <w:bCs w:val="0"/>
          <w:color w:val="000000"/>
          <w:kern w:val="0"/>
          <w:sz w:val="32"/>
          <w:szCs w:val="32"/>
          <w:lang w:val="en-US" w:eastAsia="zh-CN"/>
        </w:rPr>
      </w:pPr>
      <w:r>
        <w:rPr>
          <w:rFonts w:hint="eastAsia" w:eastAsia="黑体" w:cs="Times New Roman"/>
          <w:b w:val="0"/>
          <w:bCs w:val="0"/>
          <w:color w:val="000000"/>
          <w:kern w:val="0"/>
          <w:sz w:val="32"/>
          <w:szCs w:val="32"/>
          <w:lang w:val="en-US" w:eastAsia="zh-CN"/>
        </w:rPr>
        <w:t>二、评审内容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1.</w:t>
      </w:r>
      <w:r>
        <w:rPr>
          <w:rFonts w:hint="eastAsia" w:ascii="楷体_GB2312" w:hAnsi="楷体_GB2312" w:eastAsia="楷体_GB2312" w:cs="楷体_GB2312"/>
          <w:b/>
          <w:bCs/>
          <w:color w:val="auto"/>
          <w:sz w:val="32"/>
          <w:szCs w:val="32"/>
        </w:rPr>
        <w:t>基本条件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bookmarkStart w:id="1" w:name="bookmark23"/>
      <w:bookmarkEnd w:id="1"/>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rPr>
        <w:t>政治素质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1.1.1</w:t>
      </w:r>
      <w:r>
        <w:rPr>
          <w:rFonts w:hint="eastAsia" w:ascii="仿宋_GB2312" w:hAnsi="仿宋_GB2312" w:eastAsia="仿宋_GB2312" w:cs="仿宋_GB2312"/>
          <w:color w:val="auto"/>
          <w:sz w:val="32"/>
          <w:szCs w:val="32"/>
        </w:rPr>
        <w:t>坚持四项基本原则，在政治上同党中央保持一致；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1.1.2</w:t>
      </w:r>
      <w:r>
        <w:rPr>
          <w:rFonts w:hint="eastAsia" w:ascii="仿宋_GB2312" w:hAnsi="仿宋_GB2312" w:eastAsia="仿宋_GB2312" w:cs="仿宋_GB2312"/>
          <w:color w:val="auto"/>
          <w:sz w:val="32"/>
          <w:szCs w:val="32"/>
        </w:rPr>
        <w:t>严格执行党的路线、方针、政策，认真学习贯彻习近平新时代中国特色社会主义思想，增强</w:t>
      </w:r>
      <w:r>
        <w:rPr>
          <w:rFonts w:hint="eastAsia" w:ascii="仿宋_GB2312" w:hAnsi="仿宋_GB2312" w:eastAsia="仿宋_GB2312" w:cs="仿宋_GB2312"/>
          <w:color w:val="auto"/>
          <w:sz w:val="32"/>
          <w:szCs w:val="32"/>
          <w:lang w:val="zh-CN" w:eastAsia="zh-CN"/>
        </w:rPr>
        <w:t>“四</w:t>
      </w:r>
      <w:r>
        <w:rPr>
          <w:rFonts w:hint="eastAsia" w:ascii="仿宋_GB2312" w:hAnsi="仿宋_GB2312" w:eastAsia="仿宋_GB2312" w:cs="仿宋_GB2312"/>
          <w:color w:val="auto"/>
          <w:sz w:val="32"/>
          <w:szCs w:val="32"/>
        </w:rPr>
        <w:t>个意识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、坚定“四个自 信”、做到“两个维护”；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1.1.3</w:t>
      </w:r>
      <w:r>
        <w:rPr>
          <w:rFonts w:hint="eastAsia" w:ascii="仿宋_GB2312" w:hAnsi="仿宋_GB2312" w:eastAsia="仿宋_GB2312" w:cs="仿宋_GB2312"/>
          <w:color w:val="auto"/>
          <w:sz w:val="32"/>
          <w:szCs w:val="32"/>
        </w:rPr>
        <w:t>模范遵守党纪政纪，组织纪律性强，廉洁自律；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1.1.4</w:t>
      </w:r>
      <w:r>
        <w:rPr>
          <w:rFonts w:hint="eastAsia" w:ascii="仿宋_GB2312" w:hAnsi="仿宋_GB2312" w:eastAsia="仿宋_GB2312" w:cs="仿宋_GB2312"/>
          <w:color w:val="auto"/>
          <w:sz w:val="32"/>
          <w:szCs w:val="32"/>
        </w:rPr>
        <w:t>密切联系群众，全心全意为人民服务。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bookmarkStart w:id="2" w:name="bookmark24"/>
      <w:bookmarkEnd w:id="2"/>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道德品质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1.2.1</w:t>
      </w:r>
      <w:r>
        <w:rPr>
          <w:rFonts w:hint="eastAsia" w:ascii="仿宋_GB2312" w:hAnsi="仿宋_GB2312" w:eastAsia="仿宋_GB2312" w:cs="仿宋_GB2312"/>
          <w:color w:val="auto"/>
          <w:sz w:val="32"/>
          <w:szCs w:val="32"/>
        </w:rPr>
        <w:t>自觉遵守公民道德规范，遵守各项法律法规；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1.2.2</w:t>
      </w:r>
      <w:r>
        <w:rPr>
          <w:rFonts w:hint="eastAsia" w:ascii="仿宋_GB2312" w:hAnsi="仿宋_GB2312" w:eastAsia="仿宋_GB2312" w:cs="仿宋_GB2312"/>
          <w:color w:val="auto"/>
          <w:sz w:val="32"/>
          <w:szCs w:val="32"/>
        </w:rPr>
        <w:t>诚实守信，言行如一，具有正确的人生观、价值观；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1.2.3</w:t>
      </w:r>
      <w:r>
        <w:rPr>
          <w:rFonts w:hint="eastAsia" w:ascii="仿宋_GB2312" w:hAnsi="仿宋_GB2312" w:eastAsia="仿宋_GB2312" w:cs="仿宋_GB2312"/>
          <w:color w:val="auto"/>
          <w:sz w:val="32"/>
          <w:szCs w:val="32"/>
        </w:rPr>
        <w:t>自觉履行公民义务，具有强烈的责任感和使命感；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3" w:name="bookmark25"/>
      <w:bookmarkEnd w:id="3"/>
      <w:r>
        <w:rPr>
          <w:rFonts w:hint="eastAsia" w:ascii="仿宋_GB2312" w:hAnsi="仿宋_GB2312" w:eastAsia="仿宋_GB2312" w:cs="仿宋_GB2312"/>
          <w:b/>
          <w:bCs/>
          <w:color w:val="auto"/>
          <w:sz w:val="32"/>
          <w:szCs w:val="32"/>
          <w:lang w:val="en-US" w:eastAsia="zh-CN"/>
        </w:rPr>
        <w:t>1.3职业操守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1.3.1</w:t>
      </w:r>
      <w:r>
        <w:rPr>
          <w:rFonts w:hint="eastAsia" w:ascii="仿宋_GB2312" w:hAnsi="仿宋_GB2312" w:eastAsia="仿宋_GB2312" w:cs="仿宋_GB2312"/>
          <w:color w:val="auto"/>
          <w:sz w:val="32"/>
          <w:szCs w:val="32"/>
        </w:rPr>
        <w:t>热爱本职工作，忠于职守，无私奉献，具有崇高的职业荣誉感；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1.3.2</w:t>
      </w:r>
      <w:r>
        <w:rPr>
          <w:rFonts w:hint="eastAsia" w:ascii="仿宋_GB2312" w:hAnsi="仿宋_GB2312" w:eastAsia="仿宋_GB2312" w:cs="仿宋_GB2312"/>
          <w:color w:val="auto"/>
          <w:sz w:val="32"/>
          <w:szCs w:val="32"/>
        </w:rPr>
        <w:t>模范遵守组织内部各项规章制度，公私分明；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1.3.3</w:t>
      </w:r>
      <w:r>
        <w:rPr>
          <w:rFonts w:hint="eastAsia" w:ascii="仿宋_GB2312" w:hAnsi="仿宋_GB2312" w:eastAsia="仿宋_GB2312" w:cs="仿宋_GB2312"/>
          <w:color w:val="auto"/>
          <w:sz w:val="32"/>
          <w:szCs w:val="32"/>
        </w:rPr>
        <w:t>在工作中秉持守法诚信的基本要求，维护组织的根本利益和社会的公平正义；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1.3.4</w:t>
      </w:r>
      <w:r>
        <w:rPr>
          <w:rFonts w:hint="eastAsia" w:ascii="仿宋_GB2312" w:hAnsi="仿宋_GB2312" w:eastAsia="仿宋_GB2312" w:cs="仿宋_GB2312"/>
          <w:color w:val="auto"/>
          <w:sz w:val="32"/>
          <w:szCs w:val="32"/>
        </w:rPr>
        <w:t>具有强烈的创新意识和良好的创新能力，锐意进取，勇于开拓。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1.4社会评价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1.4.1组织内部颁发的各种荣誉。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1.4.2组织外部颁发的各种荣誉。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bookmarkStart w:id="4" w:name="bookmark26"/>
      <w:bookmarkEnd w:id="4"/>
      <w:r>
        <w:rPr>
          <w:rFonts w:hint="eastAsia" w:ascii="仿宋_GB2312" w:hAnsi="仿宋_GB2312" w:eastAsia="仿宋_GB2312" w:cs="仿宋_GB2312"/>
          <w:b/>
          <w:bCs/>
          <w:color w:val="auto"/>
          <w:sz w:val="32"/>
          <w:szCs w:val="32"/>
          <w:lang w:val="en-US" w:eastAsia="zh-CN"/>
        </w:rPr>
        <w:t>2.1质量文化与理论提升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2.1.1熟悉并执行国家质量方针、政策和法规，熟悉世界最前沿的质量管理技术和研究成果，具有很强的质量管理理论水平。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2.1.2结合组织实际积极学习、推广、应用当前国内外先进的质量管理理论和方法，积极参加质量提升活动，在促进益阳高新区质量管理理论和实践的发展方面具有较强的影响力。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2.1.3掌握现代质量管理、经营管理的理念和方法，在传播先进的质量管理、经营管理理念、方法、技术和带领其他组织共同提高质量管理水平方面取得明显效果。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2.1.4关注团队成员的需求和期望，营造学习、创新、开拓进取、团结奋进的优良环境。注重质量专业人才培养，建立了高效的质量管理团队。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2.1.5建立和完善质量长效机制，有创新，有特色，效果明显。自觉践行质量文化，在区（市）内、行业内有较大影响，并被广泛推广应用。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2.2突破和创新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2.2.1近三年来，在攻克产品质量、服务质量、经营管理的难点和疑点方面成绩显著，对区（市）质量提升有明显的推动作用，或创造了显著的经济效益。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2.2.2在质量技术方面取得重大改进或突破创新，有效解决了生产或服务环节中的质量难题。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2.2.3解决难点和疑点的思路、方法以及形成的规范(技术、管理)或制度，具有较高的推广应用的价值。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2.3工作业绩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2.3.1在权威刊物发表与质量相关的重要学术论文，或出版了高水平的理论专著、译著、教材等。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2.3.2研究成果在实际质量工作中得到有效应用，解决了质量难题，提升了质量水平，形成了具有自主知识产权的质量核心技术。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2.3.3组织或个人的社会知名度较高，组织或个人在社会享有较好的美誉度，获得政府质量、管理等方面表彰。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2.3.4为所在单位的经济效益和社会效益作出了较大的贡</w:t>
      </w:r>
      <w:r>
        <w:rPr>
          <w:rFonts w:hint="eastAsia" w:ascii="仿宋_GB2312" w:hAnsi="仿宋_GB2312" w:eastAsia="仿宋_GB2312" w:cs="仿宋_GB2312"/>
          <w:sz w:val="32"/>
          <w:szCs w:val="32"/>
          <w:lang w:val="en-US" w:eastAsia="zh-CN"/>
        </w:rPr>
        <w:t>献。</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eastAsia="黑体" w:cs="Times New Roman"/>
          <w:b w:val="0"/>
          <w:bCs w:val="0"/>
          <w:color w:val="000000"/>
          <w:kern w:val="0"/>
          <w:sz w:val="32"/>
          <w:szCs w:val="32"/>
          <w:lang w:val="en-US" w:eastAsia="zh-CN"/>
        </w:rPr>
      </w:pPr>
      <w:r>
        <w:rPr>
          <w:rFonts w:hint="eastAsia" w:eastAsia="黑体" w:cs="Times New Roman"/>
          <w:b w:val="0"/>
          <w:bCs w:val="0"/>
          <w:color w:val="000000"/>
          <w:kern w:val="0"/>
          <w:sz w:val="32"/>
          <w:szCs w:val="32"/>
          <w:lang w:val="en-US" w:eastAsia="zh-CN"/>
        </w:rPr>
        <w:t>三、否决事项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有以下情形的，取消候选人的参评资格：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5" w:name="bookmark29"/>
      <w:bookmarkEnd w:id="5"/>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近三年内有违反法律法规记录的；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6" w:name="bookmark30"/>
      <w:bookmarkEnd w:id="6"/>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在工作中造成重大失误，产生严重后果和不良影响的;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7" w:name="bookmark31"/>
      <w:bookmarkEnd w:id="7"/>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近三年内所在单位发生重大质量安全事故的；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bookmarkStart w:id="8" w:name="bookmark32"/>
      <w:bookmarkEnd w:id="8"/>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近三年内录入不良诚信名录信息；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申报材料弄虚作假。</w: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page">
                  <wp:posOffset>4753610</wp:posOffset>
                </wp:positionH>
                <wp:positionV relativeFrom="paragraph">
                  <wp:posOffset>362585</wp:posOffset>
                </wp:positionV>
                <wp:extent cx="1749425" cy="231775"/>
                <wp:effectExtent l="0" t="0" r="0" b="0"/>
                <wp:wrapSquare wrapText="bothSides"/>
                <wp:docPr id="16" name="Shape 16"/>
                <wp:cNvGraphicFramePr/>
                <a:graphic xmlns:a="http://schemas.openxmlformats.org/drawingml/2006/main">
                  <a:graphicData uri="http://schemas.microsoft.com/office/word/2010/wordprocessingShape">
                    <wps:wsp>
                      <wps:cNvSpPr txBox="1"/>
                      <wps:spPr>
                        <a:xfrm>
                          <a:off x="0" y="0"/>
                          <a:ext cx="1749425" cy="231775"/>
                        </a:xfrm>
                        <a:prstGeom prst="rect">
                          <a:avLst/>
                        </a:prstGeom>
                        <a:noFill/>
                      </wps:spPr>
                      <wps:txbx>
                        <w:txbxContent>
                          <w:p>
                            <w:pPr>
                              <w:pStyle w:val="4"/>
                              <w:keepNext w:val="0"/>
                              <w:keepLines w:val="0"/>
                              <w:widowControl w:val="0"/>
                              <w:shd w:val="clear" w:color="auto" w:fill="auto"/>
                              <w:bidi w:val="0"/>
                              <w:spacing w:before="0" w:after="0" w:line="240" w:lineRule="auto"/>
                              <w:ind w:left="0" w:right="0" w:firstLine="0"/>
                              <w:jc w:val="left"/>
                            </w:pPr>
                          </w:p>
                        </w:txbxContent>
                      </wps:txbx>
                      <wps:bodyPr wrap="none" lIns="0" tIns="0" rIns="0" bIns="0">
                        <a:noAutofit/>
                      </wps:bodyPr>
                    </wps:wsp>
                  </a:graphicData>
                </a:graphic>
              </wp:anchor>
            </w:drawing>
          </mc:Choice>
          <mc:Fallback>
            <w:pict>
              <v:shape id="Shape 16" o:spid="_x0000_s1026" o:spt="202" type="#_x0000_t202" style="position:absolute;left:0pt;margin-left:374.3pt;margin-top:28.55pt;height:18.25pt;width:137.75pt;mso-position-horizontal-relative:page;mso-wrap-distance-bottom:0pt;mso-wrap-distance-left:9pt;mso-wrap-distance-right:9pt;mso-wrap-distance-top:0pt;mso-wrap-style:none;z-index:251659264;mso-width-relative:page;mso-height-relative:page;" filled="f" stroked="f" coordsize="21600,21600" o:gfxdata="UEsDBAoAAAAAAIdO4kAAAAAAAAAAAAAAAAAEAAAAZHJzL1BLAwQUAAAACACHTuJAhPoBf9cAAAAK&#10;AQAADwAAAGRycy9kb3ducmV2LnhtbE2PsU7DMBCGdyTewTokNmq7lDSEXDogGKnUwsLmxNckbWxH&#10;ttOGt8edYLvTffrv+8vNbAZ2Jh96ZxHkQgAj2zjd2xbh6/P9IQcWorJaDc4Swg8F2FS3N6UqtLvY&#10;HZ33sWUpxIZCIXQxjgXnoenIqLBwI9l0OzhvVEyrb7n26pLCzcCXQmTcqN6mD50a6bWj5rSfDMLh&#10;Y3s6vk07cWxFTt/S01zLLeL9nRQvwCLN8Q+Gq35Shyo51W6yOrABYb3Ks4QiPK0lsCsglqs01QjP&#10;jxnwquT/K1S/UEsDBBQAAAAIAIdO4kCDEUBXrgEAAHIDAAAOAAAAZHJzL2Uyb0RvYy54bWytU8Fu&#10;2zAMvQ/YPwi6L06ytlmNOEWHoMOAYSvQ7QMUWYoFSKIgKrHz96VkJy3aSw+7yBRJPfI90uu7wVl2&#10;VBEN+IYvZnPOlJfQGr9v+L+/D1++cYZJ+FZY8KrhJ4X8bvP507oPtVpCB7ZVkRGIx7oPDe9SCnVV&#10;oeyUEziDoDwFNUQnEl3jvmqj6And2Wo5n99UPcQ2RJAKkbzbMcgnxPgRQNDaSLUFeXDKpxE1KisS&#10;UcLOBOSb0q3WSqY/WqNKzDacmKZyUhGyd/msNmtR76MInZFTC+IjLbzh5ITxVPQCtRVJsEM076Cc&#10;kREQdJpJcNVIpChCLBbzN9o8dSKowoWkxnARHf8frPx9fIzMtLQJN5x54WjipSyjO4nTB6wp5ylQ&#10;Vhq+w0CJZz+SM3MedHT5S2wYxUna00VaNSQm86PV1e3V8pozSbHl18VqdZ1hqpfXIWL6ocCxbDQ8&#10;0uiKouL4C9OYek7JxTw8GGuzP7c4tpKtNOyGqe8dtCdqu6fpNtzTMnNmf3oSLy/C2YhnYzcZI/j9&#10;IYE2pW5GHaGmYjSK0vm0NnnWr+8l6+VX2T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PoBf9cA&#10;AAAKAQAADwAAAAAAAAABACAAAAAiAAAAZHJzL2Rvd25yZXYueG1sUEsBAhQAFAAAAAgAh07iQIMR&#10;QFeuAQAAcgMAAA4AAAAAAAAAAQAgAAAAJgEAAGRycy9lMm9Eb2MueG1sUEsFBgAAAAAGAAYAWQEA&#10;AEYFAAAAAA==&#10;">
                <v:fill on="f" focussize="0,0"/>
                <v:stroke on="f"/>
                <v:imagedata o:title=""/>
                <o:lock v:ext="edit" aspectratio="f"/>
                <v:textbox inset="0mm,0mm,0mm,0mm">
                  <w:txbxContent>
                    <w:p>
                      <w:pPr>
                        <w:pStyle w:val="4"/>
                        <w:keepNext w:val="0"/>
                        <w:keepLines w:val="0"/>
                        <w:widowControl w:val="0"/>
                        <w:shd w:val="clear" w:color="auto" w:fill="auto"/>
                        <w:bidi w:val="0"/>
                        <w:spacing w:before="0" w:after="0" w:line="240" w:lineRule="auto"/>
                        <w:ind w:left="0" w:right="0" w:firstLine="0"/>
                        <w:jc w:val="left"/>
                      </w:pPr>
                    </w:p>
                  </w:txbxContent>
                </v:textbox>
                <w10:wrap type="square"/>
              </v:shape>
            </w:pict>
          </mc:Fallback>
        </mc:AlternateContent>
      </w:r>
    </w:p>
    <w:p/>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zh-CN" w:eastAsia="zh-CN"/>
        </w:rPr>
      </w:pPr>
    </w:p>
    <w:p/>
    <w:p>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黑体" w:hAnsi="黑体" w:eastAsia="黑体" w:cs="黑体"/>
          <w:sz w:val="32"/>
          <w:szCs w:val="32"/>
          <w:u w:val="none"/>
          <w:lang w:val="en-US" w:eastAsia="zh-CN"/>
        </w:rPr>
      </w:pPr>
    </w:p>
    <w:p/>
    <w:p/>
    <w:sectPr>
      <w:pgSz w:w="11906" w:h="16838"/>
      <w:pgMar w:top="1928" w:right="1474" w:bottom="1701" w:left="1587" w:header="992" w:footer="1304" w:gutter="0"/>
      <w:pgNumType w:fmt="numberInDash"/>
      <w:cols w:space="720" w:num="1"/>
      <w:rtlGutter w:val="0"/>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M4MzllMzRlNjc0MWY2YTNiZDllN2Y5NzE0MmMifQ=="/>
  </w:docVars>
  <w:rsids>
    <w:rsidRoot w:val="307A4C27"/>
    <w:rsid w:val="307A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2022-07-01T03:23:00Z</dcterms:created>
  <dc:creator>农非我第一</dc:creator>
  <cp:lastModifiedBy>农非我第一</cp:lastModifiedBy>
  <dcterms:modified xsi:type="dcterms:W3CDTF">2022-07-01T03:23:35Z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31FF8B2B1C5D4D09B948781EC9B5DAF8</vt:lpwstr>
  </property>
</Properties>
</file>