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lang w:eastAsia="zh-CN"/>
        </w:rPr>
      </w:pPr>
    </w:p>
    <w:p>
      <w:pPr>
        <w:spacing w:line="640" w:lineRule="exact"/>
        <w:ind w:right="640"/>
        <w:jc w:val="center"/>
        <w:rPr>
          <w:rFonts w:hint="eastAsia" w:ascii="方正小标宋_GBK" w:eastAsia="方正小标宋_GBK"/>
          <w:color w:val="auto"/>
          <w:sz w:val="36"/>
          <w:szCs w:val="36"/>
        </w:rPr>
      </w:pPr>
      <w:r>
        <w:rPr>
          <w:rFonts w:hint="eastAsia" w:ascii="方正小标宋_GBK" w:eastAsia="方正小标宋_GBK"/>
          <w:color w:val="auto"/>
          <w:sz w:val="36"/>
          <w:szCs w:val="36"/>
          <w:lang w:eastAsia="zh-CN"/>
        </w:rPr>
        <w:t>益阳市赫山区</w:t>
      </w:r>
      <w:r>
        <w:rPr>
          <w:rFonts w:hint="eastAsia" w:ascii="方正小标宋_GBK" w:eastAsia="方正小标宋_GBK"/>
          <w:color w:val="auto"/>
          <w:sz w:val="36"/>
          <w:szCs w:val="36"/>
          <w:lang w:val="en-US" w:eastAsia="zh-CN"/>
        </w:rPr>
        <w:t>2020</w:t>
      </w:r>
      <w:r>
        <w:rPr>
          <w:rFonts w:hint="eastAsia" w:ascii="方正小标宋_GBK" w:eastAsia="方正小标宋_GBK"/>
          <w:color w:val="auto"/>
          <w:sz w:val="36"/>
          <w:szCs w:val="36"/>
        </w:rPr>
        <w:t>年度</w:t>
      </w:r>
      <w:r>
        <w:rPr>
          <w:rFonts w:hint="eastAsia" w:ascii="方正小标宋_GBK" w:eastAsia="方正小标宋_GBK"/>
          <w:color w:val="auto"/>
          <w:sz w:val="36"/>
          <w:szCs w:val="36"/>
          <w:lang w:val="en-US" w:eastAsia="zh-CN"/>
        </w:rPr>
        <w:t>公租房配套基础建设及国有工矿棚户区改造项目</w:t>
      </w:r>
      <w:r>
        <w:rPr>
          <w:rFonts w:hint="eastAsia" w:ascii="方正小标宋_GBK" w:eastAsia="方正小标宋_GBK"/>
          <w:color w:val="auto"/>
          <w:sz w:val="36"/>
          <w:szCs w:val="36"/>
        </w:rPr>
        <w:t>专项资金绩效评价报告</w:t>
      </w:r>
    </w:p>
    <w:p>
      <w:pPr>
        <w:spacing w:line="240" w:lineRule="exact"/>
        <w:ind w:left="1722" w:leftChars="820" w:right="641" w:firstLine="882" w:firstLineChars="245"/>
        <w:jc w:val="center"/>
        <w:rPr>
          <w:rFonts w:hint="eastAsia" w:ascii="方正小标宋_GBK" w:eastAsia="方正小标宋_GBK"/>
          <w:color w:val="auto"/>
          <w:sz w:val="36"/>
          <w:szCs w:val="36"/>
        </w:rPr>
      </w:pPr>
    </w:p>
    <w:p>
      <w:pPr>
        <w:snapToGrid w:val="0"/>
        <w:spacing w:line="360" w:lineRule="auto"/>
        <w:jc w:val="center"/>
        <w:rPr>
          <w:rFonts w:hint="eastAsia" w:eastAsia="楷体_GB2312"/>
          <w:color w:val="auto"/>
          <w:sz w:val="32"/>
          <w:szCs w:val="28"/>
          <w:lang w:eastAsia="zh-CN"/>
        </w:rPr>
      </w:pPr>
      <w:r>
        <w:rPr>
          <w:rFonts w:hint="eastAsia" w:eastAsia="楷体_GB2312"/>
          <w:color w:val="auto"/>
          <w:sz w:val="32"/>
          <w:szCs w:val="28"/>
          <w:lang w:eastAsia="zh-CN"/>
        </w:rPr>
        <w:t>湖南鹏程会计师事务所有限公司</w:t>
      </w:r>
    </w:p>
    <w:p>
      <w:pPr>
        <w:snapToGrid w:val="0"/>
        <w:spacing w:line="360" w:lineRule="auto"/>
        <w:jc w:val="center"/>
        <w:rPr>
          <w:rFonts w:hint="eastAsia" w:eastAsia="楷体_GB2312"/>
          <w:color w:val="auto"/>
          <w:sz w:val="32"/>
          <w:szCs w:val="28"/>
        </w:rPr>
      </w:pPr>
      <w:r>
        <w:rPr>
          <w:rFonts w:hint="eastAsia" w:eastAsia="楷体_GB2312"/>
          <w:color w:val="auto"/>
          <w:sz w:val="32"/>
          <w:szCs w:val="28"/>
          <w:lang w:eastAsia="zh-CN"/>
        </w:rPr>
        <w:t>（</w:t>
      </w:r>
      <w:r>
        <w:rPr>
          <w:rFonts w:hint="eastAsia" w:eastAsia="楷体_GB2312"/>
          <w:color w:val="auto"/>
          <w:sz w:val="32"/>
          <w:szCs w:val="28"/>
        </w:rPr>
        <w:t>20</w:t>
      </w:r>
      <w:r>
        <w:rPr>
          <w:rFonts w:hint="eastAsia" w:eastAsia="楷体_GB2312"/>
          <w:color w:val="auto"/>
          <w:sz w:val="32"/>
          <w:szCs w:val="28"/>
          <w:lang w:val="en-US" w:eastAsia="zh-CN"/>
        </w:rPr>
        <w:t>21</w:t>
      </w:r>
      <w:r>
        <w:rPr>
          <w:rFonts w:hint="eastAsia" w:eastAsia="楷体_GB2312"/>
          <w:color w:val="auto"/>
          <w:sz w:val="32"/>
          <w:szCs w:val="28"/>
        </w:rPr>
        <w:t>年</w:t>
      </w:r>
      <w:r>
        <w:rPr>
          <w:rFonts w:hint="eastAsia" w:eastAsia="楷体_GB2312"/>
          <w:color w:val="auto"/>
          <w:sz w:val="32"/>
          <w:szCs w:val="28"/>
          <w:lang w:val="en-US" w:eastAsia="zh-CN"/>
        </w:rPr>
        <w:t>10</w:t>
      </w:r>
      <w:r>
        <w:rPr>
          <w:rFonts w:hint="eastAsia" w:eastAsia="楷体_GB2312"/>
          <w:color w:val="auto"/>
          <w:sz w:val="32"/>
          <w:szCs w:val="28"/>
        </w:rPr>
        <w:t>月</w:t>
      </w:r>
      <w:r>
        <w:rPr>
          <w:rFonts w:hint="eastAsia" w:eastAsia="楷体_GB2312"/>
          <w:color w:val="auto"/>
          <w:sz w:val="32"/>
          <w:szCs w:val="28"/>
          <w:lang w:eastAsia="zh-CN"/>
        </w:rPr>
        <w:t>）</w:t>
      </w:r>
    </w:p>
    <w:p>
      <w:pPr>
        <w:snapToGrid w:val="0"/>
        <w:spacing w:line="600" w:lineRule="exact"/>
        <w:ind w:firstLine="640" w:firstLineChars="200"/>
        <w:rPr>
          <w:rFonts w:eastAsia="楷体_GB2312"/>
          <w:color w:val="auto"/>
          <w:sz w:val="32"/>
          <w:szCs w:val="28"/>
        </w:rPr>
      </w:pPr>
    </w:p>
    <w:p>
      <w:pPr>
        <w:snapToGrid w:val="0"/>
        <w:spacing w:line="600" w:lineRule="exact"/>
        <w:ind w:firstLine="640" w:firstLineChars="200"/>
        <w:rPr>
          <w:rFonts w:eastAsia="仿宋_GB2312"/>
          <w:color w:val="auto"/>
          <w:sz w:val="32"/>
          <w:szCs w:val="28"/>
        </w:rPr>
      </w:pPr>
      <w:r>
        <w:rPr>
          <w:rFonts w:eastAsia="仿宋_GB2312"/>
          <w:color w:val="auto"/>
          <w:sz w:val="32"/>
          <w:szCs w:val="28"/>
        </w:rPr>
        <w:t>为了对</w:t>
      </w:r>
      <w:r>
        <w:rPr>
          <w:rFonts w:hint="eastAsia" w:eastAsia="仿宋_GB2312"/>
          <w:color w:val="auto"/>
          <w:sz w:val="32"/>
          <w:szCs w:val="28"/>
          <w:lang w:eastAsia="zh-CN"/>
        </w:rPr>
        <w:t>2020年第一批保障性安居工程专项（棚户区改造公租房配套基础设施建设及国有工矿棚户区改造）</w:t>
      </w:r>
      <w:r>
        <w:rPr>
          <w:rFonts w:eastAsia="仿宋_GB2312"/>
          <w:color w:val="auto"/>
          <w:sz w:val="32"/>
          <w:szCs w:val="28"/>
        </w:rPr>
        <w:t>专</w:t>
      </w:r>
      <w:r>
        <w:rPr>
          <w:rFonts w:hint="eastAsia" w:ascii="仿宋_GB2312" w:hAnsi="仿宋_GB2312" w:eastAsia="仿宋_GB2312" w:cs="仿宋_GB2312"/>
          <w:color w:val="auto"/>
          <w:sz w:val="32"/>
          <w:szCs w:val="28"/>
        </w:rPr>
        <w:t>项资金的</w:t>
      </w:r>
      <w:r>
        <w:rPr>
          <w:rFonts w:eastAsia="仿宋_GB2312"/>
          <w:color w:val="auto"/>
          <w:sz w:val="32"/>
          <w:szCs w:val="28"/>
        </w:rPr>
        <w:t>管理、使用及效益情况进行全面的了解和评价，根据</w:t>
      </w:r>
      <w:r>
        <w:rPr>
          <w:rFonts w:hint="eastAsia" w:ascii="仿宋_GB2312" w:hAnsi="仿宋_GB2312" w:eastAsia="仿宋_GB2312" w:cs="仿宋_GB2312"/>
          <w:color w:val="000000" w:themeColor="text1"/>
          <w:sz w:val="28"/>
          <w:szCs w:val="28"/>
          <w:shd w:val="clear" w:color="auto" w:fill="FFFFFF"/>
          <w14:textFill>
            <w14:solidFill>
              <w14:schemeClr w14:val="tx1"/>
            </w14:solidFill>
          </w14:textFill>
        </w:rPr>
        <w:t>《</w:t>
      </w:r>
      <w:r>
        <w:rPr>
          <w:rFonts w:hint="eastAsia" w:ascii="仿宋_GB2312" w:hAnsi="仿宋_GB2312" w:eastAsia="仿宋_GB2312" w:cs="仿宋_GB2312"/>
          <w:color w:val="000000" w:themeColor="text1"/>
          <w:sz w:val="32"/>
          <w:szCs w:val="32"/>
          <w:shd w:val="clear" w:color="auto" w:fill="FFFFFF"/>
          <w14:textFill>
            <w14:solidFill>
              <w14:schemeClr w14:val="tx1"/>
            </w14:solidFill>
          </w14:textFill>
        </w:rPr>
        <w:t>中共中央 国务院关于全面实施预算绩效管理的</w:t>
      </w:r>
      <w:r>
        <w:rPr>
          <w:rFonts w:hint="eastAsia" w:ascii="仿宋_GB2312" w:eastAsia="仿宋_GB2312"/>
          <w:color w:val="000000" w:themeColor="text1"/>
          <w:sz w:val="32"/>
          <w:szCs w:val="32"/>
          <w14:textFill>
            <w14:solidFill>
              <w14:schemeClr w14:val="tx1"/>
            </w14:solidFill>
          </w14:textFill>
        </w:rPr>
        <w:t>意见》 （中发〔2018〕34号）、《中共湖南省委办公厅  湖南省人民政府办公厅关于全面实施预算绩效管理的实施意见》（湘办发〔2019〕10号）、《益阳市财政局关于转发〈湖南省预算绩效管理工作规程（试行）〉的通知》（益财绩〔2014〕126号）</w:t>
      </w:r>
      <w:r>
        <w:rPr>
          <w:rFonts w:hint="eastAsia" w:eastAsia="仿宋_GB2312"/>
          <w:color w:val="auto"/>
          <w:sz w:val="32"/>
          <w:szCs w:val="32"/>
          <w:lang w:eastAsia="zh-CN"/>
        </w:rPr>
        <w:t>、《益阳市赫山区财政局关于开展</w:t>
      </w:r>
      <w:r>
        <w:rPr>
          <w:rFonts w:hint="eastAsia" w:eastAsia="仿宋_GB2312"/>
          <w:color w:val="auto"/>
          <w:sz w:val="32"/>
          <w:szCs w:val="32"/>
          <w:lang w:val="en-US" w:eastAsia="zh-CN"/>
        </w:rPr>
        <w:t>2020年度财政性资金现场绩效评价工作的通知</w:t>
      </w:r>
      <w:r>
        <w:rPr>
          <w:rFonts w:hint="eastAsia" w:eastAsia="仿宋_GB2312"/>
          <w:color w:val="auto"/>
          <w:sz w:val="32"/>
          <w:szCs w:val="32"/>
          <w:lang w:eastAsia="zh-CN"/>
        </w:rPr>
        <w:t>》（益赫财绩</w:t>
      </w:r>
      <w:r>
        <w:rPr>
          <w:rFonts w:eastAsia="仿宋_GB2312"/>
          <w:color w:val="auto"/>
          <w:sz w:val="32"/>
          <w:szCs w:val="32"/>
        </w:rPr>
        <w:t>〔20</w:t>
      </w:r>
      <w:r>
        <w:rPr>
          <w:rFonts w:hint="eastAsia" w:eastAsia="仿宋_GB2312"/>
          <w:color w:val="auto"/>
          <w:sz w:val="32"/>
          <w:szCs w:val="32"/>
          <w:lang w:val="en-US" w:eastAsia="zh-CN"/>
        </w:rPr>
        <w:t>21</w:t>
      </w:r>
      <w:r>
        <w:rPr>
          <w:rFonts w:eastAsia="仿宋_GB2312"/>
          <w:color w:val="auto"/>
          <w:sz w:val="32"/>
          <w:szCs w:val="32"/>
        </w:rPr>
        <w:t>〕</w:t>
      </w:r>
      <w:r>
        <w:rPr>
          <w:rFonts w:hint="eastAsia" w:eastAsia="仿宋_GB2312"/>
          <w:color w:val="auto"/>
          <w:sz w:val="32"/>
          <w:szCs w:val="32"/>
          <w:lang w:val="en-US" w:eastAsia="zh-CN"/>
        </w:rPr>
        <w:t>3号</w:t>
      </w:r>
      <w:r>
        <w:rPr>
          <w:rFonts w:hint="eastAsia" w:eastAsia="仿宋_GB2312"/>
          <w:color w:val="auto"/>
          <w:sz w:val="32"/>
          <w:szCs w:val="32"/>
          <w:lang w:eastAsia="zh-CN"/>
        </w:rPr>
        <w:t>）</w:t>
      </w:r>
      <w:r>
        <w:rPr>
          <w:rFonts w:eastAsia="仿宋_GB2312"/>
          <w:color w:val="auto"/>
          <w:sz w:val="32"/>
          <w:szCs w:val="28"/>
        </w:rPr>
        <w:t>，</w:t>
      </w:r>
      <w:r>
        <w:rPr>
          <w:rFonts w:hint="eastAsia" w:eastAsia="仿宋_GB2312"/>
          <w:color w:val="auto"/>
          <w:sz w:val="32"/>
          <w:szCs w:val="28"/>
          <w:lang w:eastAsia="zh-CN"/>
        </w:rPr>
        <w:t>赫山区</w:t>
      </w:r>
      <w:r>
        <w:rPr>
          <w:rFonts w:eastAsia="仿宋_GB2312"/>
          <w:color w:val="auto"/>
          <w:sz w:val="32"/>
          <w:szCs w:val="28"/>
        </w:rPr>
        <w:t>财政</w:t>
      </w:r>
      <w:r>
        <w:rPr>
          <w:rFonts w:hint="eastAsia" w:eastAsia="仿宋_GB2312"/>
          <w:color w:val="auto"/>
          <w:sz w:val="32"/>
          <w:szCs w:val="28"/>
          <w:lang w:eastAsia="zh-CN"/>
        </w:rPr>
        <w:t>局</w:t>
      </w:r>
      <w:r>
        <w:rPr>
          <w:rFonts w:eastAsia="仿宋_GB2312"/>
          <w:color w:val="auto"/>
          <w:sz w:val="32"/>
          <w:szCs w:val="28"/>
        </w:rPr>
        <w:t>委托我</w:t>
      </w:r>
      <w:r>
        <w:rPr>
          <w:rFonts w:hint="eastAsia" w:eastAsia="仿宋_GB2312"/>
          <w:color w:val="auto"/>
          <w:sz w:val="32"/>
          <w:szCs w:val="28"/>
          <w:lang w:eastAsia="zh-CN"/>
        </w:rPr>
        <w:t>公司</w:t>
      </w:r>
      <w:r>
        <w:rPr>
          <w:rFonts w:eastAsia="仿宋_GB2312"/>
          <w:color w:val="auto"/>
          <w:sz w:val="32"/>
          <w:szCs w:val="28"/>
        </w:rPr>
        <w:t>对</w:t>
      </w:r>
      <w:r>
        <w:rPr>
          <w:rFonts w:hint="eastAsia" w:eastAsia="仿宋_GB2312"/>
          <w:color w:val="auto"/>
          <w:sz w:val="32"/>
          <w:szCs w:val="28"/>
        </w:rPr>
        <w:t>2020年第一批保障性安居工程专项（棚户区改造公租房配套基础设施建设及国有工矿棚户区改造）</w:t>
      </w:r>
      <w:r>
        <w:rPr>
          <w:rFonts w:hint="eastAsia" w:eastAsia="仿宋_GB2312"/>
          <w:color w:val="auto"/>
          <w:sz w:val="32"/>
          <w:szCs w:val="28"/>
          <w:lang w:eastAsia="zh-CN"/>
        </w:rPr>
        <w:t>项目</w:t>
      </w:r>
      <w:r>
        <w:rPr>
          <w:rFonts w:eastAsia="仿宋_GB2312"/>
          <w:color w:val="auto"/>
          <w:sz w:val="32"/>
          <w:szCs w:val="28"/>
        </w:rPr>
        <w:t>专</w:t>
      </w:r>
      <w:r>
        <w:rPr>
          <w:rFonts w:hint="eastAsia" w:ascii="仿宋_GB2312" w:hAnsi="仿宋_GB2312" w:eastAsia="仿宋_GB2312" w:cs="仿宋_GB2312"/>
          <w:color w:val="auto"/>
          <w:sz w:val="32"/>
          <w:szCs w:val="28"/>
        </w:rPr>
        <w:t>项资金</w:t>
      </w:r>
      <w:r>
        <w:rPr>
          <w:rFonts w:eastAsia="仿宋_GB2312"/>
          <w:color w:val="auto"/>
          <w:sz w:val="32"/>
          <w:szCs w:val="32"/>
        </w:rPr>
        <w:t>进行绩效评价。我</w:t>
      </w:r>
      <w:r>
        <w:rPr>
          <w:rFonts w:hint="eastAsia" w:eastAsia="仿宋_GB2312"/>
          <w:color w:val="auto"/>
          <w:sz w:val="32"/>
          <w:szCs w:val="32"/>
          <w:lang w:eastAsia="zh-CN"/>
        </w:rPr>
        <w:t>司</w:t>
      </w:r>
      <w:r>
        <w:rPr>
          <w:rFonts w:eastAsia="仿宋_GB2312"/>
          <w:color w:val="auto"/>
          <w:sz w:val="32"/>
          <w:szCs w:val="28"/>
        </w:rPr>
        <w:t>组织专业人员，对</w:t>
      </w:r>
      <w:r>
        <w:rPr>
          <w:rFonts w:hint="eastAsia" w:eastAsia="仿宋_GB2312"/>
          <w:color w:val="auto"/>
          <w:sz w:val="32"/>
          <w:szCs w:val="28"/>
          <w:lang w:eastAsia="zh-CN"/>
        </w:rPr>
        <w:t>区直部门和部分乡镇及</w:t>
      </w:r>
      <w:r>
        <w:rPr>
          <w:rFonts w:hint="eastAsia" w:eastAsia="仿宋_GB2312"/>
          <w:color w:val="auto"/>
          <w:sz w:val="32"/>
          <w:szCs w:val="28"/>
          <w:lang w:val="en-US" w:eastAsia="zh-CN"/>
        </w:rPr>
        <w:t>下属自然村</w:t>
      </w:r>
      <w:r>
        <w:rPr>
          <w:rFonts w:hint="eastAsia" w:eastAsia="仿宋_GB2312"/>
          <w:color w:val="auto"/>
          <w:sz w:val="32"/>
          <w:szCs w:val="28"/>
        </w:rPr>
        <w:t>保障性安居工程及棚户区改造项目</w:t>
      </w:r>
      <w:r>
        <w:rPr>
          <w:rFonts w:eastAsia="仿宋_GB2312"/>
          <w:color w:val="auto"/>
          <w:sz w:val="32"/>
          <w:szCs w:val="28"/>
        </w:rPr>
        <w:t>进行了现场绩效评价，涉及对</w:t>
      </w:r>
      <w:r>
        <w:rPr>
          <w:rFonts w:hint="eastAsia" w:ascii="仿宋_GB2312" w:hAnsi="微软雅黑" w:eastAsia="仿宋_GB2312" w:cs="仿宋_GB2312"/>
          <w:color w:val="auto"/>
          <w:kern w:val="2"/>
          <w:sz w:val="32"/>
          <w:szCs w:val="32"/>
          <w:shd w:val="clear" w:color="auto" w:fill="FFFFFF"/>
          <w:lang w:val="en-US" w:eastAsia="zh-CN" w:bidi="ar"/>
        </w:rPr>
        <w:t>2020年第一批保障性安居工程专项（棚户区改造公租房配套基础设施建设及国有工矿棚户区改造）</w:t>
      </w:r>
      <w:r>
        <w:rPr>
          <w:rFonts w:hint="eastAsia" w:eastAsia="仿宋_GB2312"/>
          <w:color w:val="auto"/>
          <w:sz w:val="32"/>
          <w:szCs w:val="28"/>
          <w:lang w:eastAsia="zh-CN"/>
        </w:rPr>
        <w:t>项目</w:t>
      </w:r>
      <w:r>
        <w:rPr>
          <w:rFonts w:hint="eastAsia" w:eastAsia="仿宋_GB2312"/>
          <w:color w:val="auto"/>
          <w:sz w:val="32"/>
          <w:szCs w:val="28"/>
          <w:lang w:val="en-US" w:eastAsia="zh-CN"/>
        </w:rPr>
        <w:t>专项资金1200</w:t>
      </w:r>
      <w:r>
        <w:rPr>
          <w:rFonts w:eastAsia="仿宋_GB2312"/>
          <w:color w:val="auto"/>
          <w:sz w:val="32"/>
          <w:szCs w:val="28"/>
        </w:rPr>
        <w:t>万元。现将有关情况报告如下：</w:t>
      </w:r>
    </w:p>
    <w:p>
      <w:pPr>
        <w:snapToGrid w:val="0"/>
        <w:spacing w:line="600" w:lineRule="exact"/>
        <w:ind w:firstLine="640" w:firstLineChars="200"/>
        <w:rPr>
          <w:rFonts w:eastAsia="黑体"/>
          <w:bCs/>
          <w:color w:val="auto"/>
          <w:sz w:val="32"/>
        </w:rPr>
      </w:pPr>
      <w:r>
        <w:rPr>
          <w:rFonts w:eastAsia="黑体"/>
          <w:bCs/>
          <w:color w:val="auto"/>
          <w:sz w:val="32"/>
        </w:rPr>
        <w:t>一、基本情况</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(一)项目概况</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湖南省人民政府关于进一步做好城镇棚户区和城乡危房改造及配套基础设施建设有关工作的实施意见》（湘政发[2016]2号）提出：“2015-2017年，在全省实施城镇棚户区和城乡危房改造及配套基础设施建设三年行动计划（以下简称“三年行动计划”），改造包括城市危房、垦区危房、各类棚户区住房110万套；改造农村危房60万户，完成3000个以上行政村的整村推进，积极开展省级示范；加大棚改配套基础设施建设力度。</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本次</w:t>
      </w:r>
      <w:r>
        <w:rPr>
          <w:rFonts w:hint="eastAsia" w:ascii="仿宋_GB2312" w:hAnsi="微软雅黑" w:eastAsia="仿宋_GB2312" w:cs="仿宋_GB2312"/>
          <w:color w:val="auto"/>
          <w:kern w:val="2"/>
          <w:sz w:val="32"/>
          <w:szCs w:val="32"/>
          <w:shd w:val="clear" w:color="auto" w:fill="FFFFFF"/>
          <w:lang w:val="en-US" w:eastAsia="zh-CN" w:bidi="ar"/>
        </w:rPr>
        <w:t>2020年第一批保障性安居工程专项（棚户区改造公租房配套基础设施建设及国有工矿棚户区改造）</w:t>
      </w:r>
      <w:r>
        <w:rPr>
          <w:rFonts w:hint="eastAsia" w:eastAsia="仿宋_GB2312"/>
          <w:color w:val="auto"/>
          <w:sz w:val="32"/>
          <w:szCs w:val="28"/>
          <w:lang w:val="en-US" w:eastAsia="zh-CN"/>
        </w:rPr>
        <w:t xml:space="preserve">涉及两个项目，其明细如下：          </w:t>
      </w:r>
    </w:p>
    <w:p>
      <w:pPr>
        <w:snapToGrid w:val="0"/>
        <w:spacing w:line="600" w:lineRule="exact"/>
        <w:ind w:firstLine="480" w:firstLineChars="200"/>
        <w:jc w:val="right"/>
        <w:rPr>
          <w:rFonts w:hint="eastAsia" w:eastAsia="仿宋_GB2312"/>
          <w:color w:val="auto"/>
          <w:sz w:val="32"/>
          <w:szCs w:val="28"/>
          <w:lang w:eastAsia="zh-CN"/>
        </w:rPr>
      </w:pPr>
      <w:r>
        <w:rPr>
          <w:rFonts w:hint="eastAsia" w:eastAsia="仿宋_GB2312"/>
          <w:color w:val="auto"/>
          <w:sz w:val="24"/>
          <w:szCs w:val="24"/>
          <w:lang w:eastAsia="zh-CN"/>
        </w:rPr>
        <w:t>（单位：万元）</w:t>
      </w:r>
    </w:p>
    <w:tbl>
      <w:tblPr>
        <w:tblStyle w:val="9"/>
        <w:tblW w:w="0" w:type="auto"/>
        <w:tblInd w:w="96" w:type="dxa"/>
        <w:shd w:val="clear" w:color="auto" w:fill="auto"/>
        <w:tblLayout w:type="fixed"/>
        <w:tblCellMar>
          <w:top w:w="0" w:type="dxa"/>
          <w:left w:w="108" w:type="dxa"/>
          <w:bottom w:w="0" w:type="dxa"/>
          <w:right w:w="108" w:type="dxa"/>
        </w:tblCellMar>
      </w:tblPr>
      <w:tblGrid>
        <w:gridCol w:w="675"/>
        <w:gridCol w:w="1712"/>
        <w:gridCol w:w="4367"/>
        <w:gridCol w:w="2354"/>
      </w:tblGrid>
      <w:tr>
        <w:tblPrEx>
          <w:shd w:val="clear" w:color="auto" w:fill="auto"/>
          <w:tblCellMar>
            <w:top w:w="0" w:type="dxa"/>
            <w:left w:w="108" w:type="dxa"/>
            <w:bottom w:w="0" w:type="dxa"/>
            <w:right w:w="108" w:type="dxa"/>
          </w:tblCellMar>
        </w:tblPrEx>
        <w:trPr>
          <w:trHeight w:val="540" w:hRule="atLeast"/>
        </w:trPr>
        <w:tc>
          <w:tcPr>
            <w:tcW w:w="675"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1712"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指标单号</w:t>
            </w:r>
          </w:p>
        </w:tc>
        <w:tc>
          <w:tcPr>
            <w:tcW w:w="4367"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2354" w:type="dxa"/>
            <w:tcBorders>
              <w:top w:val="single" w:color="000000" w:sz="8" w:space="0"/>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w:t>
            </w:r>
          </w:p>
        </w:tc>
      </w:tr>
      <w:tr>
        <w:tblPrEx>
          <w:tblCellMar>
            <w:top w:w="0" w:type="dxa"/>
            <w:left w:w="108" w:type="dxa"/>
            <w:bottom w:w="0" w:type="dxa"/>
            <w:right w:w="108" w:type="dxa"/>
          </w:tblCellMar>
        </w:tblPrEx>
        <w:trPr>
          <w:trHeight w:val="460" w:hRule="atLeast"/>
        </w:trPr>
        <w:tc>
          <w:tcPr>
            <w:tcW w:w="675"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712" w:type="dxa"/>
            <w:vMerge w:val="restar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2020建指0116</w:t>
            </w:r>
          </w:p>
        </w:tc>
        <w:tc>
          <w:tcPr>
            <w:tcW w:w="436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会龙山李家洲社区棚户区改造项目配套基础设施建设项目</w:t>
            </w:r>
          </w:p>
        </w:tc>
        <w:tc>
          <w:tcPr>
            <w:tcW w:w="235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8,000,000.00</w:t>
            </w:r>
          </w:p>
        </w:tc>
      </w:tr>
      <w:tr>
        <w:tblPrEx>
          <w:shd w:val="clear" w:color="auto" w:fill="auto"/>
          <w:tblCellMar>
            <w:top w:w="0" w:type="dxa"/>
            <w:left w:w="108" w:type="dxa"/>
            <w:bottom w:w="0" w:type="dxa"/>
            <w:right w:w="108" w:type="dxa"/>
          </w:tblCellMar>
        </w:tblPrEx>
        <w:trPr>
          <w:trHeight w:val="560" w:hRule="atLeast"/>
        </w:trPr>
        <w:tc>
          <w:tcPr>
            <w:tcW w:w="675" w:type="dxa"/>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712" w:type="dxa"/>
            <w:vMerge w:val="continue"/>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4367"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桃花仑片区棚户区改造小区外配套基础设施建设项目</w:t>
            </w:r>
          </w:p>
        </w:tc>
        <w:tc>
          <w:tcPr>
            <w:tcW w:w="235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4,000,000.00</w:t>
            </w:r>
          </w:p>
        </w:tc>
      </w:tr>
      <w:tr>
        <w:tblPrEx>
          <w:tblCellMar>
            <w:top w:w="0" w:type="dxa"/>
            <w:left w:w="108" w:type="dxa"/>
            <w:bottom w:w="0" w:type="dxa"/>
            <w:right w:w="108" w:type="dxa"/>
          </w:tblCellMar>
        </w:tblPrEx>
        <w:trPr>
          <w:trHeight w:val="590" w:hRule="atLeast"/>
        </w:trPr>
        <w:tc>
          <w:tcPr>
            <w:tcW w:w="2387" w:type="dxa"/>
            <w:gridSpan w:val="2"/>
            <w:tcBorders>
              <w:top w:val="nil"/>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367" w:type="dxa"/>
            <w:tcBorders>
              <w:top w:val="nil"/>
              <w:left w:val="nil"/>
              <w:bottom w:val="single" w:color="000000" w:sz="8" w:space="0"/>
              <w:right w:val="single" w:color="000000" w:sz="8"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2354" w:type="dxa"/>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12,000,000.00</w:t>
            </w:r>
          </w:p>
        </w:tc>
      </w:tr>
    </w:tbl>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(二)项目绩效目标</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1.项目长期目标</w:t>
      </w:r>
    </w:p>
    <w:p>
      <w:pPr>
        <w:snapToGrid w:val="0"/>
        <w:spacing w:line="600" w:lineRule="exact"/>
        <w:ind w:firstLine="640" w:firstLineChars="200"/>
        <w:rPr>
          <w:rFonts w:hint="eastAsia" w:eastAsia="仿宋_GB2312"/>
          <w:color w:val="auto"/>
          <w:sz w:val="32"/>
          <w:szCs w:val="28"/>
          <w:lang w:val="en-US" w:eastAsia="zh-CN"/>
        </w:rPr>
      </w:pPr>
      <w:r>
        <w:rPr>
          <w:rFonts w:hint="eastAsia" w:ascii="仿宋" w:hAnsi="仿宋" w:eastAsia="仿宋"/>
          <w:sz w:val="32"/>
          <w:szCs w:val="32"/>
        </w:rPr>
        <w:t>社会主义市场经济的发展，要求良好的市政道路建设做保障，人民生活水平的提高，开车出行需要更加便捷的交通，建设经济及旅游发展走入快车道，分流各路车辆，这些都让促使赫山区加快市政道路建设和完善</w:t>
      </w:r>
      <w:r>
        <w:rPr>
          <w:rFonts w:hint="eastAsia" w:eastAsia="仿宋_GB2312"/>
          <w:color w:val="auto"/>
          <w:sz w:val="32"/>
          <w:szCs w:val="28"/>
          <w:lang w:val="en-US" w:eastAsia="zh-CN"/>
        </w:rPr>
        <w:t xml:space="preserve">。 </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2.项目年度目标</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1.会龙山李家洲社区棚户区改造项目配套基础设施建设项目，改建邓新路，道路宽12米，长1500米，排水管3000米，亮化工程、绿化工程、人行道及其他附属工程。</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2桃花仑片区棚户区改造小区外配套基础设施建设项目，改建体育路，道路宽8米，长700米，供水管700米，排水管1400米，亮化工程、绿化工程、人行道及其他附属工程。</w:t>
      </w:r>
    </w:p>
    <w:p>
      <w:pPr>
        <w:snapToGrid w:val="0"/>
        <w:spacing w:line="600" w:lineRule="exact"/>
        <w:ind w:firstLine="640" w:firstLineChars="200"/>
        <w:rPr>
          <w:rFonts w:hint="eastAsia" w:eastAsia="黑体"/>
          <w:bCs/>
          <w:color w:val="auto"/>
          <w:sz w:val="32"/>
        </w:rPr>
      </w:pPr>
      <w:r>
        <w:rPr>
          <w:rFonts w:hint="eastAsia" w:eastAsia="黑体"/>
          <w:bCs/>
          <w:color w:val="auto"/>
          <w:sz w:val="32"/>
        </w:rPr>
        <w:t>二、绩效评价工作情况</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(一)绩效评价目的</w:t>
      </w:r>
    </w:p>
    <w:p>
      <w:pPr>
        <w:snapToGrid w:val="0"/>
        <w:spacing w:line="600" w:lineRule="exact"/>
        <w:ind w:firstLine="640" w:firstLineChars="200"/>
        <w:rPr>
          <w:rFonts w:hint="eastAsia" w:eastAsia="仿宋_GB2312"/>
          <w:color w:val="auto"/>
          <w:sz w:val="32"/>
          <w:szCs w:val="28"/>
        </w:rPr>
      </w:pPr>
      <w:r>
        <w:rPr>
          <w:rFonts w:hint="eastAsia" w:eastAsia="仿宋_GB2312"/>
          <w:color w:val="auto"/>
          <w:sz w:val="32"/>
          <w:szCs w:val="28"/>
        </w:rPr>
        <w:t>通过</w:t>
      </w:r>
      <w:r>
        <w:rPr>
          <w:rFonts w:hint="eastAsia" w:eastAsia="仿宋_GB2312"/>
          <w:color w:val="auto"/>
          <w:sz w:val="32"/>
          <w:szCs w:val="28"/>
          <w:lang w:val="en-US" w:eastAsia="zh-CN"/>
        </w:rPr>
        <w:t>公租房配套基础设施建设及国有工矿棚户区改造专项</w:t>
      </w:r>
      <w:r>
        <w:rPr>
          <w:rFonts w:hint="eastAsia" w:eastAsia="仿宋_GB2312"/>
          <w:color w:val="auto"/>
          <w:sz w:val="32"/>
          <w:szCs w:val="28"/>
        </w:rPr>
        <w:t>预算资金绩效评价工作</w:t>
      </w:r>
      <w:r>
        <w:rPr>
          <w:rFonts w:hint="eastAsia" w:eastAsia="仿宋_GB2312"/>
          <w:color w:val="auto"/>
          <w:sz w:val="32"/>
          <w:szCs w:val="28"/>
          <w:lang w:eastAsia="zh-CN"/>
        </w:rPr>
        <w:t>，了解</w:t>
      </w:r>
      <w:r>
        <w:rPr>
          <w:rFonts w:hint="eastAsia" w:ascii="仿宋_GB2312" w:hAnsi="微软雅黑" w:eastAsia="仿宋_GB2312" w:cs="仿宋_GB2312"/>
          <w:color w:val="auto"/>
          <w:kern w:val="2"/>
          <w:sz w:val="32"/>
          <w:szCs w:val="32"/>
          <w:shd w:val="clear" w:color="auto" w:fill="FFFFFF"/>
          <w:lang w:val="en-US" w:eastAsia="zh-CN" w:bidi="ar"/>
        </w:rPr>
        <w:t>2020年第一批保障性安居工程专项（棚户区改造公租房配套基础设施建设及国有工矿棚户区改造）</w:t>
      </w:r>
      <w:r>
        <w:rPr>
          <w:rFonts w:hint="eastAsia" w:eastAsia="仿宋_GB2312"/>
          <w:color w:val="auto"/>
          <w:sz w:val="32"/>
          <w:szCs w:val="28"/>
          <w:lang w:val="en-US" w:eastAsia="zh-CN"/>
        </w:rPr>
        <w:t>专项资金</w:t>
      </w:r>
      <w:r>
        <w:rPr>
          <w:rFonts w:hint="eastAsia" w:eastAsia="仿宋_GB2312"/>
          <w:color w:val="auto"/>
          <w:sz w:val="32"/>
          <w:szCs w:val="28"/>
        </w:rPr>
        <w:t>使用情况，总结项目资金管理的经验，及时发现项目资金管理中存在的</w:t>
      </w:r>
      <w:r>
        <w:rPr>
          <w:rFonts w:hint="eastAsia" w:eastAsia="仿宋_GB2312"/>
          <w:color w:val="auto"/>
          <w:sz w:val="32"/>
          <w:szCs w:val="28"/>
          <w:lang w:eastAsia="zh-CN"/>
        </w:rPr>
        <w:t>问</w:t>
      </w:r>
      <w:r>
        <w:rPr>
          <w:rFonts w:hint="eastAsia" w:eastAsia="仿宋_GB2312"/>
          <w:color w:val="auto"/>
          <w:sz w:val="32"/>
          <w:szCs w:val="28"/>
        </w:rPr>
        <w:t>题，为加强财政支出的规范化管理，提高</w:t>
      </w:r>
      <w:r>
        <w:rPr>
          <w:rFonts w:hint="eastAsia" w:eastAsia="仿宋_GB2312"/>
          <w:color w:val="auto"/>
          <w:sz w:val="32"/>
          <w:szCs w:val="28"/>
          <w:lang w:val="en-US" w:eastAsia="zh-CN"/>
        </w:rPr>
        <w:t>公租房配套基础设施建设及国有工矿棚户区改造专项资金</w:t>
      </w:r>
      <w:r>
        <w:rPr>
          <w:rFonts w:hint="eastAsia" w:eastAsia="仿宋_GB2312"/>
          <w:color w:val="auto"/>
          <w:sz w:val="32"/>
          <w:szCs w:val="28"/>
        </w:rPr>
        <w:t>的使用效益，健全和完善项目支出和资金使用</w:t>
      </w:r>
      <w:r>
        <w:rPr>
          <w:rFonts w:hint="eastAsia" w:eastAsia="仿宋_GB2312"/>
          <w:color w:val="auto"/>
          <w:sz w:val="32"/>
          <w:szCs w:val="28"/>
          <w:lang w:eastAsia="zh-CN"/>
        </w:rPr>
        <w:t>机制</w:t>
      </w:r>
      <w:r>
        <w:rPr>
          <w:rFonts w:hint="eastAsia" w:eastAsia="仿宋_GB2312"/>
          <w:color w:val="auto"/>
          <w:sz w:val="32"/>
          <w:szCs w:val="28"/>
        </w:rPr>
        <w:t>，完善预算编制、加强绩效目标管理和绩效考核工作提供重要的参考依据，以及提出相关的建议和应采取的措施等。</w:t>
      </w:r>
    </w:p>
    <w:p>
      <w:pPr>
        <w:snapToGrid w:val="0"/>
        <w:spacing w:line="600" w:lineRule="exact"/>
        <w:ind w:firstLine="643" w:firstLineChars="200"/>
        <w:rPr>
          <w:rFonts w:hint="eastAsia" w:ascii="Times New Roman" w:hAnsi="Times New Roman" w:eastAsia="楷体_GB2312" w:cs="Times New Roman"/>
          <w:b/>
          <w:color w:val="auto"/>
          <w:kern w:val="2"/>
          <w:sz w:val="32"/>
          <w:szCs w:val="24"/>
          <w:lang w:val="en-US" w:eastAsia="zh-CN" w:bidi="ar-SA"/>
        </w:rPr>
      </w:pPr>
      <w:r>
        <w:rPr>
          <w:rFonts w:hint="eastAsia" w:ascii="Times New Roman" w:hAnsi="Times New Roman" w:eastAsia="楷体_GB2312" w:cs="Times New Roman"/>
          <w:b/>
          <w:color w:val="auto"/>
          <w:kern w:val="2"/>
          <w:sz w:val="32"/>
          <w:szCs w:val="24"/>
          <w:lang w:val="en-US" w:eastAsia="zh-CN" w:bidi="ar-SA"/>
        </w:rPr>
        <w:t>(二)绩效评价依据</w:t>
      </w:r>
    </w:p>
    <w:p>
      <w:pPr>
        <w:snapToGrid w:val="0"/>
        <w:spacing w:line="600" w:lineRule="exact"/>
        <w:ind w:firstLine="640" w:firstLineChars="200"/>
        <w:rPr>
          <w:rFonts w:hint="eastAsia" w:eastAsia="仿宋_GB2312"/>
          <w:color w:val="auto"/>
          <w:sz w:val="32"/>
          <w:szCs w:val="28"/>
          <w:lang w:val="en-US"/>
        </w:rPr>
      </w:pPr>
      <w:r>
        <w:rPr>
          <w:rFonts w:hint="eastAsia" w:eastAsia="仿宋_GB2312"/>
          <w:color w:val="auto"/>
          <w:sz w:val="32"/>
          <w:szCs w:val="28"/>
        </w:rPr>
        <w:t>1</w:t>
      </w:r>
      <w:r>
        <w:rPr>
          <w:rFonts w:hint="eastAsia" w:eastAsia="仿宋_GB2312"/>
          <w:color w:val="auto"/>
          <w:sz w:val="32"/>
          <w:szCs w:val="28"/>
          <w:lang w:val="en-US" w:eastAsia="zh-CN"/>
        </w:rPr>
        <w:t>.</w:t>
      </w:r>
      <w:r>
        <w:rPr>
          <w:rFonts w:hint="eastAsia" w:eastAsia="仿宋_GB2312"/>
          <w:color w:val="auto"/>
          <w:sz w:val="32"/>
          <w:szCs w:val="28"/>
        </w:rPr>
        <w:t>《财政部关于印发《项目支出绩效评价管理办法》的通知》（财预〔2020〕10号</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eastAsia="zh-CN"/>
        </w:rPr>
      </w:pPr>
      <w:r>
        <w:rPr>
          <w:rFonts w:hint="eastAsia" w:eastAsia="仿宋_GB2312"/>
          <w:color w:val="auto"/>
          <w:sz w:val="32"/>
          <w:szCs w:val="28"/>
          <w:lang w:val="en-US" w:eastAsia="zh-CN"/>
        </w:rPr>
        <w:t>2.《中共湖南省委办公厅  湖南省人民政府办公厅关于全面实施预算绩效管理的实施意见》（湘办发〔2019〕10号</w:t>
      </w:r>
      <w:r>
        <w:rPr>
          <w:rFonts w:hint="eastAsia" w:eastAsia="仿宋_GB2312"/>
          <w:color w:val="auto"/>
          <w:sz w:val="32"/>
          <w:szCs w:val="28"/>
        </w:rPr>
        <w:t>）</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eastAsia="zh-CN"/>
        </w:rPr>
      </w:pPr>
      <w:r>
        <w:rPr>
          <w:rFonts w:hint="eastAsia" w:eastAsia="仿宋_GB2312"/>
          <w:color w:val="auto"/>
          <w:sz w:val="32"/>
          <w:szCs w:val="28"/>
          <w:lang w:val="en-US" w:eastAsia="zh-CN"/>
        </w:rPr>
        <w:t>3.</w:t>
      </w:r>
      <w:r>
        <w:rPr>
          <w:rFonts w:hint="eastAsia" w:eastAsia="仿宋_GB2312"/>
          <w:color w:val="auto"/>
          <w:sz w:val="32"/>
          <w:szCs w:val="32"/>
          <w:lang w:eastAsia="zh-CN"/>
        </w:rPr>
        <w:t>《益阳市赫山区财政局关于开展</w:t>
      </w:r>
      <w:r>
        <w:rPr>
          <w:rFonts w:hint="eastAsia" w:eastAsia="仿宋_GB2312"/>
          <w:color w:val="auto"/>
          <w:sz w:val="32"/>
          <w:szCs w:val="32"/>
          <w:lang w:val="en-US" w:eastAsia="zh-CN"/>
        </w:rPr>
        <w:t>2020年度财政性资金现场绩效评价工作的通知</w:t>
      </w:r>
      <w:r>
        <w:rPr>
          <w:rFonts w:hint="eastAsia" w:eastAsia="仿宋_GB2312"/>
          <w:color w:val="auto"/>
          <w:sz w:val="32"/>
          <w:szCs w:val="32"/>
          <w:lang w:eastAsia="zh-CN"/>
        </w:rPr>
        <w:t>》（益赫财绩</w:t>
      </w:r>
      <w:r>
        <w:rPr>
          <w:rFonts w:eastAsia="仿宋_GB2312"/>
          <w:color w:val="auto"/>
          <w:sz w:val="32"/>
          <w:szCs w:val="32"/>
        </w:rPr>
        <w:t>〔20</w:t>
      </w:r>
      <w:r>
        <w:rPr>
          <w:rFonts w:hint="eastAsia" w:eastAsia="仿宋_GB2312"/>
          <w:color w:val="auto"/>
          <w:sz w:val="32"/>
          <w:szCs w:val="32"/>
          <w:lang w:val="en-US" w:eastAsia="zh-CN"/>
        </w:rPr>
        <w:t>21</w:t>
      </w:r>
      <w:r>
        <w:rPr>
          <w:rFonts w:eastAsia="仿宋_GB2312"/>
          <w:color w:val="auto"/>
          <w:sz w:val="32"/>
          <w:szCs w:val="32"/>
        </w:rPr>
        <w:t>〕</w:t>
      </w:r>
      <w:r>
        <w:rPr>
          <w:rFonts w:hint="eastAsia" w:eastAsia="仿宋_GB2312"/>
          <w:color w:val="auto"/>
          <w:sz w:val="32"/>
          <w:szCs w:val="32"/>
          <w:lang w:val="en-US" w:eastAsia="zh-CN"/>
        </w:rPr>
        <w:t>3号</w:t>
      </w:r>
      <w:r>
        <w:rPr>
          <w:rFonts w:hint="eastAsia" w:eastAsia="仿宋_GB2312"/>
          <w:color w:val="auto"/>
          <w:sz w:val="32"/>
          <w:szCs w:val="32"/>
          <w:lang w:eastAsia="zh-CN"/>
        </w:rPr>
        <w:t>）</w:t>
      </w:r>
      <w:r>
        <w:rPr>
          <w:rFonts w:hint="eastAsia" w:eastAsia="仿宋_GB2312"/>
          <w:color w:val="auto"/>
          <w:sz w:val="32"/>
          <w:szCs w:val="28"/>
          <w:lang w:eastAsia="zh-CN"/>
        </w:rPr>
        <w:t>。</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4.</w:t>
      </w:r>
      <w:r>
        <w:rPr>
          <w:rFonts w:hint="eastAsia" w:eastAsia="仿宋_GB2312"/>
          <w:color w:val="auto"/>
          <w:sz w:val="32"/>
          <w:szCs w:val="28"/>
          <w:lang w:eastAsia="zh-CN"/>
        </w:rPr>
        <w:t>财政部</w:t>
      </w:r>
      <w:r>
        <w:rPr>
          <w:rFonts w:hint="eastAsia" w:eastAsia="仿宋_GB2312"/>
          <w:color w:val="auto"/>
          <w:sz w:val="32"/>
          <w:szCs w:val="28"/>
          <w:lang w:val="en-US" w:eastAsia="zh-CN"/>
        </w:rPr>
        <w:t xml:space="preserve"> 住房城乡建</w:t>
      </w:r>
      <w:bookmarkStart w:id="0" w:name="_GoBack"/>
      <w:bookmarkEnd w:id="0"/>
      <w:r>
        <w:rPr>
          <w:rFonts w:hint="eastAsia" w:eastAsia="仿宋_GB2312"/>
          <w:color w:val="auto"/>
          <w:sz w:val="32"/>
          <w:szCs w:val="28"/>
          <w:lang w:val="en-US" w:eastAsia="zh-CN"/>
        </w:rPr>
        <w:t>设部</w:t>
      </w:r>
      <w:r>
        <w:rPr>
          <w:rFonts w:hint="eastAsia" w:eastAsia="仿宋_GB2312"/>
          <w:color w:val="auto"/>
          <w:sz w:val="32"/>
          <w:szCs w:val="28"/>
          <w:lang w:eastAsia="zh-CN"/>
        </w:rPr>
        <w:t>关于印发《</w:t>
      </w:r>
      <w:r>
        <w:rPr>
          <w:rFonts w:hint="eastAsia" w:eastAsia="仿宋_GB2312"/>
          <w:color w:val="auto"/>
          <w:sz w:val="32"/>
          <w:szCs w:val="28"/>
          <w:lang w:val="en-US" w:eastAsia="zh-CN"/>
        </w:rPr>
        <w:t>中央财政城镇保障性安居工程专项资金管理办法</w:t>
      </w:r>
      <w:r>
        <w:rPr>
          <w:rFonts w:hint="eastAsia" w:eastAsia="仿宋_GB2312"/>
          <w:color w:val="auto"/>
          <w:sz w:val="32"/>
          <w:szCs w:val="28"/>
          <w:lang w:eastAsia="zh-CN"/>
        </w:rPr>
        <w:t>》的通知（财</w:t>
      </w:r>
      <w:r>
        <w:rPr>
          <w:rFonts w:hint="eastAsia" w:eastAsia="仿宋_GB2312"/>
          <w:color w:val="auto"/>
          <w:sz w:val="32"/>
          <w:szCs w:val="28"/>
          <w:lang w:val="en-US" w:eastAsia="zh-CN"/>
        </w:rPr>
        <w:t>综</w:t>
      </w:r>
      <w:r>
        <w:rPr>
          <w:rFonts w:hint="eastAsia" w:eastAsia="仿宋_GB2312"/>
          <w:color w:val="auto"/>
          <w:sz w:val="32"/>
          <w:szCs w:val="28"/>
          <w:lang w:eastAsia="zh-CN"/>
        </w:rPr>
        <w:t>字</w:t>
      </w:r>
      <w:r>
        <w:rPr>
          <w:rFonts w:hint="eastAsia" w:eastAsia="仿宋_GB2312"/>
          <w:color w:val="auto"/>
          <w:sz w:val="32"/>
          <w:szCs w:val="28"/>
        </w:rPr>
        <w:t>〔</w:t>
      </w:r>
      <w:r>
        <w:rPr>
          <w:rFonts w:hint="eastAsia" w:eastAsia="仿宋_GB2312"/>
          <w:color w:val="auto"/>
          <w:sz w:val="32"/>
          <w:szCs w:val="28"/>
          <w:lang w:val="en-US" w:eastAsia="zh-CN"/>
        </w:rPr>
        <w:t>2019</w:t>
      </w:r>
      <w:r>
        <w:rPr>
          <w:rFonts w:hint="eastAsia" w:eastAsia="仿宋_GB2312"/>
          <w:color w:val="auto"/>
          <w:sz w:val="32"/>
          <w:szCs w:val="28"/>
        </w:rPr>
        <w:t>〕</w:t>
      </w:r>
      <w:r>
        <w:rPr>
          <w:rFonts w:hint="eastAsia" w:eastAsia="仿宋_GB2312"/>
          <w:color w:val="auto"/>
          <w:sz w:val="32"/>
          <w:szCs w:val="28"/>
          <w:lang w:val="en-US" w:eastAsia="zh-CN"/>
        </w:rPr>
        <w:t>31</w:t>
      </w:r>
      <w:r>
        <w:rPr>
          <w:rFonts w:hint="eastAsia" w:eastAsia="仿宋_GB2312"/>
          <w:color w:val="auto"/>
          <w:sz w:val="32"/>
          <w:szCs w:val="28"/>
          <w:lang w:eastAsia="zh-CN"/>
        </w:rPr>
        <w:t>号）</w:t>
      </w:r>
      <w:r>
        <w:rPr>
          <w:rFonts w:hint="eastAsia" w:eastAsia="仿宋_GB2312"/>
          <w:color w:val="auto"/>
          <w:sz w:val="32"/>
          <w:szCs w:val="28"/>
          <w:lang w:val="en-US" w:eastAsia="zh-CN"/>
        </w:rPr>
        <w:t>。</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5.国务院办公厅印发《国务院办公厅关于全面推进城镇老旧小区改造工作的指导意见》（国办发〔2020〕23号）。</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6.</w:t>
      </w:r>
      <w:r>
        <w:rPr>
          <w:rFonts w:hint="default" w:eastAsia="仿宋_GB2312"/>
          <w:color w:val="auto"/>
          <w:sz w:val="32"/>
          <w:szCs w:val="28"/>
          <w:lang w:val="en-US" w:eastAsia="zh-CN"/>
        </w:rPr>
        <w:t>湖南省财政厅 湖南省住房和城乡建设厅关于印发《湖南省城镇保障性安居工程专项资金管理办法》的通知</w:t>
      </w:r>
      <w:r>
        <w:rPr>
          <w:rFonts w:hint="eastAsia" w:eastAsia="仿宋_GB2312"/>
          <w:color w:val="auto"/>
          <w:sz w:val="32"/>
          <w:szCs w:val="28"/>
          <w:lang w:eastAsia="zh-CN"/>
        </w:rPr>
        <w:t>（湘财</w:t>
      </w:r>
      <w:r>
        <w:rPr>
          <w:rFonts w:hint="eastAsia" w:eastAsia="仿宋_GB2312"/>
          <w:color w:val="auto"/>
          <w:sz w:val="32"/>
          <w:szCs w:val="28"/>
          <w:lang w:val="en-US" w:eastAsia="zh-CN"/>
        </w:rPr>
        <w:t>综</w:t>
      </w:r>
      <w:r>
        <w:rPr>
          <w:rFonts w:hint="eastAsia" w:eastAsia="仿宋_GB2312"/>
          <w:color w:val="auto"/>
          <w:sz w:val="32"/>
          <w:szCs w:val="28"/>
          <w:lang w:eastAsia="zh-CN"/>
        </w:rPr>
        <w:t>字</w:t>
      </w:r>
      <w:r>
        <w:rPr>
          <w:rFonts w:hint="eastAsia" w:eastAsia="仿宋_GB2312"/>
          <w:color w:val="auto"/>
          <w:sz w:val="32"/>
          <w:szCs w:val="28"/>
        </w:rPr>
        <w:t>〔</w:t>
      </w:r>
      <w:r>
        <w:rPr>
          <w:rFonts w:hint="eastAsia" w:eastAsia="仿宋_GB2312"/>
          <w:color w:val="auto"/>
          <w:sz w:val="32"/>
          <w:szCs w:val="28"/>
          <w:lang w:val="en-US" w:eastAsia="zh-CN"/>
        </w:rPr>
        <w:t>2019</w:t>
      </w:r>
      <w:r>
        <w:rPr>
          <w:rFonts w:hint="eastAsia" w:eastAsia="仿宋_GB2312"/>
          <w:color w:val="auto"/>
          <w:sz w:val="32"/>
          <w:szCs w:val="28"/>
        </w:rPr>
        <w:t>〕</w:t>
      </w:r>
      <w:r>
        <w:rPr>
          <w:rFonts w:hint="eastAsia" w:eastAsia="仿宋_GB2312"/>
          <w:color w:val="auto"/>
          <w:sz w:val="32"/>
          <w:szCs w:val="28"/>
          <w:lang w:val="en-US" w:eastAsia="zh-CN"/>
        </w:rPr>
        <w:t>27</w:t>
      </w:r>
      <w:r>
        <w:rPr>
          <w:rFonts w:hint="eastAsia" w:eastAsia="仿宋_GB2312"/>
          <w:color w:val="auto"/>
          <w:sz w:val="32"/>
          <w:szCs w:val="28"/>
          <w:lang w:eastAsia="zh-CN"/>
        </w:rPr>
        <w:t>号）</w:t>
      </w:r>
    </w:p>
    <w:p>
      <w:pPr>
        <w:snapToGrid w:val="0"/>
        <w:spacing w:line="600" w:lineRule="exact"/>
        <w:ind w:firstLine="640" w:firstLineChars="200"/>
        <w:rPr>
          <w:rFonts w:hint="eastAsia" w:eastAsia="仿宋_GB2312"/>
          <w:color w:val="auto"/>
          <w:sz w:val="32"/>
          <w:szCs w:val="28"/>
        </w:rPr>
      </w:pPr>
      <w:r>
        <w:rPr>
          <w:rFonts w:hint="eastAsia" w:eastAsia="仿宋_GB2312"/>
          <w:color w:val="auto"/>
          <w:sz w:val="32"/>
          <w:szCs w:val="28"/>
          <w:lang w:val="en-US" w:eastAsia="zh-CN"/>
        </w:rPr>
        <w:t>6.</w:t>
      </w:r>
      <w:r>
        <w:rPr>
          <w:rFonts w:hint="eastAsia" w:eastAsia="仿宋_GB2312"/>
          <w:color w:val="auto"/>
          <w:sz w:val="32"/>
          <w:szCs w:val="28"/>
        </w:rPr>
        <w:t>其他有关财政法律规章制度。</w:t>
      </w:r>
    </w:p>
    <w:p>
      <w:pPr>
        <w:snapToGrid w:val="0"/>
        <w:spacing w:line="600" w:lineRule="exact"/>
        <w:ind w:firstLine="640" w:firstLineChars="200"/>
        <w:rPr>
          <w:rFonts w:hint="eastAsia" w:eastAsia="黑体"/>
          <w:bCs/>
          <w:color w:val="auto"/>
          <w:sz w:val="32"/>
          <w:lang w:eastAsia="zh-CN"/>
        </w:rPr>
      </w:pPr>
      <w:r>
        <w:rPr>
          <w:rFonts w:hint="eastAsia" w:eastAsia="黑体"/>
          <w:bCs/>
          <w:color w:val="auto"/>
          <w:sz w:val="32"/>
          <w:lang w:eastAsia="zh-CN"/>
        </w:rPr>
        <w:t>三、资金拨付和管理情况</w:t>
      </w:r>
    </w:p>
    <w:p>
      <w:pPr>
        <w:snapToGrid w:val="0"/>
        <w:spacing w:line="600" w:lineRule="exact"/>
        <w:ind w:firstLine="643" w:firstLineChars="200"/>
        <w:rPr>
          <w:rFonts w:hint="eastAsia" w:eastAsia="楷体_GB2312"/>
          <w:b/>
          <w:color w:val="auto"/>
          <w:sz w:val="32"/>
          <w:lang w:val="en-US" w:eastAsia="zh-CN"/>
        </w:rPr>
      </w:pPr>
      <w:r>
        <w:rPr>
          <w:rFonts w:hint="eastAsia" w:eastAsia="楷体_GB2312"/>
          <w:b/>
          <w:color w:val="auto"/>
          <w:sz w:val="32"/>
          <w:lang w:val="en-US" w:eastAsia="zh-CN"/>
        </w:rPr>
        <w:t>1.城镇保障性安居工程专项资金拨付情况</w:t>
      </w:r>
    </w:p>
    <w:p>
      <w:pPr>
        <w:snapToGrid w:val="0"/>
        <w:spacing w:line="600" w:lineRule="exact"/>
        <w:ind w:firstLine="640" w:firstLineChars="200"/>
        <w:rPr>
          <w:rFonts w:hint="default" w:eastAsia="仿宋_GB2312"/>
          <w:color w:val="auto"/>
          <w:sz w:val="32"/>
          <w:szCs w:val="28"/>
          <w:lang w:val="en-US" w:eastAsia="zh-CN"/>
        </w:rPr>
      </w:pPr>
      <w:r>
        <w:rPr>
          <w:rFonts w:hint="eastAsia" w:eastAsia="仿宋_GB2312"/>
          <w:color w:val="auto"/>
          <w:sz w:val="32"/>
          <w:szCs w:val="28"/>
          <w:lang w:val="en-US" w:eastAsia="zh-CN"/>
        </w:rPr>
        <w:t>2020</w:t>
      </w:r>
      <w:r>
        <w:rPr>
          <w:rFonts w:eastAsia="仿宋_GB2312"/>
          <w:color w:val="auto"/>
          <w:sz w:val="32"/>
          <w:szCs w:val="28"/>
        </w:rPr>
        <w:t>年度</w:t>
      </w:r>
      <w:r>
        <w:rPr>
          <w:rFonts w:hint="eastAsia" w:eastAsia="仿宋_GB2312"/>
          <w:color w:val="auto"/>
          <w:sz w:val="32"/>
          <w:szCs w:val="28"/>
          <w:lang w:eastAsia="zh-CN"/>
        </w:rPr>
        <w:t>赫山区</w:t>
      </w:r>
      <w:r>
        <w:rPr>
          <w:rFonts w:eastAsia="仿宋_GB2312"/>
          <w:color w:val="auto"/>
          <w:sz w:val="32"/>
          <w:szCs w:val="28"/>
        </w:rPr>
        <w:t>预算安排</w:t>
      </w:r>
      <w:r>
        <w:rPr>
          <w:rFonts w:hint="eastAsia" w:eastAsia="仿宋_GB2312"/>
          <w:color w:val="auto"/>
          <w:sz w:val="32"/>
          <w:szCs w:val="28"/>
          <w:lang w:eastAsia="zh-CN"/>
        </w:rPr>
        <w:t>城镇老旧小区改造项目</w:t>
      </w:r>
      <w:r>
        <w:rPr>
          <w:rFonts w:hint="eastAsia" w:eastAsia="仿宋_GB2312"/>
          <w:color w:val="auto"/>
          <w:sz w:val="32"/>
          <w:szCs w:val="28"/>
          <w:lang w:val="en-US" w:eastAsia="zh-CN"/>
        </w:rPr>
        <w:t>专项资金</w:t>
      </w:r>
      <w:r>
        <w:rPr>
          <w:rFonts w:hint="eastAsia" w:eastAsia="仿宋_GB2312"/>
          <w:color w:val="auto"/>
          <w:sz w:val="32"/>
          <w:szCs w:val="28"/>
          <w:lang w:eastAsia="zh-CN"/>
        </w:rPr>
        <w:t>共计</w:t>
      </w:r>
      <w:r>
        <w:rPr>
          <w:rFonts w:hint="eastAsia" w:eastAsia="仿宋_GB2312"/>
          <w:color w:val="auto"/>
          <w:sz w:val="32"/>
          <w:szCs w:val="28"/>
          <w:lang w:val="en-US" w:eastAsia="zh-CN"/>
        </w:rPr>
        <w:t>1200万元，指标直接下达益阳市赫山区城镇建设投资开发（集团）有限责任公司，用于会龙山李家洲社区棚户区改造项目及桃花仑片区棚户区改造小区外配套基础设施建设项目。</w:t>
      </w:r>
    </w:p>
    <w:p>
      <w:pPr>
        <w:snapToGrid w:val="0"/>
        <w:spacing w:line="600" w:lineRule="exact"/>
        <w:ind w:firstLine="643" w:firstLineChars="200"/>
        <w:rPr>
          <w:rFonts w:hint="eastAsia" w:eastAsia="楷体_GB2312"/>
          <w:b/>
          <w:color w:val="auto"/>
          <w:sz w:val="32"/>
          <w:lang w:val="en-US" w:eastAsia="zh-CN"/>
        </w:rPr>
      </w:pPr>
      <w:r>
        <w:rPr>
          <w:rFonts w:hint="eastAsia" w:eastAsia="楷体_GB2312"/>
          <w:b/>
          <w:color w:val="auto"/>
          <w:sz w:val="32"/>
          <w:lang w:val="en-US" w:eastAsia="zh-CN"/>
        </w:rPr>
        <w:t>2.城镇保障性安居工程专项资金管理情况</w:t>
      </w:r>
    </w:p>
    <w:p>
      <w:pPr>
        <w:snapToGrid w:val="0"/>
        <w:spacing w:line="600" w:lineRule="exact"/>
        <w:ind w:firstLine="640" w:firstLineChars="200"/>
        <w:rPr>
          <w:rFonts w:hint="eastAsia" w:eastAsia="仿宋_GB2312"/>
          <w:color w:val="auto"/>
          <w:sz w:val="32"/>
          <w:szCs w:val="28"/>
          <w:lang w:val="en-US" w:eastAsia="zh-CN"/>
        </w:rPr>
      </w:pPr>
      <w:r>
        <w:rPr>
          <w:rFonts w:hint="eastAsia" w:eastAsia="仿宋_GB2312"/>
          <w:color w:val="auto"/>
          <w:sz w:val="32"/>
          <w:szCs w:val="28"/>
          <w:lang w:val="en-US" w:eastAsia="zh-CN"/>
        </w:rPr>
        <w:t>益阳市赫山区按照《财政部关于印发〈中央财政城镇保障性安居工程专项资金管理办法〉的通知》(财综〔2017〕2号)的有关规定，管理拨付和使用资金，统一归并各类保障性安居工程建设专项资金，实行专项管理、分账核算，并严格按照规定用途使用，确保资金使用更加安全、规范、高效。</w:t>
      </w:r>
    </w:p>
    <w:p>
      <w:pPr>
        <w:snapToGrid w:val="0"/>
        <w:spacing w:line="600" w:lineRule="exact"/>
        <w:ind w:firstLine="643" w:firstLineChars="200"/>
        <w:rPr>
          <w:rFonts w:hint="eastAsia" w:eastAsia="楷体_GB2312"/>
          <w:b/>
          <w:color w:val="auto"/>
          <w:sz w:val="32"/>
          <w:lang w:val="en-US" w:eastAsia="zh-CN"/>
        </w:rPr>
      </w:pPr>
      <w:r>
        <w:rPr>
          <w:rFonts w:hint="eastAsia" w:eastAsia="楷体_GB2312"/>
          <w:b/>
          <w:color w:val="auto"/>
          <w:sz w:val="32"/>
          <w:lang w:val="en-US" w:eastAsia="zh-CN"/>
        </w:rPr>
        <w:t>3.资金使用情况</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jc w:val="both"/>
        <w:textAlignment w:val="auto"/>
        <w:rPr>
          <w:rFonts w:hint="eastAsia" w:ascii="仿宋_GB2312" w:eastAsia="仿宋_GB2312"/>
          <w:color w:val="auto"/>
          <w:sz w:val="32"/>
          <w:szCs w:val="32"/>
          <w:lang w:val="en-US" w:eastAsia="zh-CN"/>
        </w:rPr>
      </w:pPr>
      <w:r>
        <w:rPr>
          <w:rFonts w:hint="eastAsia" w:eastAsia="仿宋_GB2312"/>
          <w:color w:val="auto"/>
          <w:sz w:val="32"/>
          <w:szCs w:val="28"/>
          <w:lang w:val="en-US" w:eastAsia="zh-CN"/>
        </w:rPr>
        <w:t>根据</w:t>
      </w:r>
      <w:r>
        <w:rPr>
          <w:rFonts w:hint="eastAsia" w:ascii="仿宋_GB2312" w:hAnsi="微软雅黑" w:eastAsia="仿宋_GB2312" w:cs="仿宋_GB2312"/>
          <w:color w:val="auto"/>
          <w:kern w:val="2"/>
          <w:sz w:val="32"/>
          <w:szCs w:val="32"/>
          <w:shd w:val="clear" w:color="auto" w:fill="FFFFFF"/>
          <w:lang w:val="en-US" w:eastAsia="zh-CN" w:bidi="ar"/>
        </w:rPr>
        <w:t>赫山区城投提供的资料，截止评价日，2020年第一批保障性安居工程专项（棚户区改造公租房配套基础设施建设及国有工矿棚户区改造）中央预算内基建资金共使用</w:t>
      </w:r>
      <w:r>
        <w:rPr>
          <w:rFonts w:hint="eastAsia" w:ascii="仿宋_GB2312" w:eastAsia="仿宋_GB2312"/>
          <w:color w:val="auto"/>
          <w:sz w:val="32"/>
          <w:szCs w:val="32"/>
          <w:lang w:val="en-US" w:eastAsia="zh-CN"/>
        </w:rPr>
        <w:t>742.64万元，明细如下：</w:t>
      </w:r>
    </w:p>
    <w:tbl>
      <w:tblPr>
        <w:tblStyle w:val="9"/>
        <w:tblW w:w="5000" w:type="pct"/>
        <w:tblInd w:w="0" w:type="dxa"/>
        <w:shd w:val="clear" w:color="auto" w:fill="auto"/>
        <w:tblLayout w:type="fixed"/>
        <w:tblCellMar>
          <w:top w:w="0" w:type="dxa"/>
          <w:left w:w="108" w:type="dxa"/>
          <w:bottom w:w="0" w:type="dxa"/>
          <w:right w:w="108" w:type="dxa"/>
        </w:tblCellMar>
      </w:tblPr>
      <w:tblGrid>
        <w:gridCol w:w="567"/>
        <w:gridCol w:w="732"/>
        <w:gridCol w:w="3240"/>
        <w:gridCol w:w="1656"/>
        <w:gridCol w:w="1236"/>
        <w:gridCol w:w="1514"/>
      </w:tblGrid>
      <w:tr>
        <w:tblPrEx>
          <w:tblCellMar>
            <w:top w:w="0" w:type="dxa"/>
            <w:left w:w="108" w:type="dxa"/>
            <w:bottom w:w="0" w:type="dxa"/>
            <w:right w:w="108" w:type="dxa"/>
          </w:tblCellMar>
        </w:tblPrEx>
        <w:trPr>
          <w:trHeight w:val="62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序号</w:t>
            </w:r>
          </w:p>
        </w:tc>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指标单号</w:t>
            </w:r>
          </w:p>
        </w:tc>
        <w:tc>
          <w:tcPr>
            <w:tcW w:w="1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项目名称</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下达金额</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下达时间</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使用资金</w:t>
            </w:r>
          </w:p>
        </w:tc>
      </w:tr>
      <w:tr>
        <w:tblPrEx>
          <w:shd w:val="clear" w:color="auto" w:fill="auto"/>
          <w:tblCellMar>
            <w:top w:w="0" w:type="dxa"/>
            <w:left w:w="108" w:type="dxa"/>
            <w:bottom w:w="0" w:type="dxa"/>
            <w:right w:w="108" w:type="dxa"/>
          </w:tblCellMar>
        </w:tblPrEx>
        <w:trPr>
          <w:trHeight w:val="500"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w:t>
            </w:r>
          </w:p>
        </w:tc>
        <w:tc>
          <w:tcPr>
            <w:tcW w:w="40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2020建指0116</w:t>
            </w:r>
          </w:p>
        </w:tc>
        <w:tc>
          <w:tcPr>
            <w:tcW w:w="1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会龙山李家洲社区棚户区改造项目配套基础设施建设项目（邓新路）</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8,000,000.00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2020.1.7</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 xml:space="preserve">5,586,400.00 </w:t>
            </w:r>
          </w:p>
        </w:tc>
      </w:tr>
      <w:tr>
        <w:tblPrEx>
          <w:shd w:val="clear" w:color="auto" w:fill="auto"/>
          <w:tblCellMar>
            <w:top w:w="0" w:type="dxa"/>
            <w:left w:w="108" w:type="dxa"/>
            <w:bottom w:w="0" w:type="dxa"/>
            <w:right w:w="108" w:type="dxa"/>
          </w:tblCellMar>
        </w:tblPrEx>
        <w:trPr>
          <w:trHeight w:val="604" w:hRule="atLeast"/>
        </w:trPr>
        <w:tc>
          <w:tcPr>
            <w:tcW w:w="3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40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kern w:val="0"/>
                <w:sz w:val="20"/>
                <w:szCs w:val="20"/>
                <w:u w:val="none"/>
                <w:lang w:val="en-US" w:eastAsia="zh-CN" w:bidi="ar"/>
              </w:rPr>
            </w:pPr>
          </w:p>
        </w:tc>
        <w:tc>
          <w:tcPr>
            <w:tcW w:w="1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桃花仑片区棚户区改造小区外配套基础设施建设项目（体育路）</w:t>
            </w: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4,000,000.00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2020.1.7</w:t>
            </w: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 xml:space="preserve">1,840,000.00 </w:t>
            </w:r>
          </w:p>
        </w:tc>
      </w:tr>
      <w:tr>
        <w:tblPrEx>
          <w:shd w:val="clear" w:color="auto" w:fill="auto"/>
          <w:tblCellMar>
            <w:top w:w="0" w:type="dxa"/>
            <w:left w:w="108" w:type="dxa"/>
            <w:bottom w:w="0" w:type="dxa"/>
            <w:right w:w="108" w:type="dxa"/>
          </w:tblCellMar>
        </w:tblPrEx>
        <w:trPr>
          <w:trHeight w:val="540" w:hRule="atLeast"/>
        </w:trPr>
        <w:tc>
          <w:tcPr>
            <w:tcW w:w="72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合计</w:t>
            </w:r>
          </w:p>
        </w:tc>
        <w:tc>
          <w:tcPr>
            <w:tcW w:w="18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auto"/>
                <w:sz w:val="20"/>
                <w:szCs w:val="20"/>
                <w:u w:val="none"/>
              </w:rPr>
            </w:pPr>
          </w:p>
        </w:tc>
        <w:tc>
          <w:tcPr>
            <w:tcW w:w="9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12,000,000.00</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auto"/>
                <w:sz w:val="20"/>
                <w:szCs w:val="20"/>
                <w:u w:val="none"/>
              </w:rPr>
            </w:pPr>
          </w:p>
        </w:tc>
        <w:tc>
          <w:tcPr>
            <w:tcW w:w="8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 xml:space="preserve">7,426,400.00 </w:t>
            </w:r>
          </w:p>
        </w:tc>
      </w:tr>
    </w:tbl>
    <w:p>
      <w:pPr>
        <w:snapToGrid w:val="0"/>
        <w:spacing w:line="600" w:lineRule="exact"/>
        <w:ind w:firstLine="640" w:firstLineChars="200"/>
        <w:rPr>
          <w:rFonts w:hint="eastAsia" w:eastAsia="仿宋_GB2312"/>
          <w:color w:val="auto"/>
          <w:sz w:val="32"/>
          <w:szCs w:val="28"/>
          <w:lang w:val="en-US" w:eastAsia="zh-CN"/>
        </w:rPr>
      </w:pPr>
    </w:p>
    <w:p>
      <w:pPr>
        <w:numPr>
          <w:ilvl w:val="0"/>
          <w:numId w:val="1"/>
        </w:numPr>
        <w:snapToGrid w:val="0"/>
        <w:spacing w:line="600" w:lineRule="exact"/>
        <w:ind w:firstLine="640" w:firstLineChars="200"/>
        <w:rPr>
          <w:rFonts w:eastAsia="黑体"/>
          <w:bCs/>
          <w:color w:val="auto"/>
          <w:sz w:val="32"/>
        </w:rPr>
      </w:pPr>
      <w:r>
        <w:rPr>
          <w:rFonts w:hint="eastAsia" w:eastAsia="黑体"/>
          <w:bCs/>
          <w:color w:val="auto"/>
          <w:sz w:val="32"/>
          <w:lang w:eastAsia="zh-CN"/>
        </w:rPr>
        <w:t>项目</w:t>
      </w:r>
      <w:r>
        <w:rPr>
          <w:rFonts w:eastAsia="黑体"/>
          <w:bCs/>
          <w:color w:val="auto"/>
          <w:sz w:val="32"/>
        </w:rPr>
        <w:t>主要绩效</w:t>
      </w:r>
    </w:p>
    <w:p>
      <w:pPr>
        <w:topLinePunct/>
        <w:spacing w:line="600" w:lineRule="exact"/>
        <w:ind w:firstLine="640" w:firstLineChars="200"/>
        <w:rPr>
          <w:rFonts w:hint="default" w:ascii="仿宋" w:hAnsi="仿宋" w:eastAsia="仿宋" w:cs="仿宋_GB2312"/>
          <w:color w:val="auto"/>
          <w:sz w:val="32"/>
          <w:szCs w:val="32"/>
        </w:rPr>
      </w:pPr>
      <w:r>
        <w:rPr>
          <w:rFonts w:ascii="仿宋" w:hAnsi="仿宋" w:eastAsia="仿宋" w:cs="仿宋_GB2312"/>
          <w:sz w:val="32"/>
          <w:szCs w:val="32"/>
        </w:rPr>
        <w:t>根据</w:t>
      </w:r>
      <w:r>
        <w:rPr>
          <w:rFonts w:hint="eastAsia" w:ascii="仿宋_GB2312" w:hAnsi="微软雅黑" w:eastAsia="仿宋_GB2312" w:cs="仿宋_GB2312"/>
          <w:color w:val="auto"/>
          <w:kern w:val="2"/>
          <w:sz w:val="32"/>
          <w:szCs w:val="32"/>
          <w:shd w:val="clear" w:color="auto" w:fill="FFFFFF"/>
          <w:lang w:val="en-US" w:eastAsia="zh-CN" w:bidi="ar"/>
        </w:rPr>
        <w:t>2020年第一批保障性安居工程专项（棚户区改造公租房配套基础设施建设及国有工矿棚户区改造）</w:t>
      </w:r>
      <w:r>
        <w:rPr>
          <w:rFonts w:hint="eastAsia" w:ascii="仿宋" w:hAnsi="仿宋" w:eastAsia="仿宋" w:cs="仿宋_GB2312"/>
          <w:sz w:val="32"/>
          <w:szCs w:val="32"/>
          <w:lang w:val="en-US" w:eastAsia="zh-CN"/>
        </w:rPr>
        <w:t>绩效评价指标体系</w:t>
      </w:r>
      <w:r>
        <w:rPr>
          <w:rFonts w:ascii="仿宋" w:hAnsi="仿宋" w:eastAsia="仿宋" w:cs="仿宋_GB2312"/>
          <w:sz w:val="32"/>
          <w:szCs w:val="32"/>
        </w:rPr>
        <w:t>和绩效检查情况，该</w:t>
      </w:r>
      <w:r>
        <w:rPr>
          <w:rFonts w:hint="eastAsia" w:ascii="仿宋" w:hAnsi="仿宋" w:eastAsia="仿宋" w:cs="仿宋_GB2312"/>
          <w:sz w:val="32"/>
          <w:szCs w:val="32"/>
          <w:lang w:val="en-US" w:eastAsia="zh-CN"/>
        </w:rPr>
        <w:t>项</w:t>
      </w:r>
      <w:r>
        <w:rPr>
          <w:rFonts w:hint="eastAsia" w:ascii="仿宋" w:hAnsi="仿宋" w:eastAsia="仿宋" w:cs="仿宋_GB2312"/>
          <w:color w:val="auto"/>
          <w:sz w:val="32"/>
          <w:szCs w:val="32"/>
          <w:lang w:val="en-US" w:eastAsia="zh-CN"/>
        </w:rPr>
        <w:t>目</w:t>
      </w:r>
      <w:r>
        <w:rPr>
          <w:rFonts w:ascii="仿宋" w:hAnsi="仿宋" w:eastAsia="仿宋" w:cs="仿宋_GB2312"/>
          <w:color w:val="auto"/>
          <w:sz w:val="32"/>
          <w:szCs w:val="32"/>
        </w:rPr>
        <w:t>绩效评价指标总分值100分，实得</w:t>
      </w:r>
      <w:r>
        <w:rPr>
          <w:rFonts w:hint="eastAsia" w:ascii="仿宋" w:hAnsi="仿宋" w:eastAsia="仿宋" w:cs="仿宋_GB2312"/>
          <w:color w:val="auto"/>
          <w:sz w:val="32"/>
          <w:szCs w:val="32"/>
        </w:rPr>
        <w:t>7</w:t>
      </w:r>
      <w:r>
        <w:rPr>
          <w:rFonts w:hint="eastAsia" w:ascii="仿宋" w:hAnsi="仿宋" w:eastAsia="仿宋" w:cs="仿宋_GB2312"/>
          <w:color w:val="auto"/>
          <w:sz w:val="32"/>
          <w:szCs w:val="32"/>
          <w:lang w:val="en-US" w:eastAsia="zh-CN"/>
        </w:rPr>
        <w:t>6</w:t>
      </w:r>
      <w:r>
        <w:rPr>
          <w:rFonts w:ascii="仿宋" w:hAnsi="仿宋" w:eastAsia="仿宋" w:cs="仿宋_GB2312"/>
          <w:color w:val="auto"/>
          <w:sz w:val="32"/>
          <w:szCs w:val="32"/>
        </w:rPr>
        <w:t>分，被评为“良好”等级（详见附件：</w:t>
      </w:r>
      <w:r>
        <w:rPr>
          <w:rFonts w:hint="eastAsia" w:ascii="仿宋_GB2312" w:hAnsi="微软雅黑" w:eastAsia="仿宋_GB2312" w:cs="仿宋_GB2312"/>
          <w:color w:val="auto"/>
          <w:kern w:val="2"/>
          <w:sz w:val="32"/>
          <w:szCs w:val="32"/>
          <w:shd w:val="clear" w:color="auto" w:fill="FFFFFF"/>
          <w:lang w:val="en-US" w:eastAsia="zh-CN" w:bidi="ar"/>
        </w:rPr>
        <w:t>2020年第一批保障性安居工程专项（棚户区改造公租房配套基础设施建设及国有工矿棚户区改造）</w:t>
      </w:r>
      <w:r>
        <w:rPr>
          <w:rFonts w:hint="eastAsia" w:ascii="仿宋" w:hAnsi="仿宋" w:eastAsia="仿宋" w:cs="仿宋_GB2312"/>
          <w:color w:val="auto"/>
          <w:sz w:val="32"/>
          <w:szCs w:val="32"/>
          <w:lang w:eastAsia="zh-CN"/>
        </w:rPr>
        <w:t>项目</w:t>
      </w:r>
      <w:r>
        <w:rPr>
          <w:rFonts w:hint="eastAsia" w:ascii="仿宋" w:hAnsi="仿宋" w:eastAsia="仿宋" w:cs="仿宋_GB2312"/>
          <w:color w:val="auto"/>
          <w:sz w:val="32"/>
          <w:szCs w:val="32"/>
          <w:lang w:val="en-US" w:eastAsia="zh-CN"/>
        </w:rPr>
        <w:t>绩效评价指标计分表</w:t>
      </w:r>
      <w:r>
        <w:rPr>
          <w:rFonts w:ascii="仿宋" w:hAnsi="仿宋" w:eastAsia="仿宋" w:cs="仿宋_GB2312"/>
          <w:color w:val="auto"/>
          <w:sz w:val="32"/>
          <w:szCs w:val="32"/>
        </w:rPr>
        <w:t>）。该部门主要绩效如下：</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eastAsia="仿宋_GB2312"/>
          <w:color w:val="auto"/>
          <w:sz w:val="32"/>
          <w:szCs w:val="28"/>
          <w:lang w:val="en-US" w:eastAsia="zh-CN"/>
        </w:rPr>
      </w:pPr>
      <w:r>
        <w:rPr>
          <w:rFonts w:hint="eastAsia" w:eastAsia="仿宋_GB2312"/>
          <w:color w:val="auto"/>
          <w:sz w:val="32"/>
          <w:szCs w:val="28"/>
          <w:lang w:val="en-US" w:eastAsia="zh-CN"/>
        </w:rPr>
        <w:t>1.完成会龙山李家洲社区棚户区改造项目配套基础设施建设项目，改建邓新路，道路宽12米，长1500米，排水管3000米，亮化工程、绿化工程、人行道及其他附属工程。</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eastAsia="仿宋_GB2312"/>
          <w:color w:val="auto"/>
          <w:sz w:val="32"/>
          <w:szCs w:val="28"/>
          <w:lang w:val="en-US" w:eastAsia="zh-CN"/>
        </w:rPr>
      </w:pPr>
      <w:r>
        <w:rPr>
          <w:rFonts w:hint="eastAsia" w:eastAsia="仿宋_GB2312"/>
          <w:color w:val="auto"/>
          <w:sz w:val="32"/>
          <w:szCs w:val="28"/>
          <w:lang w:val="en-US" w:eastAsia="zh-CN"/>
        </w:rPr>
        <w:t>2.会龙山李家洲社区棚户区改造项目配套基础设施建设项目（邓新路）建设过程中，严格按图施工，按规范要求施工，交通安全方案得当，组织执行到位，在大交通流量下保证了安全“零”事故，工程顺利完成，局部到整体质量较好，村民满意度高。</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eastAsia" w:ascii="仿宋_GB2312" w:hAnsi="微软雅黑" w:eastAsia="仿宋_GB2312" w:cs="仿宋_GB2312"/>
          <w:color w:val="auto"/>
          <w:kern w:val="2"/>
          <w:sz w:val="32"/>
          <w:szCs w:val="32"/>
          <w:shd w:val="clear" w:color="auto" w:fill="FFFFFF"/>
          <w:lang w:val="en-US" w:eastAsia="zh-CN" w:bidi="ar"/>
        </w:rPr>
      </w:pPr>
      <w:r>
        <w:rPr>
          <w:rFonts w:hint="eastAsia" w:eastAsia="仿宋_GB2312"/>
          <w:color w:val="auto"/>
          <w:sz w:val="32"/>
          <w:szCs w:val="28"/>
          <w:lang w:val="en-US" w:eastAsia="zh-CN"/>
        </w:rPr>
        <w:t>3.会龙山李家洲社区棚户区改造项目配套基础设施建设项目（邓新路）及桃花仑片区棚户区改造小区外配套基础设施建设项目（体育路）的建设对改善赫山区的区域交通路网设施，提升城市功能，提升片区区位优势，带动区域经济的增长具有重要的促进作用</w:t>
      </w:r>
      <w:r>
        <w:rPr>
          <w:rFonts w:hint="eastAsia" w:ascii="仿宋_GB2312" w:hAnsi="微软雅黑" w:eastAsia="仿宋_GB2312" w:cs="仿宋_GB2312"/>
          <w:color w:val="auto"/>
          <w:kern w:val="2"/>
          <w:sz w:val="32"/>
          <w:szCs w:val="32"/>
          <w:shd w:val="clear" w:color="auto" w:fill="FFFFFF"/>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40" w:firstLineChars="200"/>
        <w:textAlignment w:val="auto"/>
        <w:rPr>
          <w:rFonts w:hint="default" w:ascii="仿宋_GB2312" w:hAnsi="微软雅黑" w:eastAsia="仿宋_GB2312" w:cs="仿宋_GB2312"/>
          <w:color w:val="auto"/>
          <w:kern w:val="2"/>
          <w:sz w:val="32"/>
          <w:szCs w:val="32"/>
          <w:shd w:val="clear" w:color="auto" w:fill="FFFFFF"/>
          <w:lang w:val="en-US" w:eastAsia="zh-CN" w:bidi="ar"/>
        </w:rPr>
      </w:pPr>
      <w:r>
        <w:rPr>
          <w:rFonts w:hint="eastAsia" w:ascii="仿宋_GB2312" w:hAnsi="微软雅黑" w:eastAsia="仿宋_GB2312" w:cs="仿宋_GB2312"/>
          <w:color w:val="auto"/>
          <w:kern w:val="2"/>
          <w:sz w:val="32"/>
          <w:szCs w:val="32"/>
          <w:shd w:val="clear" w:color="auto" w:fill="FFFFFF"/>
          <w:lang w:val="en-US" w:eastAsia="zh-CN" w:bidi="ar"/>
        </w:rPr>
        <w:t>4.</w:t>
      </w:r>
      <w:r>
        <w:rPr>
          <w:rFonts w:hint="eastAsia" w:eastAsia="仿宋_GB2312"/>
          <w:color w:val="auto"/>
          <w:sz w:val="32"/>
          <w:szCs w:val="28"/>
          <w:lang w:val="en-US" w:eastAsia="zh-CN"/>
        </w:rPr>
        <w:t>会龙山李家洲社区棚户区改造项目配套基础设施建设项目（邓新路）及桃花仑片区棚户区改造小区外配套基础设施建设项目（体育路）的建设</w:t>
      </w:r>
      <w:r>
        <w:rPr>
          <w:rFonts w:hint="eastAsia" w:ascii="仿宋_GB2312" w:hAnsi="微软雅黑" w:eastAsia="仿宋_GB2312" w:cs="仿宋_GB2312"/>
          <w:color w:val="auto"/>
          <w:kern w:val="2"/>
          <w:sz w:val="32"/>
          <w:szCs w:val="32"/>
          <w:shd w:val="clear" w:color="auto" w:fill="FFFFFF"/>
          <w:lang w:val="en-US" w:eastAsia="zh-CN" w:bidi="ar"/>
        </w:rPr>
        <w:t>建设提升了道路周边土地价值，拉动益阳城市开发建设，拓展城市发展空间，促进区域社会经济发展。</w:t>
      </w:r>
    </w:p>
    <w:p>
      <w:pPr>
        <w:keepNext w:val="0"/>
        <w:keepLines w:val="0"/>
        <w:pageBreakBefore w:val="0"/>
        <w:numPr>
          <w:ilvl w:val="0"/>
          <w:numId w:val="2"/>
        </w:numPr>
        <w:kinsoku/>
        <w:wordWrap/>
        <w:overflowPunct/>
        <w:topLinePunct w:val="0"/>
        <w:autoSpaceDE/>
        <w:autoSpaceDN/>
        <w:bidi w:val="0"/>
        <w:adjustRightInd/>
        <w:snapToGrid w:val="0"/>
        <w:spacing w:line="600" w:lineRule="atLeast"/>
        <w:ind w:firstLine="640" w:firstLineChars="200"/>
        <w:textAlignment w:val="auto"/>
        <w:outlineLvl w:val="9"/>
        <w:rPr>
          <w:rFonts w:hint="eastAsia" w:ascii="仿宋_GB2312" w:hAnsi="微软雅黑" w:eastAsia="仿宋_GB2312" w:cs="仿宋_GB2312"/>
          <w:color w:val="auto"/>
          <w:kern w:val="2"/>
          <w:sz w:val="32"/>
          <w:szCs w:val="32"/>
          <w:shd w:val="clear" w:color="auto" w:fill="FFFFFF"/>
          <w:lang w:val="en-US" w:eastAsia="zh-CN" w:bidi="ar"/>
        </w:rPr>
      </w:pPr>
      <w:r>
        <w:rPr>
          <w:rFonts w:eastAsia="黑体"/>
          <w:bCs/>
          <w:color w:val="auto"/>
          <w:sz w:val="32"/>
        </w:rPr>
        <w:t>存在的主要问题</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atLeast"/>
        <w:ind w:firstLine="643" w:firstLineChars="200"/>
        <w:textAlignment w:val="auto"/>
        <w:outlineLvl w:val="9"/>
        <w:rPr>
          <w:rFonts w:hint="eastAsia" w:ascii="仿宋_GB2312" w:hAnsi="微软雅黑" w:eastAsia="仿宋_GB2312" w:cs="仿宋_GB2312"/>
          <w:color w:val="auto"/>
          <w:kern w:val="2"/>
          <w:sz w:val="32"/>
          <w:szCs w:val="32"/>
          <w:shd w:val="clear" w:color="auto" w:fill="FFFFFF"/>
          <w:lang w:val="en-US" w:eastAsia="zh-CN" w:bidi="ar"/>
        </w:rPr>
      </w:pPr>
      <w:r>
        <w:rPr>
          <w:rFonts w:hint="eastAsia" w:eastAsia="仿宋_GB2312"/>
          <w:b/>
          <w:bCs/>
          <w:color w:val="auto"/>
          <w:sz w:val="32"/>
          <w:szCs w:val="28"/>
          <w:lang w:val="en-US" w:eastAsia="zh-CN"/>
        </w:rPr>
        <w:t>1.项目实施进度慢</w:t>
      </w:r>
      <w:r>
        <w:rPr>
          <w:rFonts w:hint="eastAsia" w:ascii="仿宋_GB2312" w:hAnsi="微软雅黑" w:eastAsia="仿宋_GB2312" w:cs="仿宋_GB2312"/>
          <w:b/>
          <w:bCs/>
          <w:color w:val="auto"/>
          <w:kern w:val="2"/>
          <w:sz w:val="32"/>
          <w:szCs w:val="32"/>
          <w:shd w:val="clear" w:color="auto" w:fill="FFFFFF"/>
          <w:lang w:val="en-US" w:eastAsia="zh-CN" w:bidi="ar"/>
        </w:rPr>
        <w:t>。</w:t>
      </w:r>
      <w:r>
        <w:rPr>
          <w:rFonts w:hint="eastAsia" w:ascii="仿宋_GB2312" w:hAnsi="微软雅黑" w:eastAsia="仿宋_GB2312" w:cs="仿宋_GB2312"/>
          <w:color w:val="auto"/>
          <w:kern w:val="2"/>
          <w:sz w:val="32"/>
          <w:szCs w:val="32"/>
          <w:shd w:val="clear" w:color="auto" w:fill="FFFFFF"/>
          <w:lang w:val="en-US" w:eastAsia="zh-CN" w:bidi="ar"/>
        </w:rPr>
        <w:t>2020年9月28日签订会龙山李家洲社区棚户区改造项目配套基础设施建设项目（邓新路）施工合同，施工总工期为180个日历天，该项目于2021年1月份完工，但截至评价日，项目未完成审计结算；2020年10月22日签订桃花仑片区棚户区改造小区外配套基础设施建设项目（体育路）施工合同，施工总工期为90个日历天，截至评价日该项目还未完工。</w:t>
      </w:r>
    </w:p>
    <w:p>
      <w:pPr>
        <w:keepNext w:val="0"/>
        <w:keepLines w:val="0"/>
        <w:pageBreakBefore w:val="0"/>
        <w:widowControl w:val="0"/>
        <w:numPr>
          <w:ilvl w:val="0"/>
          <w:numId w:val="0"/>
        </w:numPr>
        <w:kinsoku/>
        <w:wordWrap/>
        <w:overflowPunct/>
        <w:topLinePunct w:val="0"/>
        <w:autoSpaceDE/>
        <w:autoSpaceDN/>
        <w:bidi w:val="0"/>
        <w:adjustRightInd/>
        <w:snapToGrid w:val="0"/>
        <w:spacing w:line="600" w:lineRule="atLeast"/>
        <w:ind w:firstLine="643" w:firstLineChars="200"/>
        <w:textAlignment w:val="auto"/>
        <w:outlineLvl w:val="9"/>
        <w:rPr>
          <w:rFonts w:hint="eastAsia" w:ascii="仿宋_GB2312" w:hAnsi="微软雅黑" w:eastAsia="仿宋_GB2312" w:cs="仿宋_GB2312"/>
          <w:color w:val="auto"/>
          <w:kern w:val="2"/>
          <w:sz w:val="32"/>
          <w:szCs w:val="32"/>
          <w:shd w:val="clear" w:color="auto" w:fill="FFFFFF"/>
          <w:lang w:val="en-US" w:eastAsia="zh-CN" w:bidi="ar"/>
        </w:rPr>
      </w:pPr>
      <w:r>
        <w:rPr>
          <w:rFonts w:hint="eastAsia" w:eastAsia="仿宋_GB2312"/>
          <w:b/>
          <w:bCs/>
          <w:color w:val="auto"/>
          <w:sz w:val="32"/>
          <w:szCs w:val="28"/>
          <w:lang w:val="en-US" w:eastAsia="zh-CN"/>
        </w:rPr>
        <w:t>2.违规支付。</w:t>
      </w:r>
      <w:r>
        <w:rPr>
          <w:rFonts w:hint="eastAsia" w:eastAsia="仿宋_GB2312"/>
          <w:color w:val="auto"/>
          <w:sz w:val="32"/>
          <w:szCs w:val="28"/>
          <w:lang w:val="en-US" w:eastAsia="zh-CN"/>
        </w:rPr>
        <w:t>桃花仑片区棚户区改造小区外配套基础设施建设项目（体育路）项目施工方湖南明达建设集团有限公司开具184万的发票，其中赫山城投支付100万至湖南明达建设集团有限公司账户，另外84万支付给益阳市赫山街道东风岭社区代付给台贝厂棚户区改造北边28户的补偿款。</w:t>
      </w:r>
    </w:p>
    <w:p>
      <w:pPr>
        <w:snapToGrid w:val="0"/>
        <w:spacing w:line="600" w:lineRule="exact"/>
        <w:ind w:firstLine="640" w:firstLineChars="200"/>
        <w:rPr>
          <w:rFonts w:eastAsia="黑体"/>
          <w:bCs/>
          <w:color w:val="auto"/>
          <w:sz w:val="32"/>
        </w:rPr>
      </w:pPr>
      <w:r>
        <w:rPr>
          <w:rFonts w:hint="eastAsia" w:eastAsia="黑体"/>
          <w:bCs/>
          <w:color w:val="auto"/>
          <w:sz w:val="32"/>
          <w:lang w:eastAsia="zh-CN"/>
        </w:rPr>
        <w:t>六</w:t>
      </w:r>
      <w:r>
        <w:rPr>
          <w:rFonts w:eastAsia="黑体"/>
          <w:bCs/>
          <w:color w:val="auto"/>
          <w:sz w:val="32"/>
        </w:rPr>
        <w:t>、有关建议</w:t>
      </w:r>
    </w:p>
    <w:p>
      <w:pPr>
        <w:pStyle w:val="8"/>
        <w:widowControl w:val="0"/>
        <w:snapToGrid w:val="0"/>
        <w:spacing w:before="0" w:beforeAutospacing="0" w:after="0" w:afterAutospacing="0" w:line="600" w:lineRule="exact"/>
        <w:ind w:firstLine="643" w:firstLineChars="200"/>
        <w:jc w:val="both"/>
        <w:rPr>
          <w:rFonts w:hint="eastAsia" w:ascii="仿宋_GB2312" w:eastAsia="仿宋_GB2312"/>
          <w:color w:val="000000"/>
          <w:sz w:val="32"/>
          <w:szCs w:val="32"/>
          <w:lang w:eastAsia="zh-CN"/>
        </w:rPr>
      </w:pPr>
      <w:r>
        <w:rPr>
          <w:rFonts w:hint="eastAsia" w:ascii="仿宋_GB2312" w:eastAsia="仿宋_GB2312" w:cs="宋体"/>
          <w:b/>
          <w:color w:val="000000"/>
          <w:kern w:val="0"/>
          <w:sz w:val="32"/>
          <w:szCs w:val="32"/>
          <w:lang w:val="en-US" w:eastAsia="zh-CN" w:bidi="ar-SA"/>
        </w:rPr>
        <w:t>1</w:t>
      </w:r>
      <w:r>
        <w:rPr>
          <w:rFonts w:hint="eastAsia" w:ascii="仿宋_GB2312" w:hAnsi="宋体" w:eastAsia="仿宋_GB2312" w:cs="宋体"/>
          <w:b/>
          <w:color w:val="000000"/>
          <w:kern w:val="0"/>
          <w:sz w:val="32"/>
          <w:szCs w:val="32"/>
          <w:lang w:val="en-US" w:eastAsia="zh-CN" w:bidi="ar-SA"/>
        </w:rPr>
        <w:t>.加大工程收尾力度。</w:t>
      </w:r>
      <w:r>
        <w:rPr>
          <w:rFonts w:hint="eastAsia" w:ascii="仿宋_GB2312" w:eastAsia="仿宋_GB2312"/>
          <w:color w:val="000000"/>
          <w:sz w:val="32"/>
          <w:szCs w:val="32"/>
        </w:rPr>
        <w:t>加大施工进度督察力度，及时开展完工工程验收及工程资金拨付</w:t>
      </w:r>
      <w:r>
        <w:rPr>
          <w:rFonts w:hint="eastAsia" w:ascii="仿宋_GB2312" w:eastAsia="仿宋_GB2312"/>
          <w:color w:val="000000"/>
          <w:sz w:val="32"/>
          <w:szCs w:val="32"/>
          <w:lang w:eastAsia="zh-CN"/>
        </w:rPr>
        <w:t>。</w:t>
      </w:r>
    </w:p>
    <w:p>
      <w:pPr>
        <w:pStyle w:val="8"/>
        <w:widowControl w:val="0"/>
        <w:snapToGrid w:val="0"/>
        <w:spacing w:before="0" w:beforeAutospacing="0" w:after="0" w:afterAutospacing="0" w:line="600" w:lineRule="exact"/>
        <w:ind w:firstLine="643" w:firstLineChars="200"/>
        <w:jc w:val="both"/>
        <w:rPr>
          <w:rFonts w:hint="eastAsia" w:ascii="仿宋_GB2312" w:eastAsia="仿宋_GB2312"/>
          <w:bCs/>
          <w:color w:val="333333"/>
          <w:sz w:val="32"/>
          <w:szCs w:val="32"/>
          <w:lang w:val="en-US" w:eastAsia="zh-CN"/>
        </w:rPr>
      </w:pPr>
      <w:r>
        <w:rPr>
          <w:rFonts w:hint="eastAsia" w:ascii="仿宋_GB2312" w:eastAsia="仿宋_GB2312" w:cs="宋体"/>
          <w:b/>
          <w:color w:val="000000"/>
          <w:kern w:val="0"/>
          <w:sz w:val="32"/>
          <w:szCs w:val="32"/>
          <w:lang w:val="en-US" w:eastAsia="zh-CN" w:bidi="ar-SA"/>
        </w:rPr>
        <w:t>2</w:t>
      </w:r>
      <w:r>
        <w:rPr>
          <w:rFonts w:hint="eastAsia" w:ascii="仿宋_GB2312" w:hAnsi="宋体" w:eastAsia="仿宋_GB2312" w:cs="宋体"/>
          <w:b/>
          <w:color w:val="000000"/>
          <w:kern w:val="0"/>
          <w:sz w:val="32"/>
          <w:szCs w:val="32"/>
          <w:lang w:val="en-US" w:eastAsia="zh-CN" w:bidi="ar-SA"/>
        </w:rPr>
        <w:t>.加快资金拨付进度。</w:t>
      </w:r>
      <w:r>
        <w:rPr>
          <w:rFonts w:hint="eastAsia" w:ascii="仿宋_GB2312" w:eastAsia="仿宋_GB2312"/>
          <w:b w:val="0"/>
          <w:bCs/>
          <w:color w:val="000000"/>
          <w:sz w:val="32"/>
          <w:szCs w:val="32"/>
          <w:lang w:eastAsia="zh-CN"/>
        </w:rPr>
        <w:t>加快项目进度</w:t>
      </w:r>
      <w:r>
        <w:rPr>
          <w:rFonts w:hint="eastAsia" w:ascii="仿宋_GB2312" w:hAnsi="微软雅黑" w:eastAsia="仿宋_GB2312" w:cs="仿宋_GB2312"/>
          <w:b w:val="0"/>
          <w:bCs/>
          <w:color w:val="auto"/>
          <w:kern w:val="2"/>
          <w:sz w:val="32"/>
          <w:szCs w:val="32"/>
          <w:shd w:val="clear" w:color="auto" w:fill="FFFFFF"/>
          <w:lang w:val="en-US" w:eastAsia="zh-CN" w:bidi="ar"/>
        </w:rPr>
        <w:t>完</w:t>
      </w:r>
      <w:r>
        <w:rPr>
          <w:rFonts w:hint="eastAsia" w:ascii="仿宋_GB2312" w:hAnsi="微软雅黑" w:eastAsia="仿宋_GB2312" w:cs="仿宋_GB2312"/>
          <w:color w:val="auto"/>
          <w:kern w:val="2"/>
          <w:sz w:val="32"/>
          <w:szCs w:val="32"/>
          <w:shd w:val="clear" w:color="auto" w:fill="FFFFFF"/>
          <w:lang w:val="en-US" w:eastAsia="zh-CN" w:bidi="ar"/>
        </w:rPr>
        <w:t>成竣工决算审计并经审计部门审定，</w:t>
      </w:r>
      <w:r>
        <w:rPr>
          <w:rFonts w:hint="eastAsia" w:ascii="仿宋_GB2312" w:eastAsia="仿宋_GB2312"/>
          <w:color w:val="000000"/>
          <w:sz w:val="32"/>
          <w:szCs w:val="32"/>
        </w:rPr>
        <w:t>及时按合同及施工进度拨付建设资金</w:t>
      </w:r>
      <w:r>
        <w:rPr>
          <w:rFonts w:hint="eastAsia" w:ascii="仿宋_GB2312" w:eastAsia="仿宋_GB2312"/>
          <w:color w:val="000000"/>
          <w:sz w:val="32"/>
          <w:szCs w:val="32"/>
          <w:lang w:eastAsia="zh-CN"/>
        </w:rPr>
        <w:t>。</w:t>
      </w:r>
    </w:p>
    <w:p>
      <w:pPr>
        <w:pStyle w:val="8"/>
        <w:widowControl w:val="0"/>
        <w:snapToGrid w:val="0"/>
        <w:spacing w:before="0" w:beforeAutospacing="0" w:after="0" w:afterAutospacing="0" w:line="600" w:lineRule="exact"/>
        <w:ind w:firstLine="640" w:firstLineChars="200"/>
        <w:jc w:val="both"/>
        <w:rPr>
          <w:rFonts w:hint="eastAsia" w:ascii="Times New Roman" w:hAnsi="Times New Roman" w:eastAsia="仿宋_GB2312" w:cs="Times New Roman"/>
          <w:color w:val="auto"/>
          <w:kern w:val="2"/>
          <w:sz w:val="32"/>
          <w:szCs w:val="28"/>
          <w:lang w:val="en-US" w:eastAsia="zh-CN" w:bidi="ar-SA"/>
        </w:rPr>
      </w:pPr>
    </w:p>
    <w:p>
      <w:pPr>
        <w:pStyle w:val="8"/>
        <w:widowControl w:val="0"/>
        <w:snapToGrid w:val="0"/>
        <w:spacing w:before="0" w:beforeAutospacing="0" w:after="0" w:afterAutospacing="0" w:line="600" w:lineRule="exact"/>
        <w:ind w:firstLine="640" w:firstLineChars="200"/>
        <w:jc w:val="both"/>
        <w:rPr>
          <w:rFonts w:hint="eastAsia" w:ascii="Times New Roman" w:hAnsi="Times New Roman" w:eastAsia="仿宋_GB2312" w:cs="Times New Roman"/>
          <w:color w:val="auto"/>
          <w:kern w:val="2"/>
          <w:sz w:val="32"/>
          <w:szCs w:val="28"/>
          <w:lang w:val="en-US" w:eastAsia="zh-CN" w:bidi="ar-SA"/>
        </w:rPr>
      </w:pPr>
    </w:p>
    <w:p>
      <w:pPr>
        <w:pStyle w:val="8"/>
        <w:widowControl w:val="0"/>
        <w:snapToGrid w:val="0"/>
        <w:spacing w:before="0" w:beforeAutospacing="0" w:after="0" w:afterAutospacing="0" w:line="600" w:lineRule="exact"/>
        <w:ind w:firstLine="640" w:firstLineChars="200"/>
        <w:jc w:val="both"/>
        <w:rPr>
          <w:rFonts w:hint="eastAsia" w:ascii="Times New Roman" w:hAnsi="Times New Roman" w:eastAsia="仿宋_GB2312" w:cs="Times New Roman"/>
          <w:color w:val="auto"/>
          <w:kern w:val="2"/>
          <w:sz w:val="32"/>
          <w:szCs w:val="28"/>
          <w:lang w:val="en-US" w:eastAsia="zh-CN" w:bidi="ar-SA"/>
        </w:rPr>
        <w:sectPr>
          <w:footerReference r:id="rId3" w:type="default"/>
          <w:pgSz w:w="11905" w:h="16837"/>
          <w:pgMar w:top="1418" w:right="1588" w:bottom="1418" w:left="1588" w:header="720" w:footer="1701" w:gutter="0"/>
          <w:pgBorders>
            <w:top w:val="none" w:sz="0" w:space="0"/>
            <w:left w:val="none" w:sz="0" w:space="0"/>
            <w:bottom w:val="none" w:sz="0" w:space="0"/>
            <w:right w:val="none" w:sz="0" w:space="0"/>
          </w:pgBorders>
          <w:pgNumType w:fmt="numberInDash" w:start="1"/>
          <w:cols w:space="720" w:num="1"/>
          <w:titlePg/>
          <w:docGrid w:linePitch="636" w:charSpace="20838"/>
        </w:sectPr>
      </w:pPr>
    </w:p>
    <w:p>
      <w:pPr>
        <w:pStyle w:val="8"/>
        <w:widowControl w:val="0"/>
        <w:snapToGrid w:val="0"/>
        <w:spacing w:before="0" w:beforeAutospacing="0" w:after="0" w:afterAutospacing="0" w:line="600" w:lineRule="exact"/>
        <w:ind w:firstLine="640" w:firstLineChars="200"/>
        <w:jc w:val="center"/>
        <w:rPr>
          <w:rFonts w:hint="eastAsia" w:ascii="宋体" w:hAnsi="宋体" w:eastAsia="宋体" w:cs="宋体"/>
          <w:i w:val="0"/>
          <w:color w:val="000000"/>
          <w:kern w:val="0"/>
          <w:sz w:val="32"/>
          <w:szCs w:val="32"/>
          <w:u w:val="none"/>
          <w:lang w:val="en-US" w:eastAsia="zh-CN" w:bidi="ar"/>
        </w:rPr>
      </w:pPr>
      <w:r>
        <w:rPr>
          <w:rFonts w:hint="eastAsia" w:cs="宋体"/>
          <w:i w:val="0"/>
          <w:color w:val="000000"/>
          <w:kern w:val="0"/>
          <w:sz w:val="32"/>
          <w:szCs w:val="32"/>
          <w:u w:val="none"/>
          <w:lang w:val="en-US" w:eastAsia="zh-CN" w:bidi="ar"/>
        </w:rPr>
        <w:t>2020年第一批保障性安居工程专项（棚户区改造公租房配套基础设施建设及国有工矿棚户区改造）项目</w:t>
      </w:r>
      <w:r>
        <w:rPr>
          <w:rFonts w:hint="eastAsia" w:ascii="宋体" w:hAnsi="宋体" w:eastAsia="宋体" w:cs="宋体"/>
          <w:i w:val="0"/>
          <w:color w:val="000000"/>
          <w:kern w:val="0"/>
          <w:sz w:val="32"/>
          <w:szCs w:val="32"/>
          <w:u w:val="none"/>
          <w:lang w:val="en-US" w:eastAsia="zh-CN" w:bidi="ar"/>
        </w:rPr>
        <w:t>绩效评价指标计分表</w:t>
      </w:r>
    </w:p>
    <w:tbl>
      <w:tblPr>
        <w:tblStyle w:val="9"/>
        <w:tblW w:w="14401" w:type="dxa"/>
        <w:tblInd w:w="96" w:type="dxa"/>
        <w:shd w:val="clear" w:color="auto" w:fill="auto"/>
        <w:tblLayout w:type="fixed"/>
        <w:tblCellMar>
          <w:top w:w="0" w:type="dxa"/>
          <w:left w:w="108" w:type="dxa"/>
          <w:bottom w:w="0" w:type="dxa"/>
          <w:right w:w="108" w:type="dxa"/>
        </w:tblCellMar>
      </w:tblPr>
      <w:tblGrid>
        <w:gridCol w:w="1055"/>
        <w:gridCol w:w="1020"/>
        <w:gridCol w:w="1284"/>
        <w:gridCol w:w="816"/>
        <w:gridCol w:w="4440"/>
        <w:gridCol w:w="5064"/>
        <w:gridCol w:w="722"/>
      </w:tblGrid>
      <w:tr>
        <w:tblPrEx>
          <w:shd w:val="clear" w:color="auto" w:fill="auto"/>
        </w:tblPrEx>
        <w:trPr>
          <w:trHeight w:val="420"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评分要点</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计分</w:t>
            </w:r>
          </w:p>
        </w:tc>
      </w:tr>
      <w:tr>
        <w:tblPrEx>
          <w:shd w:val="clear" w:color="auto" w:fill="auto"/>
          <w:tblCellMar>
            <w:top w:w="0" w:type="dxa"/>
            <w:left w:w="108" w:type="dxa"/>
            <w:bottom w:w="0" w:type="dxa"/>
            <w:right w:w="108" w:type="dxa"/>
          </w:tblCellMar>
        </w:tblPrEx>
        <w:trPr>
          <w:trHeight w:val="1574"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项目决策（20分）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项目申报（7分）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项目申报</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①项目是否按照规定的程序申请设立；②项目是否列入规划或工作计划：③事前是否已经过必要的可行性研究、专家论证、风险评估、集体决策等。</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按照规定的程序设立，计0.4分；②列入部门工作计划，计0.4分；③事前已经过必要的可行性研究、专家论证、风险评估、集体决策等，计0.4分；④符合本市国民经济和社会发展的总体规划，符合专项资金支持的方向、重点和范围，计0.4分。⑤申报前中，经党委会局务集体研究，计0.4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shd w:val="clear" w:color="auto" w:fill="auto"/>
          <w:tblCellMar>
            <w:top w:w="0" w:type="dxa"/>
            <w:left w:w="108" w:type="dxa"/>
            <w:bottom w:w="0" w:type="dxa"/>
            <w:right w:w="108" w:type="dxa"/>
          </w:tblCellMar>
        </w:tblPrEx>
        <w:trPr>
          <w:trHeight w:val="16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绩效目标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将项目绩效目标细化分解为具体的绩效指标；②是否通过清晰、可衡量的指标值予以体现：③是否与项目年度任务数或计划数相对应；④是否与预算确定的项目投资额或资金量相匹配。⑤遵循科学性、重要性、经济性、关联性原则。</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有目标，计1分：②目标明确，细化量化良好，个性指标中量化指标超过3个，计2分，量化指标为2个，计1分，2个以下不计分；③目标与资金匹配良好，逻辑关系明确，计1分；④遵循四个原则，计1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3</w:t>
            </w:r>
          </w:p>
        </w:tc>
      </w:tr>
      <w:tr>
        <w:tblPrEx>
          <w:shd w:val="clear" w:color="auto" w:fill="auto"/>
          <w:tblCellMar>
            <w:top w:w="0" w:type="dxa"/>
            <w:left w:w="108" w:type="dxa"/>
            <w:bottom w:w="0" w:type="dxa"/>
            <w:right w:w="108" w:type="dxa"/>
          </w:tblCellMar>
        </w:tblPrEx>
        <w:trPr>
          <w:trHeight w:val="72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资金分配（3分）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分配办法</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①分配办法是否健全、规范；②因素选择是否公平、合理。</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①分配办法健全、规范，计0.5分，1例不符合扣0.1分；②因素选择全面、合理，计0.5分，1例不符合扣0.1分。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分配结果</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实际分配是否符合办法要求，结果是否公平、合理。</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实际分配符合办法要求，结果公平、合理，计1分，1例不符合扣0.1分。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r>
      <w:tr>
        <w:tblPrEx>
          <w:shd w:val="clear" w:color="auto" w:fill="auto"/>
          <w:tblCellMar>
            <w:top w:w="0" w:type="dxa"/>
            <w:left w:w="108" w:type="dxa"/>
            <w:bottom w:w="0" w:type="dxa"/>
            <w:right w:w="108" w:type="dxa"/>
          </w:tblCellMar>
        </w:tblPrEx>
        <w:trPr>
          <w:trHeight w:val="96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结果公示</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①资金分配结果是都在公开渠道进行公示；②公示是否及时，公示期是否达到要求；③公示内容准确；④公示内容完整。</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①资金分配结果在公开渠道进行公示，计0.5分；②公示及时，公示期达到要求，公示内容准确，公示内容完整，得0.5分。否则，酌情扣分。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1</w:t>
            </w:r>
          </w:p>
        </w:tc>
      </w:tr>
      <w:tr>
        <w:tblPrEx>
          <w:shd w:val="clear" w:color="auto" w:fill="auto"/>
          <w:tblCellMar>
            <w:top w:w="0" w:type="dxa"/>
            <w:left w:w="108" w:type="dxa"/>
            <w:bottom w:w="0" w:type="dxa"/>
            <w:right w:w="108" w:type="dxa"/>
          </w:tblCellMar>
        </w:tblPrEx>
        <w:trPr>
          <w:trHeight w:val="960"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项目管理（40分）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预算执行（4分）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执行进度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预算执行进度=截止预算年度12月底已完成投资的预算项目资金/预算资金*100%</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①11月底下达的、12月底前完成100%，计4分，每下降1%扣0.2分，扣完为止。②12月底前下达的，3月30日前完成100%，计4分，每下降1%扣0.2分，扣完为止。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预算调整（4分）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预算调整率=预算调整金额/年初预算金额的</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预算调整率低于5%得4分，按比例每上升1%扣0.2分。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72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预算结转（3分）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结余结转资金规模</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结余结转率=年末结余结转资金金额/年初预算金额</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①结余结转率低于5%，得3分；②高于5%，按比例每上升1%，扣0.2分，扣完为止。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96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组织管理（17分）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政府采购</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①政府采购手续齐全；②应采尽采；③合同规范</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①政府采购手续齐全1分；②应采尽采2分；③合同规范1分，按比例每下降1%扣0.1分；④有不良记录或被投诉属实，本项不得分。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4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投资评审</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①标底评审：②结算评审：③决算评</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①标底评审0.5分：②结算评审3分；③决算评审0.5分，按比例每下降1%扣0.2分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135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管理制度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①是否制定业务管理的相关制度；②是否制定项目资金管理办法；③相关管理制度是否合法、合规、完整；④是否按项目管理制度执行；⑤是否对分项目进行中期检查与汇报，是否进行项目的跟踪、监督、整改。</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①、②、③、④、⑤各0.8分。否则，酌情扣分。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132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绩效自评</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按要求开展绩效自评工作；②绩效自评报告报送及时；③绩效自评报告的评审等级；④绩效自评报是否完整，数据是否全面、真实、准确，绩效指标是否细化量化和科学合理，绩效自评反映的问题是否具体，意见是否可行。</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评审为优，得5分：评审为良，得4分：评审为中，得2.5分；评审为低，得1分；评审为差，得0分。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13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财务管理（12分）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资产管理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①资产是否保存完整、使用合规、配置合理；②资产是否处置规范、收入及时上缴。</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资产配置合理、保管完整，账实相符的，得1分；②资产有偿使用及处置收入及时足额上缴，得1分；③有明确的资产配置预算入或计划，报批手续完整，得0.5分；④不超资产配置标准，得1分，发现一例超过标准的，本项不得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209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资金使用</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是否符合国家财经法规和财务管理制度以及有关专项资金管理办法的规定；②资金的支付是否有完整的审批程序和手续；③项目的重大开支是否1经过评估认证；④是否符合项目预算批复或合同规定的用途；⑤是否存在成留、挤占、挪用、虚列支出等情况；⑥是否存在重复申报项目、虚报冒领资金。</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符合国家财经法规和财务管理制度以及有关专项资金管理办法的规定，资金的支付有完整的审批程序和手续，计1分，1例不符合扣0.2分；②项目的重大开支经过评估认证，计1分，1例不符合扣0.2分；③符合车项目预算批复或合同规定的用途，计1分，1例不符合扣0.2分；④不存在截留、挤占领挪用、虚列支出等情况，不存在重复申报项日、虚报冒领资金，计1分，1例不符合全扣；⑤违规情况严重的在总分上加扣10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shd w:val="clear" w:color="auto" w:fill="auto"/>
          <w:tblCellMar>
            <w:top w:w="0" w:type="dxa"/>
            <w:left w:w="108" w:type="dxa"/>
            <w:bottom w:w="0" w:type="dxa"/>
            <w:right w:w="108" w:type="dxa"/>
          </w:tblCellMar>
        </w:tblPrEx>
        <w:trPr>
          <w:trHeight w:val="203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会计信息</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真实性：项目实际发生支出的会计核算是否真实；②完整性：项目资金投入、支出、资产等会计核算资料的完整性；③及时性：各类会计核算资1料提供的及时性，已完成项目是否及时进行决算与审计，项目形成的固定资产是否及时登记入账等情况；④准确性：项目实际发生支出的会计核算是否准确规范。</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①项目实际发生支出的会计核算真实、准确论和规范，计1分，1例不符合扣0.2分；②的项目金投入，支出，产等会计核算资料或的完整性，计分，例不符合扣02分；③各类会计核算资料提供的及时性，已完成|项目及时进行决算与审计，项目形成的固定资产及时登记入账等情况，计1分，1例不|符合扣02分；④往来处理及时，得1分发现3年以上应收款1例倒扣0.2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2</w:t>
            </w:r>
          </w:p>
        </w:tc>
      </w:tr>
      <w:tr>
        <w:tblPrEx>
          <w:shd w:val="clear" w:color="auto" w:fill="auto"/>
          <w:tblCellMar>
            <w:top w:w="0" w:type="dxa"/>
            <w:left w:w="108" w:type="dxa"/>
            <w:bottom w:w="0" w:type="dxa"/>
            <w:right w:w="108" w:type="dxa"/>
          </w:tblCellMar>
        </w:tblPrEx>
        <w:trPr>
          <w:trHeight w:val="1384"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项目产出     （30分）</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产出数量（10分）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率=（实际产出数/计划产出数）×100%。实际产出数：一定时期（本年度或项目期）内项目实际产出的产品或提供的服务数量。计划产出：项目绩效目标确定的在一定时期（本年度或项目期）内计划产出的产品或提供的服务数量</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达到100%的，计8分，每下降5%扣1分，扣完为止。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shd w:val="clear" w:color="auto" w:fill="auto"/>
          <w:tblCellMar>
            <w:top w:w="0" w:type="dxa"/>
            <w:left w:w="108" w:type="dxa"/>
            <w:bottom w:w="0" w:type="dxa"/>
            <w:right w:w="108" w:type="dxa"/>
          </w:tblCellMar>
        </w:tblPrEx>
        <w:trPr>
          <w:trHeight w:val="50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产出质量（20分）</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项目完成时效性</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项目建设内容的质量是否合格</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达到100%的，计10分，每下降5%扣1分，扣完为止。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2</w:t>
            </w:r>
          </w:p>
        </w:tc>
      </w:tr>
      <w:tr>
        <w:tblPrEx>
          <w:shd w:val="clear" w:color="auto" w:fill="auto"/>
          <w:tblCellMar>
            <w:top w:w="0" w:type="dxa"/>
            <w:left w:w="108" w:type="dxa"/>
            <w:bottom w:w="0" w:type="dxa"/>
            <w:right w:w="108" w:type="dxa"/>
          </w:tblCellMar>
        </w:tblPrEx>
        <w:trPr>
          <w:trHeight w:val="702"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项目实际成本与工作内容的匹配程度及产出成本控制措施的有效性</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实际成本与工作内容基本匹配计5分，匹配程度每下降5%扣1分，扣完为止。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r>
      <w:tr>
        <w:tblPrEx>
          <w:shd w:val="clear" w:color="auto" w:fill="auto"/>
          <w:tblCellMar>
            <w:top w:w="0" w:type="dxa"/>
            <w:left w:w="108" w:type="dxa"/>
            <w:bottom w:w="0" w:type="dxa"/>
            <w:right w:w="108" w:type="dxa"/>
          </w:tblCellMar>
        </w:tblPrEx>
        <w:trPr>
          <w:trHeight w:val="660"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项目效果（20分）</w:t>
            </w:r>
          </w:p>
        </w:tc>
        <w:tc>
          <w:tcPr>
            <w:tcW w:w="10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w:t>
            </w: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项目实施对社会发展所带来的直接或间接影响情况。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项目实施对经济发展所带来的直接或间接影响情况。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可持续影响</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项目后续运行及成效发挥的可持续影响情况。</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根据实际情况及调查问卷等酌情扣分</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78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群众满意度</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社会公众或服务对象对项目实施效果的满意程度。</w:t>
            </w:r>
          </w:p>
        </w:tc>
        <w:tc>
          <w:tcPr>
            <w:tcW w:w="5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达85%以上得满分，每下降5%扣1分，扣完为止。</w:t>
            </w:r>
          </w:p>
        </w:tc>
        <w:tc>
          <w:tcPr>
            <w:tcW w:w="7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5</w:t>
            </w:r>
          </w:p>
        </w:tc>
      </w:tr>
      <w:tr>
        <w:tblPrEx>
          <w:shd w:val="clear" w:color="auto" w:fill="auto"/>
          <w:tblCellMar>
            <w:top w:w="0" w:type="dxa"/>
            <w:left w:w="108" w:type="dxa"/>
            <w:bottom w:w="0" w:type="dxa"/>
            <w:right w:w="108" w:type="dxa"/>
          </w:tblCellMar>
        </w:tblPrEx>
        <w:trPr>
          <w:trHeight w:val="426" w:hRule="atLeast"/>
        </w:trPr>
        <w:tc>
          <w:tcPr>
            <w:tcW w:w="2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8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w:t>
            </w:r>
          </w:p>
        </w:tc>
        <w:tc>
          <w:tcPr>
            <w:tcW w:w="44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0"/>
                <w:szCs w:val="20"/>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7</w:t>
            </w:r>
            <w:r>
              <w:rPr>
                <w:rFonts w:hint="eastAsia" w:ascii="宋体" w:hAnsi="宋体" w:cs="宋体"/>
                <w:b/>
                <w:bCs/>
                <w:i w:val="0"/>
                <w:iCs w:val="0"/>
                <w:color w:val="000000"/>
                <w:kern w:val="0"/>
                <w:sz w:val="20"/>
                <w:szCs w:val="20"/>
                <w:u w:val="none"/>
                <w:lang w:val="en-US" w:eastAsia="zh-CN" w:bidi="ar"/>
              </w:rPr>
              <w:t>6</w:t>
            </w:r>
          </w:p>
        </w:tc>
      </w:tr>
    </w:tbl>
    <w:p>
      <w:pPr>
        <w:pStyle w:val="8"/>
        <w:widowControl w:val="0"/>
        <w:snapToGrid w:val="0"/>
        <w:spacing w:before="0" w:beforeAutospacing="0" w:after="0" w:afterAutospacing="0" w:line="600" w:lineRule="exact"/>
        <w:jc w:val="both"/>
        <w:rPr>
          <w:rFonts w:hint="eastAsia" w:ascii="Times New Roman" w:hAnsi="Times New Roman" w:eastAsia="仿宋_GB2312" w:cs="Times New Roman"/>
          <w:color w:val="auto"/>
          <w:kern w:val="2"/>
          <w:sz w:val="32"/>
          <w:szCs w:val="28"/>
          <w:lang w:val="en-US" w:eastAsia="zh-CN" w:bidi="ar-SA"/>
        </w:rPr>
      </w:pPr>
    </w:p>
    <w:sectPr>
      <w:footerReference r:id="rId5" w:type="first"/>
      <w:footerReference r:id="rId4" w:type="default"/>
      <w:pgSz w:w="16837" w:h="11905" w:orient="landscape"/>
      <w:pgMar w:top="1587" w:right="1418" w:bottom="1587" w:left="1418" w:header="720" w:footer="1701" w:gutter="0"/>
      <w:pgBorders>
        <w:top w:val="none" w:sz="0" w:space="0"/>
        <w:left w:val="none" w:sz="0" w:space="0"/>
        <w:bottom w:val="none" w:sz="0" w:space="0"/>
        <w:right w:val="none" w:sz="0" w:space="0"/>
      </w:pgBorders>
      <w:pgNumType w:fmt="numberInDash"/>
      <w:cols w:space="0" w:num="1"/>
      <w:titlePg/>
      <w:rtlGutter w:val="0"/>
      <w:docGrid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rPr>
                        <w:rStyle w:val="13"/>
                        <w:sz w:val="28"/>
                        <w:szCs w:val="28"/>
                      </w:rPr>
                    </w:pPr>
                    <w:r>
                      <w:rPr>
                        <w:rStyle w:val="13"/>
                        <w:rFonts w:hint="eastAsia" w:cs="宋体"/>
                      </w:rPr>
                      <w:t>—</w:t>
                    </w:r>
                    <w:r>
                      <w:rPr>
                        <w:sz w:val="28"/>
                        <w:szCs w:val="28"/>
                      </w:rPr>
                      <w:fldChar w:fldCharType="begin"/>
                    </w:r>
                    <w:r>
                      <w:rPr>
                        <w:rStyle w:val="13"/>
                        <w:sz w:val="28"/>
                        <w:szCs w:val="28"/>
                      </w:rPr>
                      <w:instrText xml:space="preserve">PAGE  </w:instrText>
                    </w:r>
                    <w:r>
                      <w:rPr>
                        <w:sz w:val="28"/>
                        <w:szCs w:val="28"/>
                      </w:rPr>
                      <w:fldChar w:fldCharType="separate"/>
                    </w:r>
                    <w:r>
                      <w:rPr>
                        <w:rStyle w:val="13"/>
                        <w:sz w:val="28"/>
                        <w:szCs w:val="28"/>
                      </w:rPr>
                      <w:t>12</w:t>
                    </w:r>
                    <w:r>
                      <w:rPr>
                        <w:sz w:val="28"/>
                        <w:szCs w:val="28"/>
                      </w:rPr>
                      <w:fldChar w:fldCharType="end"/>
                    </w:r>
                    <w:r>
                      <w:rPr>
                        <w:rStyle w:val="13"/>
                        <w:rFonts w:hint="eastAsia" w:cs="宋体"/>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7D987A"/>
    <w:multiLevelType w:val="singleLevel"/>
    <w:tmpl w:val="B77D987A"/>
    <w:lvl w:ilvl="0" w:tentative="0">
      <w:start w:val="4"/>
      <w:numFmt w:val="chineseCounting"/>
      <w:suff w:val="nothing"/>
      <w:lvlText w:val="%1、"/>
      <w:lvlJc w:val="left"/>
      <w:rPr>
        <w:rFonts w:hint="eastAsia"/>
      </w:rPr>
    </w:lvl>
  </w:abstractNum>
  <w:abstractNum w:abstractNumId="1">
    <w:nsid w:val="F5DB7E1F"/>
    <w:multiLevelType w:val="singleLevel"/>
    <w:tmpl w:val="F5DB7E1F"/>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A4F"/>
    <w:rsid w:val="0005666E"/>
    <w:rsid w:val="00072F6E"/>
    <w:rsid w:val="00090961"/>
    <w:rsid w:val="000B2023"/>
    <w:rsid w:val="000B5652"/>
    <w:rsid w:val="000F6AC6"/>
    <w:rsid w:val="0012260D"/>
    <w:rsid w:val="001255D3"/>
    <w:rsid w:val="00130FD0"/>
    <w:rsid w:val="0016358A"/>
    <w:rsid w:val="001964C7"/>
    <w:rsid w:val="001C2944"/>
    <w:rsid w:val="001C5BFA"/>
    <w:rsid w:val="00211E67"/>
    <w:rsid w:val="00213606"/>
    <w:rsid w:val="00215BB0"/>
    <w:rsid w:val="00216881"/>
    <w:rsid w:val="00282F2A"/>
    <w:rsid w:val="002B3C42"/>
    <w:rsid w:val="002E5284"/>
    <w:rsid w:val="002F204F"/>
    <w:rsid w:val="0032232F"/>
    <w:rsid w:val="00350B45"/>
    <w:rsid w:val="00376ADD"/>
    <w:rsid w:val="00397920"/>
    <w:rsid w:val="003A35D5"/>
    <w:rsid w:val="00416329"/>
    <w:rsid w:val="00430447"/>
    <w:rsid w:val="004351AB"/>
    <w:rsid w:val="00446A96"/>
    <w:rsid w:val="00463D86"/>
    <w:rsid w:val="004649C2"/>
    <w:rsid w:val="004D1C2E"/>
    <w:rsid w:val="0050257A"/>
    <w:rsid w:val="005713F7"/>
    <w:rsid w:val="005A685D"/>
    <w:rsid w:val="005B5E48"/>
    <w:rsid w:val="00606D0F"/>
    <w:rsid w:val="006118DC"/>
    <w:rsid w:val="006618D2"/>
    <w:rsid w:val="006814E0"/>
    <w:rsid w:val="0070055B"/>
    <w:rsid w:val="007420AB"/>
    <w:rsid w:val="007905EB"/>
    <w:rsid w:val="007A5691"/>
    <w:rsid w:val="007A79D3"/>
    <w:rsid w:val="007B3586"/>
    <w:rsid w:val="007D1112"/>
    <w:rsid w:val="007D294F"/>
    <w:rsid w:val="007F384D"/>
    <w:rsid w:val="00800821"/>
    <w:rsid w:val="00806F46"/>
    <w:rsid w:val="008410C2"/>
    <w:rsid w:val="00884359"/>
    <w:rsid w:val="008B6614"/>
    <w:rsid w:val="008D5E16"/>
    <w:rsid w:val="00A33E94"/>
    <w:rsid w:val="00A3691C"/>
    <w:rsid w:val="00A60F19"/>
    <w:rsid w:val="00A70B95"/>
    <w:rsid w:val="00A72832"/>
    <w:rsid w:val="00AA4080"/>
    <w:rsid w:val="00AB346F"/>
    <w:rsid w:val="00AC1446"/>
    <w:rsid w:val="00AC4F72"/>
    <w:rsid w:val="00AD4967"/>
    <w:rsid w:val="00AF2A1B"/>
    <w:rsid w:val="00B11908"/>
    <w:rsid w:val="00B9578C"/>
    <w:rsid w:val="00BC5002"/>
    <w:rsid w:val="00BE0537"/>
    <w:rsid w:val="00C10BB9"/>
    <w:rsid w:val="00C55204"/>
    <w:rsid w:val="00C93BD6"/>
    <w:rsid w:val="00CB10B6"/>
    <w:rsid w:val="00D22D74"/>
    <w:rsid w:val="00D571CF"/>
    <w:rsid w:val="00D725E8"/>
    <w:rsid w:val="00D9050F"/>
    <w:rsid w:val="00DD1D33"/>
    <w:rsid w:val="00DD3D20"/>
    <w:rsid w:val="00DF5A01"/>
    <w:rsid w:val="00E25540"/>
    <w:rsid w:val="00E353BB"/>
    <w:rsid w:val="00E649F5"/>
    <w:rsid w:val="00EF4F83"/>
    <w:rsid w:val="00F25D30"/>
    <w:rsid w:val="00F25E17"/>
    <w:rsid w:val="00F37E71"/>
    <w:rsid w:val="00F47E9E"/>
    <w:rsid w:val="00F55464"/>
    <w:rsid w:val="00F97DF7"/>
    <w:rsid w:val="00FB3F1F"/>
    <w:rsid w:val="00FC5366"/>
    <w:rsid w:val="00FD53FE"/>
    <w:rsid w:val="01950D71"/>
    <w:rsid w:val="039B4B56"/>
    <w:rsid w:val="05365C01"/>
    <w:rsid w:val="064D15C2"/>
    <w:rsid w:val="06CD0C8E"/>
    <w:rsid w:val="081C04E7"/>
    <w:rsid w:val="090947CC"/>
    <w:rsid w:val="09E31FEC"/>
    <w:rsid w:val="0B082A86"/>
    <w:rsid w:val="0C835F2D"/>
    <w:rsid w:val="0D0B5453"/>
    <w:rsid w:val="0E6E3B5B"/>
    <w:rsid w:val="11766EB1"/>
    <w:rsid w:val="14C61E2C"/>
    <w:rsid w:val="15201E8D"/>
    <w:rsid w:val="1627416B"/>
    <w:rsid w:val="1A8C1080"/>
    <w:rsid w:val="1A9421A0"/>
    <w:rsid w:val="1AF03CB1"/>
    <w:rsid w:val="1BD11DD0"/>
    <w:rsid w:val="2169084D"/>
    <w:rsid w:val="22D84DCD"/>
    <w:rsid w:val="259713E2"/>
    <w:rsid w:val="26F625AE"/>
    <w:rsid w:val="274855DB"/>
    <w:rsid w:val="2B7046A0"/>
    <w:rsid w:val="2B983633"/>
    <w:rsid w:val="2DA707C4"/>
    <w:rsid w:val="2F696D62"/>
    <w:rsid w:val="2FE35CC5"/>
    <w:rsid w:val="318D3AB5"/>
    <w:rsid w:val="32287C50"/>
    <w:rsid w:val="32FA68E8"/>
    <w:rsid w:val="34BF7E2B"/>
    <w:rsid w:val="34D2562A"/>
    <w:rsid w:val="35502267"/>
    <w:rsid w:val="36D63F7F"/>
    <w:rsid w:val="373A427D"/>
    <w:rsid w:val="379924DE"/>
    <w:rsid w:val="384B5888"/>
    <w:rsid w:val="3A740D8E"/>
    <w:rsid w:val="3C3101F1"/>
    <w:rsid w:val="3EE0133F"/>
    <w:rsid w:val="3F045013"/>
    <w:rsid w:val="40480B80"/>
    <w:rsid w:val="46787771"/>
    <w:rsid w:val="469F3FCF"/>
    <w:rsid w:val="46DC0ADE"/>
    <w:rsid w:val="474C76B5"/>
    <w:rsid w:val="487A5598"/>
    <w:rsid w:val="499E56A8"/>
    <w:rsid w:val="4EC536F3"/>
    <w:rsid w:val="4ED845AC"/>
    <w:rsid w:val="507204EE"/>
    <w:rsid w:val="50C45B6C"/>
    <w:rsid w:val="5132574A"/>
    <w:rsid w:val="539C59FF"/>
    <w:rsid w:val="544F1D76"/>
    <w:rsid w:val="54B07031"/>
    <w:rsid w:val="55E53BAE"/>
    <w:rsid w:val="570B4ABF"/>
    <w:rsid w:val="574B467E"/>
    <w:rsid w:val="58094559"/>
    <w:rsid w:val="58C33216"/>
    <w:rsid w:val="58DE61E2"/>
    <w:rsid w:val="59722975"/>
    <w:rsid w:val="5A331E92"/>
    <w:rsid w:val="5A9C1EE7"/>
    <w:rsid w:val="5BDC2B66"/>
    <w:rsid w:val="5E203EBD"/>
    <w:rsid w:val="60126B58"/>
    <w:rsid w:val="607871C1"/>
    <w:rsid w:val="60A70D77"/>
    <w:rsid w:val="65325260"/>
    <w:rsid w:val="65551596"/>
    <w:rsid w:val="65F648B2"/>
    <w:rsid w:val="67AC1B7A"/>
    <w:rsid w:val="6FAE0966"/>
    <w:rsid w:val="718A0165"/>
    <w:rsid w:val="738C100A"/>
    <w:rsid w:val="75AA6F0F"/>
    <w:rsid w:val="794628B9"/>
    <w:rsid w:val="7961697C"/>
    <w:rsid w:val="7D463756"/>
    <w:rsid w:val="7D522BB8"/>
    <w:rsid w:val="7E3A5395"/>
    <w:rsid w:val="7F3D468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libri" w:hAnsi="Calibri" w:eastAsia="黑体"/>
      <w:b/>
      <w:bCs/>
      <w:sz w:val="32"/>
      <w:szCs w:val="32"/>
    </w:rPr>
  </w:style>
  <w:style w:type="character" w:default="1" w:styleId="11">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sz w:val="24"/>
      <w:szCs w:val="24"/>
      <w:vertAlign w:val="baseline"/>
    </w:rPr>
  </w:style>
  <w:style w:type="character" w:styleId="13">
    <w:name w:val="page number"/>
    <w:basedOn w:val="11"/>
    <w:qFormat/>
    <w:uiPriority w:val="0"/>
  </w:style>
  <w:style w:type="character" w:styleId="14">
    <w:name w:val="FollowedHyperlink"/>
    <w:basedOn w:val="11"/>
    <w:qFormat/>
    <w:uiPriority w:val="0"/>
    <w:rPr>
      <w:color w:val="007BC4"/>
      <w:sz w:val="24"/>
      <w:szCs w:val="24"/>
      <w:u w:val="none"/>
      <w:vertAlign w:val="baseline"/>
    </w:rPr>
  </w:style>
  <w:style w:type="character" w:styleId="15">
    <w:name w:val="Emphasis"/>
    <w:basedOn w:val="11"/>
    <w:qFormat/>
    <w:uiPriority w:val="0"/>
    <w:rPr>
      <w:i/>
      <w:sz w:val="24"/>
      <w:szCs w:val="24"/>
      <w:vertAlign w:val="baseline"/>
    </w:rPr>
  </w:style>
  <w:style w:type="character" w:styleId="16">
    <w:name w:val="HTML Definition"/>
    <w:basedOn w:val="11"/>
    <w:qFormat/>
    <w:uiPriority w:val="0"/>
  </w:style>
  <w:style w:type="character" w:styleId="17">
    <w:name w:val="HTML Acronym"/>
    <w:basedOn w:val="11"/>
    <w:qFormat/>
    <w:uiPriority w:val="0"/>
  </w:style>
  <w:style w:type="character" w:styleId="18">
    <w:name w:val="HTML Variable"/>
    <w:basedOn w:val="11"/>
    <w:qFormat/>
    <w:uiPriority w:val="0"/>
  </w:style>
  <w:style w:type="character" w:styleId="19">
    <w:name w:val="Hyperlink"/>
    <w:basedOn w:val="11"/>
    <w:qFormat/>
    <w:uiPriority w:val="0"/>
    <w:rPr>
      <w:color w:val="007BC4"/>
      <w:sz w:val="24"/>
      <w:szCs w:val="24"/>
      <w:u w:val="none"/>
      <w:vertAlign w:val="baseline"/>
    </w:rPr>
  </w:style>
  <w:style w:type="character" w:styleId="20">
    <w:name w:val="HTML Code"/>
    <w:basedOn w:val="11"/>
    <w:qFormat/>
    <w:uiPriority w:val="0"/>
    <w:rPr>
      <w:rFonts w:ascii="Courier New" w:hAnsi="Courier New"/>
      <w:sz w:val="24"/>
      <w:szCs w:val="24"/>
      <w:vertAlign w:val="baseline"/>
    </w:rPr>
  </w:style>
  <w:style w:type="character" w:styleId="21">
    <w:name w:val="HTML Cite"/>
    <w:basedOn w:val="11"/>
    <w:qFormat/>
    <w:uiPriority w:val="0"/>
  </w:style>
  <w:style w:type="paragraph" w:customStyle="1" w:styleId="22">
    <w:name w:val="表格内容"/>
    <w:basedOn w:val="3"/>
    <w:qFormat/>
    <w:uiPriority w:val="0"/>
    <w:pPr>
      <w:suppressLineNumbers/>
      <w:suppressAutoHyphens/>
      <w:jc w:val="left"/>
    </w:pPr>
    <w:rPr>
      <w:rFonts w:cs="Tahoma"/>
      <w:kern w:val="0"/>
      <w:sz w:val="24"/>
    </w:rPr>
  </w:style>
  <w:style w:type="character" w:customStyle="1" w:styleId="23">
    <w:name w:val="prev_disabled"/>
    <w:basedOn w:val="11"/>
    <w:qFormat/>
    <w:uiPriority w:val="0"/>
    <w:rPr>
      <w:rFonts w:ascii="宋体" w:hAnsi="宋体" w:eastAsia="宋体" w:cs="宋体"/>
      <w:b/>
      <w:color w:val="CCCCCC"/>
      <w:u w:val="none"/>
      <w:bdr w:val="single" w:color="EDEDED" w:sz="6" w:space="0"/>
    </w:rPr>
  </w:style>
  <w:style w:type="character" w:customStyle="1" w:styleId="24">
    <w:name w:val="current"/>
    <w:basedOn w:val="11"/>
    <w:qFormat/>
    <w:uiPriority w:val="0"/>
    <w:rPr>
      <w:b/>
      <w:color w:val="FFFFFF"/>
      <w:shd w:val="clear" w:color="auto" w:fill="2A5DBB"/>
    </w:rPr>
  </w:style>
  <w:style w:type="character" w:customStyle="1" w:styleId="25">
    <w:name w:val="wx-space"/>
    <w:basedOn w:val="11"/>
    <w:qFormat/>
    <w:uiPriority w:val="0"/>
  </w:style>
  <w:style w:type="character" w:customStyle="1" w:styleId="26">
    <w:name w:val="wx-space1"/>
    <w:basedOn w:val="11"/>
    <w:qFormat/>
    <w:uiPriority w:val="0"/>
  </w:style>
  <w:style w:type="character" w:customStyle="1" w:styleId="27">
    <w:name w:val="hover"/>
    <w:basedOn w:val="11"/>
    <w:qFormat/>
    <w:uiPriority w:val="0"/>
    <w:rPr>
      <w:color w:val="000000"/>
      <w:shd w:val="clear" w:fill="FFFFFF"/>
    </w:rPr>
  </w:style>
  <w:style w:type="character" w:customStyle="1" w:styleId="28">
    <w:name w:val="active1"/>
    <w:basedOn w:val="11"/>
    <w:qFormat/>
    <w:uiPriority w:val="0"/>
  </w:style>
  <w:style w:type="character" w:customStyle="1" w:styleId="29">
    <w:name w:val="font61"/>
    <w:basedOn w:val="11"/>
    <w:qFormat/>
    <w:uiPriority w:val="0"/>
    <w:rPr>
      <w:rFonts w:hint="eastAsia" w:ascii="宋体" w:hAnsi="宋体" w:eastAsia="宋体" w:cs="宋体"/>
      <w:color w:val="000000"/>
      <w:sz w:val="20"/>
      <w:szCs w:val="20"/>
      <w:u w:val="none"/>
    </w:rPr>
  </w:style>
  <w:style w:type="character" w:customStyle="1" w:styleId="30">
    <w:name w:val="font21"/>
    <w:basedOn w:val="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945</Words>
  <Characters>5392</Characters>
  <Lines>44</Lines>
  <Paragraphs>12</Paragraphs>
  <TotalTime>0</TotalTime>
  <ScaleCrop>false</ScaleCrop>
  <LinksUpToDate>false</LinksUpToDate>
  <CharactersWithSpaces>6325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2017-04-19T03:10:00Z</dcterms:created>
  <dc:creator>Administrator</dc:creator>
  <cp:lastModifiedBy>LENOVO</cp:lastModifiedBy>
  <cp:lastPrinted>2020-04-21T08:14:00Z</cp:lastPrinted>
  <dcterms:modified xsi:type="dcterms:W3CDTF">2021-12-08T16:01:52Z</dcterms:modified>
  <dc:title>湖南省财政厅发文（指标、函）稿</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1357827D5CB14FFF85BFE54EEE78E19C</vt:lpwstr>
  </property>
</Properties>
</file>