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rPr>
      </w:pPr>
      <w:r>
        <w:rPr>
          <w:rFonts w:hint="eastAsia" w:ascii="方正小标宋_GBK" w:eastAsia="方正小标宋_GBK"/>
          <w:color w:val="auto"/>
          <w:sz w:val="36"/>
          <w:szCs w:val="36"/>
          <w:lang w:eastAsia="zh-CN"/>
        </w:rPr>
        <w:t>益阳市赫山区</w:t>
      </w:r>
      <w:r>
        <w:rPr>
          <w:rFonts w:hint="eastAsia" w:ascii="方正小标宋_GBK" w:eastAsia="方正小标宋_GBK"/>
          <w:color w:val="auto"/>
          <w:sz w:val="36"/>
          <w:szCs w:val="36"/>
          <w:lang w:val="en-US" w:eastAsia="zh-CN"/>
        </w:rPr>
        <w:t>2020</w:t>
      </w:r>
      <w:r>
        <w:rPr>
          <w:rFonts w:hint="eastAsia" w:ascii="方正小标宋_GBK" w:eastAsia="方正小标宋_GBK"/>
          <w:color w:val="auto"/>
          <w:sz w:val="36"/>
          <w:szCs w:val="36"/>
        </w:rPr>
        <w:t>年度</w:t>
      </w:r>
      <w:r>
        <w:rPr>
          <w:rFonts w:hint="eastAsia" w:ascii="方正小标宋_GBK" w:eastAsia="方正小标宋_GBK"/>
          <w:color w:val="auto"/>
          <w:sz w:val="36"/>
          <w:szCs w:val="36"/>
          <w:lang w:val="en-US" w:eastAsia="zh-CN"/>
        </w:rPr>
        <w:t>城镇老旧小区改造项目</w:t>
      </w:r>
      <w:r>
        <w:rPr>
          <w:rFonts w:hint="eastAsia" w:ascii="方正小标宋_GBK" w:eastAsia="方正小标宋_GBK"/>
          <w:color w:val="auto"/>
          <w:sz w:val="36"/>
          <w:szCs w:val="36"/>
        </w:rPr>
        <w:t>专项资金绩效评价报告</w:t>
      </w:r>
    </w:p>
    <w:p>
      <w:pPr>
        <w:spacing w:line="240" w:lineRule="exact"/>
        <w:ind w:left="1722" w:leftChars="820" w:right="641" w:firstLine="882" w:firstLineChars="245"/>
        <w:jc w:val="center"/>
        <w:rPr>
          <w:rFonts w:hint="eastAsia" w:ascii="方正小标宋_GBK" w:eastAsia="方正小标宋_GBK"/>
          <w:color w:val="auto"/>
          <w:sz w:val="36"/>
          <w:szCs w:val="36"/>
        </w:rPr>
      </w:pPr>
    </w:p>
    <w:p>
      <w:pPr>
        <w:snapToGrid w:val="0"/>
        <w:spacing w:line="360" w:lineRule="auto"/>
        <w:jc w:val="center"/>
        <w:rPr>
          <w:rFonts w:hint="eastAsia" w:eastAsia="楷体_GB2312"/>
          <w:color w:val="auto"/>
          <w:sz w:val="32"/>
          <w:szCs w:val="28"/>
          <w:lang w:eastAsia="zh-CN"/>
        </w:rPr>
      </w:pPr>
      <w:r>
        <w:rPr>
          <w:rFonts w:hint="eastAsia" w:eastAsia="楷体_GB2312"/>
          <w:color w:val="auto"/>
          <w:sz w:val="32"/>
          <w:szCs w:val="28"/>
          <w:lang w:eastAsia="zh-CN"/>
        </w:rPr>
        <w:t>湖南鹏程会计师事务所有限公司</w:t>
      </w:r>
    </w:p>
    <w:p>
      <w:pPr>
        <w:snapToGrid w:val="0"/>
        <w:spacing w:line="360" w:lineRule="auto"/>
        <w:jc w:val="center"/>
        <w:rPr>
          <w:rFonts w:hint="eastAsia" w:eastAsia="楷体_GB2312"/>
          <w:color w:val="auto"/>
          <w:sz w:val="32"/>
          <w:szCs w:val="28"/>
        </w:rPr>
      </w:pPr>
      <w:r>
        <w:rPr>
          <w:rFonts w:hint="eastAsia" w:eastAsia="楷体_GB2312"/>
          <w:color w:val="auto"/>
          <w:sz w:val="32"/>
          <w:szCs w:val="28"/>
          <w:lang w:eastAsia="zh-CN"/>
        </w:rPr>
        <w:t>（</w:t>
      </w:r>
      <w:r>
        <w:rPr>
          <w:rFonts w:hint="eastAsia" w:eastAsia="楷体_GB2312"/>
          <w:color w:val="auto"/>
          <w:sz w:val="32"/>
          <w:szCs w:val="28"/>
        </w:rPr>
        <w:t>20</w:t>
      </w:r>
      <w:r>
        <w:rPr>
          <w:rFonts w:hint="eastAsia" w:eastAsia="楷体_GB2312"/>
          <w:color w:val="auto"/>
          <w:sz w:val="32"/>
          <w:szCs w:val="28"/>
          <w:lang w:val="en-US" w:eastAsia="zh-CN"/>
        </w:rPr>
        <w:t>21</w:t>
      </w:r>
      <w:r>
        <w:rPr>
          <w:rFonts w:hint="eastAsia" w:eastAsia="楷体_GB2312"/>
          <w:color w:val="auto"/>
          <w:sz w:val="32"/>
          <w:szCs w:val="28"/>
        </w:rPr>
        <w:t>年</w:t>
      </w:r>
      <w:r>
        <w:rPr>
          <w:rFonts w:hint="eastAsia" w:eastAsia="楷体_GB2312"/>
          <w:color w:val="auto"/>
          <w:sz w:val="32"/>
          <w:szCs w:val="28"/>
          <w:lang w:val="en-US" w:eastAsia="zh-CN"/>
        </w:rPr>
        <w:t>10</w:t>
      </w:r>
      <w:r>
        <w:rPr>
          <w:rFonts w:hint="eastAsia" w:eastAsia="楷体_GB2312"/>
          <w:color w:val="auto"/>
          <w:sz w:val="32"/>
          <w:szCs w:val="28"/>
        </w:rPr>
        <w:t>月</w:t>
      </w:r>
      <w:r>
        <w:rPr>
          <w:rFonts w:hint="eastAsia" w:eastAsia="楷体_GB2312"/>
          <w:color w:val="auto"/>
          <w:sz w:val="32"/>
          <w:szCs w:val="28"/>
          <w:lang w:eastAsia="zh-CN"/>
        </w:rPr>
        <w:t>）</w:t>
      </w:r>
    </w:p>
    <w:p>
      <w:pPr>
        <w:snapToGrid w:val="0"/>
        <w:spacing w:line="600" w:lineRule="exact"/>
        <w:ind w:firstLine="640" w:firstLineChars="200"/>
        <w:rPr>
          <w:rFonts w:eastAsia="楷体_GB2312"/>
          <w:color w:val="auto"/>
          <w:sz w:val="32"/>
          <w:szCs w:val="28"/>
        </w:rPr>
      </w:pPr>
    </w:p>
    <w:p>
      <w:pPr>
        <w:snapToGrid w:val="0"/>
        <w:spacing w:line="600" w:lineRule="exact"/>
        <w:ind w:firstLine="640" w:firstLineChars="200"/>
        <w:rPr>
          <w:rFonts w:eastAsia="仿宋_GB2312"/>
          <w:color w:val="auto"/>
          <w:sz w:val="32"/>
          <w:szCs w:val="28"/>
        </w:rPr>
      </w:pPr>
      <w:r>
        <w:rPr>
          <w:rFonts w:eastAsia="仿宋_GB2312"/>
          <w:color w:val="auto"/>
          <w:sz w:val="32"/>
          <w:szCs w:val="28"/>
        </w:rPr>
        <w:t>为了对</w:t>
      </w:r>
      <w:r>
        <w:rPr>
          <w:rFonts w:hint="eastAsia" w:eastAsia="仿宋_GB2312"/>
          <w:color w:val="auto"/>
          <w:sz w:val="32"/>
          <w:szCs w:val="28"/>
        </w:rPr>
        <w:t>2020年度城镇老旧小区改造项目</w:t>
      </w:r>
      <w:r>
        <w:rPr>
          <w:rFonts w:eastAsia="仿宋_GB2312"/>
          <w:color w:val="auto"/>
          <w:sz w:val="32"/>
          <w:szCs w:val="28"/>
        </w:rPr>
        <w:t>专</w:t>
      </w:r>
      <w:r>
        <w:rPr>
          <w:rFonts w:hint="eastAsia" w:ascii="仿宋_GB2312" w:hAnsi="仿宋_GB2312" w:eastAsia="仿宋_GB2312" w:cs="仿宋_GB2312"/>
          <w:color w:val="auto"/>
          <w:sz w:val="32"/>
          <w:szCs w:val="28"/>
        </w:rPr>
        <w:t>项资金的</w:t>
      </w:r>
      <w:r>
        <w:rPr>
          <w:rFonts w:eastAsia="仿宋_GB2312"/>
          <w:color w:val="auto"/>
          <w:sz w:val="32"/>
          <w:szCs w:val="28"/>
        </w:rPr>
        <w:t>管理、使用及效益情况进行全面的了解和评价，根据</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中共中央 国务院关于全面实施预算绩效管理的</w:t>
      </w:r>
      <w:r>
        <w:rPr>
          <w:rFonts w:hint="eastAsia" w:ascii="仿宋_GB2312" w:eastAsia="仿宋_GB2312"/>
          <w:color w:val="000000" w:themeColor="text1"/>
          <w:sz w:val="32"/>
          <w:szCs w:val="32"/>
          <w14:textFill>
            <w14:solidFill>
              <w14:schemeClr w14:val="tx1"/>
            </w14:solidFill>
          </w14:textFill>
        </w:rPr>
        <w:t>意见》 （中发〔2018〕34号）、《中共湖南省委办公厅  湖南省人民政府办公厅关于全面实施预算绩效管理的实施意见》（湘办发〔2019〕10号）、《益阳市财政局关于转发〈湖南省预算绩效管理工作规程（试行）〉的通知》（益财绩〔2014〕126号）</w:t>
      </w:r>
      <w:r>
        <w:rPr>
          <w:rFonts w:hint="eastAsia" w:eastAsia="仿宋_GB2312"/>
          <w:color w:val="auto"/>
          <w:sz w:val="32"/>
          <w:szCs w:val="32"/>
          <w:lang w:eastAsia="zh-CN"/>
        </w:rPr>
        <w:t>、《益阳市赫山区财政局关于开展</w:t>
      </w:r>
      <w:r>
        <w:rPr>
          <w:rFonts w:hint="eastAsia" w:eastAsia="仿宋_GB2312"/>
          <w:color w:val="auto"/>
          <w:sz w:val="32"/>
          <w:szCs w:val="32"/>
          <w:lang w:val="en-US" w:eastAsia="zh-CN"/>
        </w:rPr>
        <w:t>2020年度财政性资金现场绩效评价工作的通知</w:t>
      </w:r>
      <w:r>
        <w:rPr>
          <w:rFonts w:hint="eastAsia" w:eastAsia="仿宋_GB2312"/>
          <w:color w:val="auto"/>
          <w:sz w:val="32"/>
          <w:szCs w:val="32"/>
          <w:lang w:eastAsia="zh-CN"/>
        </w:rPr>
        <w:t>》（益赫财绩</w:t>
      </w:r>
      <w:r>
        <w:rPr>
          <w:rFonts w:eastAsia="仿宋_GB2312"/>
          <w:color w:val="auto"/>
          <w:sz w:val="32"/>
          <w:szCs w:val="32"/>
        </w:rPr>
        <w:t>〔20</w:t>
      </w:r>
      <w:r>
        <w:rPr>
          <w:rFonts w:hint="eastAsia" w:eastAsia="仿宋_GB2312"/>
          <w:color w:val="auto"/>
          <w:sz w:val="32"/>
          <w:szCs w:val="32"/>
          <w:lang w:val="en-US" w:eastAsia="zh-CN"/>
        </w:rPr>
        <w:t>21</w:t>
      </w:r>
      <w:r>
        <w:rPr>
          <w:rFonts w:eastAsia="仿宋_GB2312"/>
          <w:color w:val="auto"/>
          <w:sz w:val="32"/>
          <w:szCs w:val="32"/>
        </w:rPr>
        <w:t>〕</w:t>
      </w:r>
      <w:r>
        <w:rPr>
          <w:rFonts w:hint="eastAsia" w:eastAsia="仿宋_GB2312"/>
          <w:color w:val="auto"/>
          <w:sz w:val="32"/>
          <w:szCs w:val="32"/>
          <w:lang w:val="en-US" w:eastAsia="zh-CN"/>
        </w:rPr>
        <w:t>3号</w:t>
      </w:r>
      <w:r>
        <w:rPr>
          <w:rFonts w:hint="eastAsia" w:eastAsia="仿宋_GB2312"/>
          <w:color w:val="auto"/>
          <w:sz w:val="32"/>
          <w:szCs w:val="32"/>
          <w:lang w:eastAsia="zh-CN"/>
        </w:rPr>
        <w:t>）</w:t>
      </w:r>
      <w:r>
        <w:rPr>
          <w:rFonts w:eastAsia="仿宋_GB2312"/>
          <w:color w:val="auto"/>
          <w:sz w:val="32"/>
          <w:szCs w:val="32"/>
        </w:rPr>
        <w:t>精神</w:t>
      </w:r>
      <w:r>
        <w:rPr>
          <w:rFonts w:eastAsia="仿宋_GB2312"/>
          <w:color w:val="auto"/>
          <w:sz w:val="32"/>
          <w:szCs w:val="28"/>
        </w:rPr>
        <w:t>，</w:t>
      </w:r>
      <w:r>
        <w:rPr>
          <w:rFonts w:hint="eastAsia" w:eastAsia="仿宋_GB2312"/>
          <w:color w:val="auto"/>
          <w:sz w:val="32"/>
          <w:szCs w:val="28"/>
          <w:lang w:eastAsia="zh-CN"/>
        </w:rPr>
        <w:t>赫山区</w:t>
      </w:r>
      <w:r>
        <w:rPr>
          <w:rFonts w:eastAsia="仿宋_GB2312"/>
          <w:color w:val="auto"/>
          <w:sz w:val="32"/>
          <w:szCs w:val="28"/>
        </w:rPr>
        <w:t>财政</w:t>
      </w:r>
      <w:r>
        <w:rPr>
          <w:rFonts w:hint="eastAsia" w:eastAsia="仿宋_GB2312"/>
          <w:color w:val="auto"/>
          <w:sz w:val="32"/>
          <w:szCs w:val="28"/>
          <w:lang w:eastAsia="zh-CN"/>
        </w:rPr>
        <w:t>局</w:t>
      </w:r>
      <w:r>
        <w:rPr>
          <w:rFonts w:eastAsia="仿宋_GB2312"/>
          <w:color w:val="auto"/>
          <w:sz w:val="32"/>
          <w:szCs w:val="28"/>
        </w:rPr>
        <w:t>委托我</w:t>
      </w:r>
      <w:r>
        <w:rPr>
          <w:rFonts w:hint="eastAsia" w:eastAsia="仿宋_GB2312"/>
          <w:color w:val="auto"/>
          <w:sz w:val="32"/>
          <w:szCs w:val="28"/>
          <w:lang w:eastAsia="zh-CN"/>
        </w:rPr>
        <w:t>公司</w:t>
      </w:r>
      <w:r>
        <w:rPr>
          <w:rFonts w:eastAsia="仿宋_GB2312"/>
          <w:color w:val="auto"/>
          <w:sz w:val="32"/>
          <w:szCs w:val="28"/>
        </w:rPr>
        <w:t>对</w:t>
      </w:r>
      <w:r>
        <w:rPr>
          <w:rFonts w:hint="eastAsia" w:eastAsia="仿宋_GB2312"/>
          <w:color w:val="auto"/>
          <w:sz w:val="32"/>
          <w:szCs w:val="28"/>
        </w:rPr>
        <w:t>2020年度城镇老旧小区改造项目</w:t>
      </w:r>
      <w:r>
        <w:rPr>
          <w:rFonts w:eastAsia="仿宋_GB2312"/>
          <w:color w:val="auto"/>
          <w:sz w:val="32"/>
          <w:szCs w:val="28"/>
        </w:rPr>
        <w:t>专</w:t>
      </w:r>
      <w:r>
        <w:rPr>
          <w:rFonts w:hint="eastAsia" w:ascii="仿宋_GB2312" w:hAnsi="仿宋_GB2312" w:eastAsia="仿宋_GB2312" w:cs="仿宋_GB2312"/>
          <w:color w:val="auto"/>
          <w:sz w:val="32"/>
          <w:szCs w:val="28"/>
        </w:rPr>
        <w:t>项资金</w:t>
      </w:r>
      <w:r>
        <w:rPr>
          <w:rFonts w:eastAsia="仿宋_GB2312"/>
          <w:color w:val="auto"/>
          <w:sz w:val="32"/>
          <w:szCs w:val="32"/>
        </w:rPr>
        <w:t>进行绩效评价。我</w:t>
      </w:r>
      <w:r>
        <w:rPr>
          <w:rFonts w:hint="eastAsia" w:eastAsia="仿宋_GB2312"/>
          <w:color w:val="auto"/>
          <w:sz w:val="32"/>
          <w:szCs w:val="32"/>
          <w:lang w:eastAsia="zh-CN"/>
        </w:rPr>
        <w:t>司</w:t>
      </w:r>
      <w:r>
        <w:rPr>
          <w:rFonts w:eastAsia="仿宋_GB2312"/>
          <w:color w:val="auto"/>
          <w:sz w:val="32"/>
          <w:szCs w:val="28"/>
        </w:rPr>
        <w:t>组织专业人员，对</w:t>
      </w:r>
      <w:r>
        <w:rPr>
          <w:rFonts w:hint="eastAsia" w:eastAsia="仿宋_GB2312"/>
          <w:color w:val="auto"/>
          <w:sz w:val="32"/>
          <w:szCs w:val="28"/>
          <w:lang w:eastAsia="zh-CN"/>
        </w:rPr>
        <w:t>区直部门和部分乡镇及</w:t>
      </w:r>
      <w:r>
        <w:rPr>
          <w:rFonts w:hint="eastAsia" w:eastAsia="仿宋_GB2312"/>
          <w:color w:val="auto"/>
          <w:sz w:val="32"/>
          <w:szCs w:val="28"/>
          <w:lang w:val="en-US" w:eastAsia="zh-CN"/>
        </w:rPr>
        <w:t>下属自然村</w:t>
      </w:r>
      <w:r>
        <w:rPr>
          <w:rFonts w:hint="eastAsia" w:eastAsia="仿宋_GB2312"/>
          <w:color w:val="auto"/>
          <w:sz w:val="32"/>
          <w:szCs w:val="28"/>
        </w:rPr>
        <w:t>保障性安居工程及棚户区改造项目</w:t>
      </w:r>
      <w:r>
        <w:rPr>
          <w:rFonts w:eastAsia="仿宋_GB2312"/>
          <w:color w:val="auto"/>
          <w:sz w:val="32"/>
          <w:szCs w:val="28"/>
        </w:rPr>
        <w:t>进行了现场绩效评价，涉及</w:t>
      </w:r>
      <w:r>
        <w:rPr>
          <w:rFonts w:hint="eastAsia" w:eastAsia="仿宋_GB2312"/>
          <w:color w:val="auto"/>
          <w:sz w:val="32"/>
          <w:szCs w:val="28"/>
        </w:rPr>
        <w:t>2020年度城镇老旧小区</w:t>
      </w:r>
      <w:r>
        <w:rPr>
          <w:rFonts w:hint="eastAsia" w:eastAsia="仿宋_GB2312"/>
          <w:color w:val="auto"/>
          <w:sz w:val="32"/>
          <w:szCs w:val="28"/>
          <w:lang w:val="en-US" w:eastAsia="zh-CN"/>
        </w:rPr>
        <w:t>改造资金3382</w:t>
      </w:r>
      <w:r>
        <w:rPr>
          <w:rFonts w:eastAsia="仿宋_GB2312"/>
          <w:color w:val="auto"/>
          <w:sz w:val="32"/>
          <w:szCs w:val="28"/>
        </w:rPr>
        <w:t>万元。现将有关情况报告如下：</w:t>
      </w:r>
    </w:p>
    <w:p>
      <w:pPr>
        <w:snapToGrid w:val="0"/>
        <w:spacing w:line="600" w:lineRule="exact"/>
        <w:ind w:firstLine="640" w:firstLineChars="200"/>
        <w:rPr>
          <w:rFonts w:eastAsia="黑体"/>
          <w:bCs/>
          <w:color w:val="auto"/>
          <w:sz w:val="32"/>
        </w:rPr>
      </w:pPr>
      <w:r>
        <w:rPr>
          <w:rFonts w:eastAsia="黑体"/>
          <w:bCs/>
          <w:color w:val="auto"/>
          <w:sz w:val="32"/>
        </w:rPr>
        <w:t>一、基本情况</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(一)项目概况</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城镇老旧小区是指城市或县城（城关镇）建成年代较早、失养失修失管、市政配套设施不完善、社区服务设施不健全、居民改造意愿强烈的住宅小区（含单栋住宅楼）。2020年赫山区涉及老旧小区改造</w:t>
      </w:r>
      <w:r>
        <w:rPr>
          <w:rFonts w:hint="eastAsia" w:eastAsia="仿宋_GB2312"/>
          <w:color w:val="auto"/>
          <w:sz w:val="32"/>
          <w:szCs w:val="28"/>
          <w:lang w:eastAsia="zh-CN"/>
        </w:rPr>
        <w:t>明细如下：</w:t>
      </w:r>
      <w:r>
        <w:rPr>
          <w:rFonts w:hint="eastAsia" w:eastAsia="仿宋_GB2312"/>
          <w:color w:val="auto"/>
          <w:sz w:val="32"/>
          <w:szCs w:val="28"/>
          <w:lang w:val="en-US" w:eastAsia="zh-CN"/>
        </w:rPr>
        <w:t xml:space="preserve">            </w:t>
      </w:r>
    </w:p>
    <w:p>
      <w:pPr>
        <w:snapToGrid w:val="0"/>
        <w:spacing w:line="600" w:lineRule="exact"/>
        <w:ind w:firstLine="480" w:firstLineChars="200"/>
        <w:jc w:val="right"/>
        <w:rPr>
          <w:rFonts w:hint="eastAsia" w:eastAsia="仿宋_GB2312"/>
          <w:color w:val="auto"/>
          <w:sz w:val="32"/>
          <w:szCs w:val="28"/>
          <w:lang w:eastAsia="zh-CN"/>
        </w:rPr>
      </w:pPr>
      <w:r>
        <w:rPr>
          <w:rFonts w:hint="eastAsia" w:eastAsia="仿宋_GB2312"/>
          <w:color w:val="auto"/>
          <w:sz w:val="24"/>
          <w:szCs w:val="24"/>
          <w:lang w:eastAsia="zh-CN"/>
        </w:rPr>
        <w:t>（单位：万元）</w:t>
      </w:r>
    </w:p>
    <w:tbl>
      <w:tblPr>
        <w:tblStyle w:val="9"/>
        <w:tblW w:w="5000" w:type="pct"/>
        <w:tblInd w:w="0" w:type="dxa"/>
        <w:shd w:val="clear" w:color="auto" w:fill="auto"/>
        <w:tblLayout w:type="fixed"/>
        <w:tblCellMar>
          <w:top w:w="0" w:type="dxa"/>
          <w:left w:w="108" w:type="dxa"/>
          <w:bottom w:w="0" w:type="dxa"/>
          <w:right w:w="108" w:type="dxa"/>
        </w:tblCellMar>
      </w:tblPr>
      <w:tblGrid>
        <w:gridCol w:w="651"/>
        <w:gridCol w:w="852"/>
        <w:gridCol w:w="5520"/>
        <w:gridCol w:w="1922"/>
      </w:tblGrid>
      <w:tr>
        <w:tblPrEx>
          <w:shd w:val="clear" w:color="auto" w:fill="auto"/>
          <w:tblCellMar>
            <w:top w:w="0" w:type="dxa"/>
            <w:left w:w="108" w:type="dxa"/>
            <w:bottom w:w="0" w:type="dxa"/>
            <w:right w:w="108" w:type="dxa"/>
          </w:tblCellMar>
        </w:tblPrEx>
        <w:trPr>
          <w:trHeight w:val="312"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指标单号</w:t>
            </w: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7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2020建指0028</w:t>
            </w: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赫山庙居民小区内配套基础设施建设项目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2,000,000.00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大屋场居民小区内配套基础设施建设项目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2,000,000.00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7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2020建指0545</w:t>
            </w: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金银山溪谷新村老旧小区配套基础设施建设项目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2,250,000.00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赫山区公安局老旧小区配套基础设施建设项目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3,050,000.00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会龙山华昌家属区老旧小区配套基础设施建设项目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2,810,000.00 </w:t>
            </w:r>
          </w:p>
        </w:tc>
      </w:tr>
      <w:tr>
        <w:tblPrEx>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7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2020建指0235</w:t>
            </w: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赫山区审计局老旧小区配套基础设施建设项目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1,350,000.00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赫山区交通局老旧小区配套基础设施建设项目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1,600,000.00 </w:t>
            </w:r>
          </w:p>
        </w:tc>
      </w:tr>
      <w:tr>
        <w:tblPrEx>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赫山区住建局老旧小区配套基础设施建设项目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2,010,000.00 </w:t>
            </w:r>
          </w:p>
        </w:tc>
      </w:tr>
      <w:tr>
        <w:tblPrEx>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梓山苑小区家属区老旧小区配套基础设施建设项目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3,400,000.00 </w:t>
            </w:r>
          </w:p>
        </w:tc>
      </w:tr>
      <w:tr>
        <w:tblPrEx>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粮运家属区老旧小区配套基础设施建设项目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3,250,000.00 </w:t>
            </w:r>
          </w:p>
        </w:tc>
      </w:tr>
      <w:tr>
        <w:tblPrEx>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金银山街道兴旺老旧小区配套基础设施建设项目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2,600,000.00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7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2020建指0152</w:t>
            </w: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金桃苑家属区老旧小区配套基础设施建设项目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3,200,000.00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银城安置点家属区老旧小区配套基础设施建设项目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2,200,000.00 </w:t>
            </w:r>
          </w:p>
        </w:tc>
      </w:tr>
      <w:tr>
        <w:tblPrEx>
          <w:shd w:val="clear" w:color="auto" w:fill="auto"/>
          <w:tblCellMar>
            <w:top w:w="0" w:type="dxa"/>
            <w:left w:w="108" w:type="dxa"/>
            <w:bottom w:w="0" w:type="dxa"/>
            <w:right w:w="108" w:type="dxa"/>
          </w:tblCellMar>
        </w:tblPrEx>
        <w:trPr>
          <w:trHeight w:val="5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南庄湾居民小区配套基础设施建设项目</w:t>
            </w: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2,100,000.00 </w:t>
            </w:r>
          </w:p>
        </w:tc>
      </w:tr>
      <w:tr>
        <w:tblPrEx>
          <w:shd w:val="clear" w:color="auto" w:fill="auto"/>
          <w:tblCellMar>
            <w:top w:w="0" w:type="dxa"/>
            <w:left w:w="108" w:type="dxa"/>
            <w:bottom w:w="0" w:type="dxa"/>
            <w:right w:w="108" w:type="dxa"/>
          </w:tblCellMar>
        </w:tblPrEx>
        <w:trPr>
          <w:trHeight w:val="540" w:hRule="atLeast"/>
        </w:trPr>
        <w:tc>
          <w:tcPr>
            <w:tcW w:w="8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30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33,820,000.00 </w:t>
            </w:r>
          </w:p>
        </w:tc>
      </w:tr>
    </w:tbl>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(二)项目绩效目标</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1.项目长期目标</w:t>
      </w:r>
    </w:p>
    <w:p>
      <w:pPr>
        <w:snapToGrid w:val="0"/>
        <w:spacing w:line="600" w:lineRule="exact"/>
        <w:ind w:firstLine="640" w:firstLineChars="200"/>
        <w:rPr>
          <w:rFonts w:hint="eastAsia" w:eastAsia="仿宋_GB2312"/>
          <w:color w:val="auto"/>
          <w:sz w:val="32"/>
          <w:szCs w:val="28"/>
          <w:lang w:val="en-US" w:eastAsia="zh-CN"/>
        </w:rPr>
      </w:pPr>
      <w:r>
        <w:rPr>
          <w:rFonts w:hint="eastAsia" w:ascii="仿宋" w:hAnsi="仿宋" w:eastAsia="仿宋"/>
          <w:sz w:val="32"/>
          <w:szCs w:val="32"/>
        </w:rPr>
        <w:t>以2000年以前建成的环境条件较差、配套设施不全或破损严重、无障碍建设缺失、管理服务机制不健全、群众反映强烈的住宅小区为重点,以补齐小区功能短板为切入点，拆除违建，解决供水、排水、供气、供电、通信、停车等基本需求</w:t>
      </w:r>
      <w:r>
        <w:rPr>
          <w:rFonts w:hint="eastAsia" w:ascii="仿宋_GB2312" w:hAnsi="仿宋" w:eastAsia="仿宋_GB2312"/>
          <w:sz w:val="32"/>
          <w:szCs w:val="32"/>
        </w:rPr>
        <w:t>；</w:t>
      </w:r>
      <w:r>
        <w:rPr>
          <w:rFonts w:hint="eastAsia" w:ascii="仿宋" w:hAnsi="仿宋" w:eastAsia="仿宋"/>
          <w:sz w:val="32"/>
          <w:szCs w:val="32"/>
        </w:rPr>
        <w:t>在保基本的基础上，通过加装电梯、房屋维修改造</w:t>
      </w:r>
      <w:r>
        <w:rPr>
          <w:rFonts w:hint="eastAsia" w:ascii="仿宋" w:hAnsi="仿宋" w:eastAsia="仿宋"/>
          <w:sz w:val="32"/>
          <w:szCs w:val="32"/>
          <w:lang w:eastAsia="zh-CN"/>
        </w:rPr>
        <w:t>、</w:t>
      </w:r>
      <w:r>
        <w:rPr>
          <w:rFonts w:hint="eastAsia" w:ascii="仿宋" w:hAnsi="仿宋" w:eastAsia="仿宋"/>
          <w:sz w:val="32"/>
          <w:szCs w:val="32"/>
        </w:rPr>
        <w:t>增设配套停车场、活动室、物业用房，提升</w:t>
      </w:r>
      <w:r>
        <w:rPr>
          <w:rFonts w:hint="eastAsia" w:ascii="仿宋_GB2312" w:eastAsia="仿宋_GB2312"/>
          <w:color w:val="333333"/>
          <w:sz w:val="32"/>
          <w:szCs w:val="32"/>
          <w:shd w:val="clear" w:color="auto" w:fill="FFFFFF"/>
        </w:rPr>
        <w:t>居民生活便利</w:t>
      </w:r>
      <w:r>
        <w:rPr>
          <w:rFonts w:hint="eastAsia" w:ascii="仿宋" w:hAnsi="仿宋" w:eastAsia="仿宋"/>
          <w:sz w:val="32"/>
          <w:szCs w:val="32"/>
        </w:rPr>
        <w:t>；通过增设社区养老、托幼、医疗、家政、便民设施，进一步完善公共服务和基本公共环境；推进老旧小区有机更新，不断满足人民日益增长的美好生活需要</w:t>
      </w:r>
      <w:r>
        <w:rPr>
          <w:rFonts w:hint="eastAsia" w:eastAsia="仿宋_GB2312"/>
          <w:color w:val="auto"/>
          <w:sz w:val="32"/>
          <w:szCs w:val="28"/>
          <w:lang w:val="en-US" w:eastAsia="zh-CN"/>
        </w:rPr>
        <w:t xml:space="preserve">。 </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2.项目年度目标</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2020年度绩效目标为：完成投资3382万元，改造老旧小区14个,改造住户1436户，改造面积20.07万平方米，改造楼栋59栋。</w:t>
      </w:r>
    </w:p>
    <w:p>
      <w:pPr>
        <w:snapToGrid w:val="0"/>
        <w:spacing w:line="600" w:lineRule="exact"/>
        <w:ind w:firstLine="640" w:firstLineChars="200"/>
        <w:rPr>
          <w:rFonts w:hint="eastAsia" w:eastAsia="黑体"/>
          <w:bCs/>
          <w:color w:val="auto"/>
          <w:sz w:val="32"/>
        </w:rPr>
      </w:pPr>
      <w:r>
        <w:rPr>
          <w:rFonts w:hint="eastAsia" w:eastAsia="黑体"/>
          <w:bCs/>
          <w:color w:val="auto"/>
          <w:sz w:val="32"/>
        </w:rPr>
        <w:t>二、绩效评价工作情况</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(一)绩效评价目的</w:t>
      </w:r>
    </w:p>
    <w:p>
      <w:pPr>
        <w:snapToGrid w:val="0"/>
        <w:spacing w:line="600" w:lineRule="exact"/>
        <w:ind w:firstLine="640" w:firstLineChars="200"/>
        <w:rPr>
          <w:rFonts w:hint="eastAsia" w:eastAsia="仿宋_GB2312"/>
          <w:color w:val="auto"/>
          <w:sz w:val="32"/>
          <w:szCs w:val="28"/>
        </w:rPr>
      </w:pPr>
      <w:r>
        <w:rPr>
          <w:rFonts w:hint="eastAsia" w:eastAsia="仿宋_GB2312"/>
          <w:color w:val="auto"/>
          <w:sz w:val="32"/>
          <w:szCs w:val="28"/>
        </w:rPr>
        <w:t>通过</w:t>
      </w:r>
      <w:r>
        <w:rPr>
          <w:rFonts w:hint="eastAsia" w:eastAsia="仿宋_GB2312"/>
          <w:color w:val="auto"/>
          <w:sz w:val="32"/>
          <w:szCs w:val="28"/>
          <w:lang w:eastAsia="zh-CN"/>
        </w:rPr>
        <w:t>开展</w:t>
      </w:r>
      <w:r>
        <w:rPr>
          <w:rFonts w:hint="eastAsia" w:eastAsia="仿宋_GB2312"/>
          <w:color w:val="auto"/>
          <w:sz w:val="32"/>
          <w:szCs w:val="28"/>
        </w:rPr>
        <w:t>城镇老旧小区改造专项预算资金绩效评价工作</w:t>
      </w:r>
      <w:r>
        <w:rPr>
          <w:rFonts w:hint="eastAsia" w:eastAsia="仿宋_GB2312"/>
          <w:color w:val="auto"/>
          <w:sz w:val="32"/>
          <w:szCs w:val="28"/>
          <w:lang w:eastAsia="zh-CN"/>
        </w:rPr>
        <w:t>，了解</w:t>
      </w:r>
      <w:r>
        <w:rPr>
          <w:rFonts w:hint="eastAsia" w:eastAsia="仿宋_GB2312"/>
          <w:color w:val="auto"/>
          <w:sz w:val="32"/>
          <w:szCs w:val="28"/>
          <w:lang w:val="en-US" w:eastAsia="zh-CN"/>
        </w:rPr>
        <w:t>2020</w:t>
      </w:r>
      <w:r>
        <w:rPr>
          <w:rFonts w:hint="eastAsia" w:eastAsia="仿宋_GB2312"/>
          <w:color w:val="auto"/>
          <w:sz w:val="32"/>
          <w:szCs w:val="28"/>
          <w:lang w:eastAsia="zh-CN"/>
        </w:rPr>
        <w:t>年度城镇老旧小区改造</w:t>
      </w:r>
      <w:r>
        <w:rPr>
          <w:rFonts w:hint="eastAsia" w:eastAsia="仿宋_GB2312"/>
          <w:color w:val="auto"/>
          <w:sz w:val="32"/>
          <w:szCs w:val="28"/>
          <w:lang w:val="en-US" w:eastAsia="zh-CN"/>
        </w:rPr>
        <w:t>专项资金</w:t>
      </w:r>
      <w:r>
        <w:rPr>
          <w:rFonts w:hint="eastAsia" w:eastAsia="仿宋_GB2312"/>
          <w:color w:val="auto"/>
          <w:sz w:val="32"/>
          <w:szCs w:val="28"/>
        </w:rPr>
        <w:t>使用情况，总结项目资金管理的经验，及时发现项目资金管理中存在的</w:t>
      </w:r>
      <w:r>
        <w:rPr>
          <w:rFonts w:hint="eastAsia" w:eastAsia="仿宋_GB2312"/>
          <w:color w:val="auto"/>
          <w:sz w:val="32"/>
          <w:szCs w:val="28"/>
          <w:lang w:eastAsia="zh-CN"/>
        </w:rPr>
        <w:t>问</w:t>
      </w:r>
      <w:r>
        <w:rPr>
          <w:rFonts w:hint="eastAsia" w:eastAsia="仿宋_GB2312"/>
          <w:color w:val="auto"/>
          <w:sz w:val="32"/>
          <w:szCs w:val="28"/>
        </w:rPr>
        <w:t>题，为加强财政支出的规范化管理，提高城镇老旧小区改造</w:t>
      </w:r>
      <w:r>
        <w:rPr>
          <w:rFonts w:hint="eastAsia" w:eastAsia="仿宋_GB2312"/>
          <w:color w:val="auto"/>
          <w:sz w:val="32"/>
          <w:szCs w:val="28"/>
          <w:lang w:val="en-US" w:eastAsia="zh-CN"/>
        </w:rPr>
        <w:t>专项资金</w:t>
      </w:r>
      <w:r>
        <w:rPr>
          <w:rFonts w:hint="eastAsia" w:eastAsia="仿宋_GB2312"/>
          <w:color w:val="auto"/>
          <w:sz w:val="32"/>
          <w:szCs w:val="28"/>
        </w:rPr>
        <w:t>的使用效益，健全和完善项目支出和资金使用</w:t>
      </w:r>
      <w:r>
        <w:rPr>
          <w:rFonts w:hint="eastAsia" w:eastAsia="仿宋_GB2312"/>
          <w:color w:val="auto"/>
          <w:sz w:val="32"/>
          <w:szCs w:val="28"/>
          <w:lang w:eastAsia="zh-CN"/>
        </w:rPr>
        <w:t>机制</w:t>
      </w:r>
      <w:r>
        <w:rPr>
          <w:rFonts w:hint="eastAsia" w:eastAsia="仿宋_GB2312"/>
          <w:color w:val="auto"/>
          <w:sz w:val="32"/>
          <w:szCs w:val="28"/>
        </w:rPr>
        <w:t>，完善预算编制、加强绩效目标管理和绩效考核工作提供重要的参考依据，以及提出相关的建议和应采取的措施等。</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(二)绩效评价依据</w:t>
      </w:r>
    </w:p>
    <w:p>
      <w:pPr>
        <w:snapToGrid w:val="0"/>
        <w:spacing w:line="600" w:lineRule="exact"/>
        <w:ind w:firstLine="640" w:firstLineChars="200"/>
        <w:rPr>
          <w:rFonts w:hint="eastAsia" w:eastAsia="仿宋_GB2312"/>
          <w:color w:val="auto"/>
          <w:sz w:val="32"/>
          <w:szCs w:val="28"/>
          <w:lang w:val="en-US"/>
        </w:rPr>
      </w:pPr>
      <w:r>
        <w:rPr>
          <w:rFonts w:hint="eastAsia" w:eastAsia="仿宋_GB2312"/>
          <w:color w:val="auto"/>
          <w:sz w:val="32"/>
          <w:szCs w:val="28"/>
        </w:rPr>
        <w:t>1</w:t>
      </w:r>
      <w:r>
        <w:rPr>
          <w:rFonts w:hint="eastAsia" w:eastAsia="仿宋_GB2312"/>
          <w:color w:val="auto"/>
          <w:sz w:val="32"/>
          <w:szCs w:val="28"/>
          <w:lang w:val="en-US" w:eastAsia="zh-CN"/>
        </w:rPr>
        <w:t>.</w:t>
      </w:r>
      <w:r>
        <w:rPr>
          <w:rFonts w:hint="eastAsia" w:eastAsia="仿宋_GB2312"/>
          <w:color w:val="auto"/>
          <w:sz w:val="32"/>
          <w:szCs w:val="28"/>
        </w:rPr>
        <w:t>《财政部关于印发《项目支出绩效评价管理办法》的通知》（财预〔2020〕10号）</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eastAsia="zh-CN"/>
        </w:rPr>
      </w:pPr>
      <w:r>
        <w:rPr>
          <w:rFonts w:hint="eastAsia" w:eastAsia="仿宋_GB2312"/>
          <w:color w:val="auto"/>
          <w:sz w:val="32"/>
          <w:szCs w:val="28"/>
          <w:lang w:val="en-US" w:eastAsia="zh-CN"/>
        </w:rPr>
        <w:t>2、《中共湖南省委办公厅  湖南省人民政府办公厅关于全面实施预算绩效管理的实施意见》（湘办发〔2019〕10号）</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eastAsia="zh-CN"/>
        </w:rPr>
      </w:pPr>
      <w:r>
        <w:rPr>
          <w:rFonts w:hint="eastAsia" w:eastAsia="仿宋_GB2312"/>
          <w:color w:val="auto"/>
          <w:sz w:val="32"/>
          <w:szCs w:val="28"/>
          <w:lang w:val="en-US" w:eastAsia="zh-CN"/>
        </w:rPr>
        <w:t>3.</w:t>
      </w:r>
      <w:r>
        <w:rPr>
          <w:rFonts w:hint="eastAsia" w:eastAsia="仿宋_GB2312"/>
          <w:color w:val="auto"/>
          <w:sz w:val="32"/>
          <w:szCs w:val="32"/>
          <w:lang w:eastAsia="zh-CN"/>
        </w:rPr>
        <w:t>《益阳市赫山区财政局关于开展</w:t>
      </w:r>
      <w:r>
        <w:rPr>
          <w:rFonts w:hint="eastAsia" w:eastAsia="仿宋_GB2312"/>
          <w:color w:val="auto"/>
          <w:sz w:val="32"/>
          <w:szCs w:val="32"/>
          <w:lang w:val="en-US" w:eastAsia="zh-CN"/>
        </w:rPr>
        <w:t>2020年度财政性资金现场绩效评价工作的通知</w:t>
      </w:r>
      <w:r>
        <w:rPr>
          <w:rFonts w:hint="eastAsia" w:eastAsia="仿宋_GB2312"/>
          <w:color w:val="auto"/>
          <w:sz w:val="32"/>
          <w:szCs w:val="32"/>
          <w:lang w:eastAsia="zh-CN"/>
        </w:rPr>
        <w:t>》（益赫财绩</w:t>
      </w:r>
      <w:r>
        <w:rPr>
          <w:rFonts w:eastAsia="仿宋_GB2312"/>
          <w:color w:val="auto"/>
          <w:sz w:val="32"/>
          <w:szCs w:val="32"/>
        </w:rPr>
        <w:t>〔20</w:t>
      </w:r>
      <w:r>
        <w:rPr>
          <w:rFonts w:hint="eastAsia" w:eastAsia="仿宋_GB2312"/>
          <w:color w:val="auto"/>
          <w:sz w:val="32"/>
          <w:szCs w:val="32"/>
          <w:lang w:val="en-US" w:eastAsia="zh-CN"/>
        </w:rPr>
        <w:t>21</w:t>
      </w:r>
      <w:r>
        <w:rPr>
          <w:rFonts w:eastAsia="仿宋_GB2312"/>
          <w:color w:val="auto"/>
          <w:sz w:val="32"/>
          <w:szCs w:val="32"/>
        </w:rPr>
        <w:t>〕</w:t>
      </w:r>
      <w:r>
        <w:rPr>
          <w:rFonts w:hint="eastAsia" w:eastAsia="仿宋_GB2312"/>
          <w:color w:val="auto"/>
          <w:sz w:val="32"/>
          <w:szCs w:val="32"/>
          <w:lang w:val="en-US" w:eastAsia="zh-CN"/>
        </w:rPr>
        <w:t>3号</w:t>
      </w:r>
      <w:r>
        <w:rPr>
          <w:rFonts w:hint="eastAsia" w:eastAsia="仿宋_GB2312"/>
          <w:color w:val="auto"/>
          <w:sz w:val="32"/>
          <w:szCs w:val="32"/>
          <w:lang w:eastAsia="zh-CN"/>
        </w:rPr>
        <w:t>）</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4.</w:t>
      </w:r>
      <w:r>
        <w:rPr>
          <w:rFonts w:hint="eastAsia" w:eastAsia="仿宋_GB2312"/>
          <w:color w:val="auto"/>
          <w:sz w:val="32"/>
          <w:szCs w:val="28"/>
          <w:lang w:eastAsia="zh-CN"/>
        </w:rPr>
        <w:t>财政部</w:t>
      </w:r>
      <w:r>
        <w:rPr>
          <w:rFonts w:hint="eastAsia" w:eastAsia="仿宋_GB2312"/>
          <w:color w:val="auto"/>
          <w:sz w:val="32"/>
          <w:szCs w:val="28"/>
          <w:lang w:val="en-US" w:eastAsia="zh-CN"/>
        </w:rPr>
        <w:t xml:space="preserve"> 住房城乡建设部</w:t>
      </w:r>
      <w:r>
        <w:rPr>
          <w:rFonts w:hint="eastAsia" w:eastAsia="仿宋_GB2312"/>
          <w:color w:val="auto"/>
          <w:sz w:val="32"/>
          <w:szCs w:val="28"/>
          <w:lang w:eastAsia="zh-CN"/>
        </w:rPr>
        <w:t>关于印发《</w:t>
      </w:r>
      <w:r>
        <w:rPr>
          <w:rFonts w:hint="eastAsia" w:eastAsia="仿宋_GB2312"/>
          <w:color w:val="auto"/>
          <w:sz w:val="32"/>
          <w:szCs w:val="28"/>
          <w:lang w:val="en-US" w:eastAsia="zh-CN"/>
        </w:rPr>
        <w:t>中央财政城镇保障性安居工程专项资金管理办法</w:t>
      </w:r>
      <w:r>
        <w:rPr>
          <w:rFonts w:hint="eastAsia" w:eastAsia="仿宋_GB2312"/>
          <w:color w:val="auto"/>
          <w:sz w:val="32"/>
          <w:szCs w:val="28"/>
          <w:lang w:eastAsia="zh-CN"/>
        </w:rPr>
        <w:t>》的通知（财</w:t>
      </w:r>
      <w:r>
        <w:rPr>
          <w:rFonts w:hint="eastAsia" w:eastAsia="仿宋_GB2312"/>
          <w:color w:val="auto"/>
          <w:sz w:val="32"/>
          <w:szCs w:val="28"/>
          <w:lang w:val="en-US" w:eastAsia="zh-CN"/>
        </w:rPr>
        <w:t>综</w:t>
      </w:r>
      <w:r>
        <w:rPr>
          <w:rFonts w:hint="eastAsia" w:eastAsia="仿宋_GB2312"/>
          <w:color w:val="auto"/>
          <w:sz w:val="32"/>
          <w:szCs w:val="28"/>
          <w:lang w:eastAsia="zh-CN"/>
        </w:rPr>
        <w:t>字</w:t>
      </w:r>
      <w:r>
        <w:rPr>
          <w:rFonts w:hint="eastAsia" w:eastAsia="仿宋_GB2312"/>
          <w:color w:val="auto"/>
          <w:sz w:val="32"/>
          <w:szCs w:val="28"/>
        </w:rPr>
        <w:t>〔</w:t>
      </w:r>
      <w:r>
        <w:rPr>
          <w:rFonts w:hint="eastAsia" w:eastAsia="仿宋_GB2312"/>
          <w:color w:val="auto"/>
          <w:sz w:val="32"/>
          <w:szCs w:val="28"/>
          <w:lang w:val="en-US" w:eastAsia="zh-CN"/>
        </w:rPr>
        <w:t>2019</w:t>
      </w:r>
      <w:r>
        <w:rPr>
          <w:rFonts w:hint="eastAsia" w:eastAsia="仿宋_GB2312"/>
          <w:color w:val="auto"/>
          <w:sz w:val="32"/>
          <w:szCs w:val="28"/>
        </w:rPr>
        <w:t>〕</w:t>
      </w:r>
      <w:r>
        <w:rPr>
          <w:rFonts w:hint="eastAsia" w:eastAsia="仿宋_GB2312"/>
          <w:color w:val="auto"/>
          <w:sz w:val="32"/>
          <w:szCs w:val="28"/>
          <w:lang w:val="en-US" w:eastAsia="zh-CN"/>
        </w:rPr>
        <w:t>31</w:t>
      </w:r>
      <w:r>
        <w:rPr>
          <w:rFonts w:hint="eastAsia" w:eastAsia="仿宋_GB2312"/>
          <w:color w:val="auto"/>
          <w:sz w:val="32"/>
          <w:szCs w:val="28"/>
          <w:lang w:eastAsia="zh-CN"/>
        </w:rPr>
        <w:t>号）</w:t>
      </w:r>
      <w:r>
        <w:rPr>
          <w:rFonts w:hint="eastAsia" w:eastAsia="仿宋_GB2312"/>
          <w:color w:val="auto"/>
          <w:sz w:val="32"/>
          <w:szCs w:val="28"/>
          <w:lang w:val="en-US" w:eastAsia="zh-CN"/>
        </w:rPr>
        <w:t>。</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5.国务院办公厅印发《国务院办公厅关于全面推进城镇老旧小区改造工作的指导意见》（国办发〔2020〕23号）。</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6.</w:t>
      </w:r>
      <w:r>
        <w:rPr>
          <w:rFonts w:hint="default" w:eastAsia="仿宋_GB2312"/>
          <w:color w:val="auto"/>
          <w:sz w:val="32"/>
          <w:szCs w:val="28"/>
          <w:lang w:val="en-US" w:eastAsia="zh-CN"/>
        </w:rPr>
        <w:t>湖南省财政厅 湖南省住房和城乡建设厅关于印发《湖南省城镇保障性安居工程专</w:t>
      </w:r>
      <w:bookmarkStart w:id="0" w:name="_GoBack"/>
      <w:bookmarkEnd w:id="0"/>
      <w:r>
        <w:rPr>
          <w:rFonts w:hint="default" w:eastAsia="仿宋_GB2312"/>
          <w:color w:val="auto"/>
          <w:sz w:val="32"/>
          <w:szCs w:val="28"/>
          <w:lang w:val="en-US" w:eastAsia="zh-CN"/>
        </w:rPr>
        <w:t>项资金管理办法》的通知</w:t>
      </w:r>
      <w:r>
        <w:rPr>
          <w:rFonts w:hint="eastAsia" w:eastAsia="仿宋_GB2312"/>
          <w:color w:val="auto"/>
          <w:sz w:val="32"/>
          <w:szCs w:val="28"/>
          <w:lang w:eastAsia="zh-CN"/>
        </w:rPr>
        <w:t>（湘财</w:t>
      </w:r>
      <w:r>
        <w:rPr>
          <w:rFonts w:hint="eastAsia" w:eastAsia="仿宋_GB2312"/>
          <w:color w:val="auto"/>
          <w:sz w:val="32"/>
          <w:szCs w:val="28"/>
          <w:lang w:val="en-US" w:eastAsia="zh-CN"/>
        </w:rPr>
        <w:t>综</w:t>
      </w:r>
      <w:r>
        <w:rPr>
          <w:rFonts w:hint="eastAsia" w:eastAsia="仿宋_GB2312"/>
          <w:color w:val="auto"/>
          <w:sz w:val="32"/>
          <w:szCs w:val="28"/>
          <w:lang w:eastAsia="zh-CN"/>
        </w:rPr>
        <w:t>字</w:t>
      </w:r>
      <w:r>
        <w:rPr>
          <w:rFonts w:hint="eastAsia" w:eastAsia="仿宋_GB2312"/>
          <w:color w:val="auto"/>
          <w:sz w:val="32"/>
          <w:szCs w:val="28"/>
        </w:rPr>
        <w:t>〔</w:t>
      </w:r>
      <w:r>
        <w:rPr>
          <w:rFonts w:hint="eastAsia" w:eastAsia="仿宋_GB2312"/>
          <w:color w:val="auto"/>
          <w:sz w:val="32"/>
          <w:szCs w:val="28"/>
          <w:lang w:val="en-US" w:eastAsia="zh-CN"/>
        </w:rPr>
        <w:t>2019</w:t>
      </w:r>
      <w:r>
        <w:rPr>
          <w:rFonts w:hint="eastAsia" w:eastAsia="仿宋_GB2312"/>
          <w:color w:val="auto"/>
          <w:sz w:val="32"/>
          <w:szCs w:val="28"/>
        </w:rPr>
        <w:t>〕</w:t>
      </w:r>
      <w:r>
        <w:rPr>
          <w:rFonts w:hint="eastAsia" w:eastAsia="仿宋_GB2312"/>
          <w:color w:val="auto"/>
          <w:sz w:val="32"/>
          <w:szCs w:val="28"/>
          <w:lang w:val="en-US" w:eastAsia="zh-CN"/>
        </w:rPr>
        <w:t>27</w:t>
      </w:r>
      <w:r>
        <w:rPr>
          <w:rFonts w:hint="eastAsia" w:eastAsia="仿宋_GB2312"/>
          <w:color w:val="auto"/>
          <w:sz w:val="32"/>
          <w:szCs w:val="28"/>
          <w:lang w:eastAsia="zh-CN"/>
        </w:rPr>
        <w:t>号）</w:t>
      </w:r>
    </w:p>
    <w:p>
      <w:pPr>
        <w:snapToGrid w:val="0"/>
        <w:spacing w:line="600" w:lineRule="exact"/>
        <w:ind w:firstLine="640" w:firstLineChars="200"/>
        <w:rPr>
          <w:rFonts w:hint="eastAsia" w:eastAsia="仿宋_GB2312"/>
          <w:color w:val="auto"/>
          <w:sz w:val="32"/>
          <w:szCs w:val="28"/>
        </w:rPr>
      </w:pPr>
      <w:r>
        <w:rPr>
          <w:rFonts w:hint="eastAsia" w:eastAsia="仿宋_GB2312"/>
          <w:color w:val="auto"/>
          <w:sz w:val="32"/>
          <w:szCs w:val="28"/>
          <w:lang w:val="en-US" w:eastAsia="zh-CN"/>
        </w:rPr>
        <w:t>6.</w:t>
      </w:r>
      <w:r>
        <w:rPr>
          <w:rFonts w:hint="eastAsia" w:eastAsia="仿宋_GB2312"/>
          <w:color w:val="auto"/>
          <w:sz w:val="32"/>
          <w:szCs w:val="28"/>
        </w:rPr>
        <w:t>其他有关财政法律规章制度。</w:t>
      </w:r>
    </w:p>
    <w:p>
      <w:pPr>
        <w:snapToGrid w:val="0"/>
        <w:spacing w:line="600" w:lineRule="exact"/>
        <w:ind w:firstLine="640" w:firstLineChars="200"/>
        <w:rPr>
          <w:rFonts w:hint="eastAsia" w:eastAsia="黑体"/>
          <w:bCs/>
          <w:color w:val="auto"/>
          <w:sz w:val="32"/>
          <w:lang w:eastAsia="zh-CN"/>
        </w:rPr>
      </w:pPr>
      <w:r>
        <w:rPr>
          <w:rFonts w:hint="eastAsia" w:eastAsia="黑体"/>
          <w:bCs/>
          <w:color w:val="auto"/>
          <w:sz w:val="32"/>
          <w:lang w:eastAsia="zh-CN"/>
        </w:rPr>
        <w:t>三、资金拨付和管理情况</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1.城镇保障性安居工程专项资金拨付情况</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2020</w:t>
      </w:r>
      <w:r>
        <w:rPr>
          <w:rFonts w:eastAsia="仿宋_GB2312"/>
          <w:color w:val="auto"/>
          <w:sz w:val="32"/>
          <w:szCs w:val="28"/>
        </w:rPr>
        <w:t>年度</w:t>
      </w:r>
      <w:r>
        <w:rPr>
          <w:rFonts w:hint="eastAsia" w:eastAsia="仿宋_GB2312"/>
          <w:color w:val="auto"/>
          <w:sz w:val="32"/>
          <w:szCs w:val="28"/>
          <w:lang w:eastAsia="zh-CN"/>
        </w:rPr>
        <w:t>赫山区</w:t>
      </w:r>
      <w:r>
        <w:rPr>
          <w:rFonts w:eastAsia="仿宋_GB2312"/>
          <w:color w:val="auto"/>
          <w:sz w:val="32"/>
          <w:szCs w:val="28"/>
        </w:rPr>
        <w:t>预算安排</w:t>
      </w:r>
      <w:r>
        <w:rPr>
          <w:rFonts w:hint="eastAsia" w:eastAsia="仿宋_GB2312"/>
          <w:color w:val="auto"/>
          <w:sz w:val="32"/>
          <w:szCs w:val="28"/>
          <w:lang w:eastAsia="zh-CN"/>
        </w:rPr>
        <w:t>城镇老旧小区改造项目</w:t>
      </w:r>
      <w:r>
        <w:rPr>
          <w:rFonts w:hint="eastAsia" w:eastAsia="仿宋_GB2312"/>
          <w:color w:val="auto"/>
          <w:sz w:val="32"/>
          <w:szCs w:val="28"/>
          <w:lang w:val="en-US" w:eastAsia="zh-CN"/>
        </w:rPr>
        <w:t>专项资金</w:t>
      </w:r>
      <w:r>
        <w:rPr>
          <w:rFonts w:hint="eastAsia" w:eastAsia="仿宋_GB2312"/>
          <w:color w:val="auto"/>
          <w:sz w:val="32"/>
          <w:szCs w:val="28"/>
          <w:lang w:eastAsia="zh-CN"/>
        </w:rPr>
        <w:t>共计</w:t>
      </w:r>
      <w:r>
        <w:rPr>
          <w:rFonts w:hint="eastAsia" w:eastAsia="仿宋_GB2312"/>
          <w:color w:val="auto"/>
          <w:sz w:val="32"/>
          <w:szCs w:val="28"/>
          <w:lang w:val="en-US" w:eastAsia="zh-CN"/>
        </w:rPr>
        <w:t>3382万元，指标直接下达益阳市赫山区住房和城乡建设局用于老旧小区改造配套基础设施建设。</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2.城镇保障性安居工程专项资金管理情况</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益阳市赫山区按照《财政部关于印发〈中央财政城镇保障性安居工程专项资金管理办法〉的通知》(财综〔2017〕2号)的有关规定，管理拨付和使用资金，统一归并各类保障性安居工程建设专项资金，实行专项管理、分账核算，并严格按照规定用途使用，确保资金使用更加安全、规范、高效。</w:t>
      </w:r>
    </w:p>
    <w:p>
      <w:pPr>
        <w:numPr>
          <w:ilvl w:val="0"/>
          <w:numId w:val="1"/>
        </w:numPr>
        <w:snapToGrid w:val="0"/>
        <w:spacing w:line="600" w:lineRule="exact"/>
        <w:ind w:firstLine="640" w:firstLineChars="200"/>
        <w:rPr>
          <w:rFonts w:eastAsia="黑体"/>
          <w:bCs/>
          <w:color w:val="auto"/>
          <w:sz w:val="32"/>
        </w:rPr>
      </w:pPr>
      <w:r>
        <w:rPr>
          <w:rFonts w:hint="eastAsia" w:eastAsia="黑体"/>
          <w:bCs/>
          <w:color w:val="auto"/>
          <w:sz w:val="32"/>
          <w:lang w:eastAsia="zh-CN"/>
        </w:rPr>
        <w:t>项目</w:t>
      </w:r>
      <w:r>
        <w:rPr>
          <w:rFonts w:eastAsia="黑体"/>
          <w:bCs/>
          <w:color w:val="auto"/>
          <w:sz w:val="32"/>
        </w:rPr>
        <w:t>主要绩效</w:t>
      </w:r>
    </w:p>
    <w:p>
      <w:pPr>
        <w:topLinePunct/>
        <w:spacing w:line="600" w:lineRule="exact"/>
        <w:ind w:firstLine="640" w:firstLineChars="200"/>
        <w:rPr>
          <w:rFonts w:hint="default" w:ascii="仿宋" w:hAnsi="仿宋" w:eastAsia="仿宋" w:cs="仿宋_GB2312"/>
          <w:sz w:val="32"/>
          <w:szCs w:val="32"/>
        </w:rPr>
      </w:pPr>
      <w:r>
        <w:rPr>
          <w:rFonts w:ascii="仿宋" w:hAnsi="仿宋" w:eastAsia="仿宋" w:cs="仿宋_GB2312"/>
          <w:sz w:val="32"/>
          <w:szCs w:val="32"/>
        </w:rPr>
        <w:t>根据</w:t>
      </w:r>
      <w:r>
        <w:rPr>
          <w:rFonts w:hint="eastAsia" w:ascii="仿宋" w:hAnsi="仿宋" w:eastAsia="仿宋" w:cs="仿宋_GB2312"/>
          <w:sz w:val="32"/>
          <w:szCs w:val="32"/>
        </w:rPr>
        <w:t>2020年度城镇老旧小区改造</w:t>
      </w:r>
      <w:r>
        <w:rPr>
          <w:rFonts w:hint="eastAsia" w:eastAsia="仿宋_GB2312"/>
          <w:color w:val="auto"/>
          <w:sz w:val="32"/>
          <w:szCs w:val="28"/>
          <w:lang w:eastAsia="zh-CN"/>
        </w:rPr>
        <w:t>项目</w:t>
      </w:r>
      <w:r>
        <w:rPr>
          <w:rFonts w:hint="eastAsia" w:ascii="仿宋" w:hAnsi="仿宋" w:eastAsia="仿宋" w:cs="仿宋_GB2312"/>
          <w:sz w:val="32"/>
          <w:szCs w:val="32"/>
          <w:lang w:val="en-US" w:eastAsia="zh-CN"/>
        </w:rPr>
        <w:t>绩效评价指标体系</w:t>
      </w:r>
      <w:r>
        <w:rPr>
          <w:rFonts w:ascii="仿宋" w:hAnsi="仿宋" w:eastAsia="仿宋" w:cs="仿宋_GB2312"/>
          <w:sz w:val="32"/>
          <w:szCs w:val="32"/>
        </w:rPr>
        <w:t>和绩效检查情况，该</w:t>
      </w:r>
      <w:r>
        <w:rPr>
          <w:rFonts w:hint="eastAsia" w:ascii="仿宋" w:hAnsi="仿宋" w:eastAsia="仿宋" w:cs="仿宋_GB2312"/>
          <w:sz w:val="32"/>
          <w:szCs w:val="32"/>
          <w:lang w:val="en-US" w:eastAsia="zh-CN"/>
        </w:rPr>
        <w:t>项</w:t>
      </w:r>
      <w:r>
        <w:rPr>
          <w:rFonts w:hint="eastAsia" w:ascii="仿宋" w:hAnsi="仿宋" w:eastAsia="仿宋" w:cs="仿宋_GB2312"/>
          <w:color w:val="auto"/>
          <w:sz w:val="32"/>
          <w:szCs w:val="32"/>
          <w:lang w:val="en-US" w:eastAsia="zh-CN"/>
        </w:rPr>
        <w:t>目</w:t>
      </w:r>
      <w:r>
        <w:rPr>
          <w:rFonts w:ascii="仿宋" w:hAnsi="仿宋" w:eastAsia="仿宋" w:cs="仿宋_GB2312"/>
          <w:color w:val="auto"/>
          <w:sz w:val="32"/>
          <w:szCs w:val="32"/>
        </w:rPr>
        <w:t>绩效评价指标总分值100分，实得</w:t>
      </w:r>
      <w:r>
        <w:rPr>
          <w:rFonts w:hint="eastAsia" w:ascii="仿宋" w:hAnsi="仿宋" w:eastAsia="仿宋" w:cs="仿宋_GB2312"/>
          <w:color w:val="auto"/>
          <w:sz w:val="32"/>
          <w:szCs w:val="32"/>
        </w:rPr>
        <w:t>78</w:t>
      </w:r>
      <w:r>
        <w:rPr>
          <w:rFonts w:ascii="仿宋" w:hAnsi="仿宋" w:eastAsia="仿宋" w:cs="仿宋_GB2312"/>
          <w:color w:val="auto"/>
          <w:sz w:val="32"/>
          <w:szCs w:val="32"/>
        </w:rPr>
        <w:t>分，被评为“良好”等级（详见附件：</w:t>
      </w:r>
      <w:r>
        <w:rPr>
          <w:rFonts w:hint="eastAsia" w:ascii="仿宋" w:hAnsi="仿宋" w:eastAsia="仿宋" w:cs="仿宋_GB2312"/>
          <w:color w:val="auto"/>
          <w:sz w:val="32"/>
          <w:szCs w:val="32"/>
        </w:rPr>
        <w:t>2020年度城镇老旧小区改造</w:t>
      </w:r>
      <w:r>
        <w:rPr>
          <w:rFonts w:hint="eastAsia" w:ascii="仿宋" w:hAnsi="仿宋" w:eastAsia="仿宋" w:cs="仿宋_GB2312"/>
          <w:color w:val="auto"/>
          <w:sz w:val="32"/>
          <w:szCs w:val="32"/>
          <w:lang w:eastAsia="zh-CN"/>
        </w:rPr>
        <w:t>项目</w:t>
      </w:r>
      <w:r>
        <w:rPr>
          <w:rFonts w:hint="eastAsia" w:ascii="仿宋" w:hAnsi="仿宋" w:eastAsia="仿宋" w:cs="仿宋_GB2312"/>
          <w:color w:val="auto"/>
          <w:sz w:val="32"/>
          <w:szCs w:val="32"/>
          <w:lang w:val="en-US" w:eastAsia="zh-CN"/>
        </w:rPr>
        <w:t>绩效评价指标计分表</w:t>
      </w:r>
      <w:r>
        <w:rPr>
          <w:rFonts w:ascii="仿宋" w:hAnsi="仿宋" w:eastAsia="仿宋" w:cs="仿宋_GB2312"/>
          <w:color w:val="auto"/>
          <w:sz w:val="32"/>
          <w:szCs w:val="32"/>
        </w:rPr>
        <w:t>）。该部门主要绩效如下</w:t>
      </w:r>
      <w:r>
        <w:rPr>
          <w:rFonts w:ascii="仿宋" w:hAnsi="仿宋" w:eastAsia="仿宋"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1.城镇老旧小区改造任务完成情况</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_GB2312"/>
          <w:sz w:val="32"/>
          <w:szCs w:val="32"/>
          <w:lang w:val="en-US" w:eastAsia="zh-CN"/>
        </w:rPr>
      </w:pPr>
      <w:r>
        <w:rPr>
          <w:rFonts w:hint="eastAsia" w:eastAsia="仿宋_GB2312"/>
          <w:color w:val="auto"/>
          <w:sz w:val="32"/>
          <w:szCs w:val="28"/>
          <w:lang w:val="en-US" w:eastAsia="zh-CN"/>
        </w:rPr>
        <w:t>赫山区2020年</w:t>
      </w:r>
      <w:r>
        <w:rPr>
          <w:rFonts w:hint="eastAsia" w:ascii="仿宋" w:hAnsi="仿宋" w:eastAsia="仿宋" w:cs="仿宋_GB2312"/>
          <w:sz w:val="32"/>
          <w:szCs w:val="32"/>
        </w:rPr>
        <w:t>城镇老旧小区改造</w:t>
      </w:r>
      <w:r>
        <w:rPr>
          <w:rFonts w:hint="eastAsia" w:eastAsia="仿宋_GB2312"/>
          <w:color w:val="auto"/>
          <w:sz w:val="32"/>
          <w:szCs w:val="28"/>
          <w:lang w:eastAsia="zh-CN"/>
        </w:rPr>
        <w:t>项目</w:t>
      </w:r>
      <w:r>
        <w:rPr>
          <w:rFonts w:hint="eastAsia" w:eastAsia="仿宋_GB2312"/>
          <w:color w:val="auto"/>
          <w:sz w:val="32"/>
          <w:szCs w:val="28"/>
          <w:lang w:val="en-US" w:eastAsia="zh-CN"/>
        </w:rPr>
        <w:t>14个1436户，改造住宅建筑面积约20.07 万平方米</w:t>
      </w:r>
      <w:r>
        <w:rPr>
          <w:rFonts w:hint="eastAsia" w:ascii="仿宋" w:hAnsi="仿宋" w:eastAsia="仿宋" w:cs="仿宋_GB2312"/>
          <w:sz w:val="32"/>
          <w:szCs w:val="32"/>
          <w:lang w:val="en-US" w:eastAsia="zh-CN"/>
        </w:rPr>
        <w:t>。改造内容主要为加装外墙保温、整修屋面、更换门窗、楼道整治及小区内道路整修等。目前14个项目已全面开工建设。</w:t>
      </w:r>
    </w:p>
    <w:tbl>
      <w:tblPr>
        <w:tblStyle w:val="9"/>
        <w:tblW w:w="5000" w:type="pct"/>
        <w:tblInd w:w="0" w:type="dxa"/>
        <w:shd w:val="clear" w:color="auto" w:fill="auto"/>
        <w:tblLayout w:type="fixed"/>
        <w:tblCellMar>
          <w:top w:w="0" w:type="dxa"/>
          <w:left w:w="108" w:type="dxa"/>
          <w:bottom w:w="0" w:type="dxa"/>
          <w:right w:w="108" w:type="dxa"/>
        </w:tblCellMar>
      </w:tblPr>
      <w:tblGrid>
        <w:gridCol w:w="594"/>
        <w:gridCol w:w="2565"/>
        <w:gridCol w:w="1080"/>
        <w:gridCol w:w="1104"/>
        <w:gridCol w:w="1152"/>
        <w:gridCol w:w="804"/>
        <w:gridCol w:w="780"/>
        <w:gridCol w:w="866"/>
      </w:tblGrid>
      <w:tr>
        <w:tblPrEx>
          <w:tblCellMar>
            <w:top w:w="0" w:type="dxa"/>
            <w:left w:w="108" w:type="dxa"/>
            <w:bottom w:w="0" w:type="dxa"/>
            <w:right w:w="108" w:type="dxa"/>
          </w:tblCellMar>
        </w:tblPrEx>
        <w:trPr>
          <w:trHeight w:val="62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涉及户数（户）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小区内楼栋数（栋）</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建筑面积（万平米）</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建成时间</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房屋性质</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改造类型</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赫山庙居民小区内配套基础设施建设项目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335</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5.530 </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大屋场居民小区内配套基础设施建设项目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金银山溪谷新村老旧小区配套基础设施建设项目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0.250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赫山区公安局老旧小区配套基础设施建设项目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0.193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会龙山华昌家属区老旧小区配套基础设施建设项目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0.110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赫山区审计局老旧小区配套基础设施建设项目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0.087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赫山区交通局老旧小区配套基础设施建设项目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0.092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赫山区住建局老旧小区配套基础设施建设项目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0.083</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梓山苑小区家属区老旧小区配套基础设施建设项目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4.64</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1999</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粮运家属区老旧小区配套基础设施建设项目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0.58</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金银山街道兴旺老旧小区配套基础设施建设项目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0.210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金桃苑家属区老旧小区配套基础设施建设项目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0.730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银城安置点家属区老旧小区配套基础设施建设项目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3.140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tblCellMar>
            <w:top w:w="0" w:type="dxa"/>
            <w:left w:w="108" w:type="dxa"/>
            <w:bottom w:w="0" w:type="dxa"/>
            <w:right w:w="108" w:type="dxa"/>
          </w:tblCellMar>
        </w:tblPrEx>
        <w:trPr>
          <w:trHeight w:val="50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南庄湾居民小区配套基础设施建设项目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2.210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住宅</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基础类</w:t>
            </w:r>
          </w:p>
        </w:tc>
      </w:tr>
      <w:tr>
        <w:tblPrEx>
          <w:shd w:val="clear" w:color="auto" w:fill="auto"/>
          <w:tblCellMar>
            <w:top w:w="0" w:type="dxa"/>
            <w:left w:w="108" w:type="dxa"/>
            <w:bottom w:w="0" w:type="dxa"/>
            <w:right w:w="108" w:type="dxa"/>
          </w:tblCellMar>
        </w:tblPrEx>
        <w:trPr>
          <w:trHeight w:val="540" w:hRule="atLeast"/>
        </w:trPr>
        <w:tc>
          <w:tcPr>
            <w:tcW w:w="17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1,436.00 </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20.07 </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2.资金使用情况</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jc w:val="both"/>
        <w:textAlignment w:val="auto"/>
        <w:rPr>
          <w:rFonts w:hint="eastAsia" w:ascii="仿宋_GB2312" w:eastAsia="仿宋_GB2312"/>
          <w:color w:val="000000"/>
          <w:sz w:val="32"/>
          <w:szCs w:val="32"/>
          <w:lang w:val="en-US" w:eastAsia="zh-CN"/>
        </w:rPr>
      </w:pPr>
      <w:r>
        <w:rPr>
          <w:rFonts w:hint="eastAsia" w:eastAsia="仿宋_GB2312"/>
          <w:color w:val="auto"/>
          <w:sz w:val="32"/>
          <w:szCs w:val="28"/>
          <w:lang w:val="en-US" w:eastAsia="zh-CN"/>
        </w:rPr>
        <w:t>根据</w:t>
      </w:r>
      <w:r>
        <w:rPr>
          <w:rFonts w:hint="eastAsia" w:ascii="仿宋_GB2312" w:hAnsi="微软雅黑" w:eastAsia="仿宋_GB2312" w:cs="仿宋_GB2312"/>
          <w:kern w:val="2"/>
          <w:sz w:val="32"/>
          <w:szCs w:val="32"/>
          <w:shd w:val="clear" w:color="auto" w:fill="FFFFFF"/>
          <w:lang w:val="en-US" w:eastAsia="zh-CN" w:bidi="ar"/>
        </w:rPr>
        <w:t>赫山区住建局和赫山区城投提供的资料，截止评价日，2020年</w:t>
      </w:r>
      <w:r>
        <w:rPr>
          <w:rFonts w:hint="eastAsia" w:ascii="仿宋_GB2312" w:hAnsi="微软雅黑" w:eastAsia="仿宋_GB2312" w:cs="仿宋_GB2312"/>
          <w:color w:val="auto"/>
          <w:kern w:val="2"/>
          <w:sz w:val="32"/>
          <w:szCs w:val="32"/>
          <w:shd w:val="clear" w:color="auto" w:fill="FFFFFF"/>
          <w:lang w:val="en-US" w:eastAsia="zh-CN" w:bidi="ar"/>
        </w:rPr>
        <w:t>城镇老旧小区改造项目资金共使用</w:t>
      </w:r>
      <w:r>
        <w:rPr>
          <w:rFonts w:hint="eastAsia" w:ascii="仿宋_GB2312" w:eastAsia="仿宋_GB2312"/>
          <w:color w:val="000000"/>
          <w:sz w:val="32"/>
          <w:szCs w:val="32"/>
          <w:lang w:val="en-US" w:eastAsia="zh-CN"/>
        </w:rPr>
        <w:t>897.55万元，明细如下：</w:t>
      </w:r>
    </w:p>
    <w:tbl>
      <w:tblPr>
        <w:tblStyle w:val="9"/>
        <w:tblW w:w="5000" w:type="pct"/>
        <w:tblInd w:w="0" w:type="dxa"/>
        <w:shd w:val="clear" w:color="auto" w:fill="auto"/>
        <w:tblLayout w:type="fixed"/>
        <w:tblCellMar>
          <w:top w:w="0" w:type="dxa"/>
          <w:left w:w="108" w:type="dxa"/>
          <w:bottom w:w="0" w:type="dxa"/>
          <w:right w:w="108" w:type="dxa"/>
        </w:tblCellMar>
      </w:tblPr>
      <w:tblGrid>
        <w:gridCol w:w="567"/>
        <w:gridCol w:w="732"/>
        <w:gridCol w:w="3180"/>
        <w:gridCol w:w="1716"/>
        <w:gridCol w:w="1236"/>
        <w:gridCol w:w="1514"/>
      </w:tblGrid>
      <w:tr>
        <w:tblPrEx>
          <w:shd w:val="clear" w:color="auto" w:fill="auto"/>
          <w:tblCellMar>
            <w:top w:w="0" w:type="dxa"/>
            <w:left w:w="108" w:type="dxa"/>
            <w:bottom w:w="0" w:type="dxa"/>
            <w:right w:w="108" w:type="dxa"/>
          </w:tblCellMar>
        </w:tblPrEx>
        <w:trPr>
          <w:trHeight w:val="62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指标单号</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下达金额</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下达时间</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使用资金</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2020建指0028</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赫山庙居民小区内配套基础设施建设项目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2020.1.7</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大屋场居民小区内配套基础设施建设项目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2020.1.7</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1,205,464.70 </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2020建指0545</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金银山溪谷新村老旧小区配套基础设施建设项目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2020.9.16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赫山区公安局老旧小区配套基础设施建设项目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3,050,000.00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2020.9.16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会龙山华昌家属区老旧小区配套基础设施建设项目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2,810,000.00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2020.9.16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2,400,000.00 </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2020建指0235</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赫山区审计局老旧小区配套基础设施建设项目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1,300,000.00 </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赫山区交通局老旧小区配套基础设施建设项目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赫山区住建局老旧小区配套基础设施建设项目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2,010,000.00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梓山苑小区家属区老旧小区配套基础设施建设项目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粮运家属区老旧小区配套基础设施建设项目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3,250,000.00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3,250,000.00 </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金银山街道兴旺老旧小区配套基础设施建设项目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2020.5.6</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820,000.00 </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2020建指0152</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金桃苑家属区老旧小区配套基础设施建设项目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2020.12.01</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银城安置点家属区老旧小区配套基础设施建设项目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2020.12.01</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南庄湾居民小区配套基础设施建设项目</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2,100,000.00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2020.12.01</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540" w:hRule="atLeast"/>
        </w:trPr>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33,820,000.00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8,975,464.70 </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3.</w:t>
      </w:r>
      <w:r>
        <w:rPr>
          <w:rFonts w:hint="eastAsia" w:eastAsia="仿宋_GB2312"/>
          <w:b/>
          <w:bCs/>
          <w:color w:val="auto"/>
          <w:sz w:val="32"/>
          <w:szCs w:val="28"/>
          <w:lang w:val="en-US" w:eastAsia="zh-CN"/>
        </w:rPr>
        <w:t>项目完成情况。</w:t>
      </w:r>
      <w:r>
        <w:rPr>
          <w:rFonts w:hint="eastAsia" w:ascii="仿宋" w:hAnsi="仿宋" w:eastAsia="仿宋"/>
          <w:sz w:val="32"/>
          <w:szCs w:val="32"/>
        </w:rPr>
        <w:t>老旧小区改造重点实施小区道路、管网、照明、停车位、绿化等改造，完善基础设施建设；加强小区容貌、环卫设施、菜市场和摊点、公厕改造，推进文明社区建设；实施小区封闭管理，完善视频监控设施，强化平安社区建设；加强小区物业管理，建立长效管理机制。</w:t>
      </w:r>
      <w:r>
        <w:rPr>
          <w:rFonts w:hint="eastAsia" w:ascii="仿宋_GB2312" w:hAnsi="仿宋_GB2312" w:eastAsia="仿宋_GB2312" w:cs="仿宋_GB2312"/>
          <w:sz w:val="32"/>
          <w:szCs w:val="32"/>
        </w:rPr>
        <w:t>老旧小区旧貌换新颜，实现了“水通、路平、灯亮、地绿、整洁、安全、有序、人和”的整治目标，居民居住环境显著提升</w:t>
      </w:r>
      <w:r>
        <w:rPr>
          <w:rFonts w:hint="eastAsia" w:ascii="仿宋_GB2312" w:hAnsi="仿宋_GB2312" w:eastAsia="仿宋_GB2312" w:cs="仿宋_GB2312"/>
          <w:sz w:val="32"/>
          <w:szCs w:val="32"/>
          <w:lang w:eastAsia="zh-CN"/>
        </w:rPr>
        <w:t>。</w:t>
      </w:r>
    </w:p>
    <w:p>
      <w:pPr>
        <w:keepNext w:val="0"/>
        <w:keepLines w:val="0"/>
        <w:pageBreakBefore w:val="0"/>
        <w:numPr>
          <w:ilvl w:val="0"/>
          <w:numId w:val="2"/>
        </w:numPr>
        <w:kinsoku/>
        <w:wordWrap/>
        <w:overflowPunct/>
        <w:topLinePunct w:val="0"/>
        <w:autoSpaceDE/>
        <w:autoSpaceDN/>
        <w:bidi w:val="0"/>
        <w:adjustRightInd/>
        <w:snapToGrid w:val="0"/>
        <w:spacing w:line="600" w:lineRule="atLeast"/>
        <w:ind w:firstLine="640" w:firstLineChars="200"/>
        <w:textAlignment w:val="auto"/>
        <w:outlineLvl w:val="9"/>
        <w:rPr>
          <w:rFonts w:eastAsia="黑体"/>
          <w:bCs/>
          <w:color w:val="auto"/>
          <w:sz w:val="32"/>
        </w:rPr>
      </w:pPr>
      <w:r>
        <w:rPr>
          <w:rFonts w:eastAsia="黑体"/>
          <w:bCs/>
          <w:color w:val="auto"/>
          <w:sz w:val="32"/>
        </w:rPr>
        <w:t>存在的主要问题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3" w:firstLineChars="200"/>
        <w:jc w:val="left"/>
        <w:textAlignment w:val="auto"/>
        <w:rPr>
          <w:rFonts w:hint="eastAsia" w:ascii="仿宋_GB2312" w:hAnsi="微软雅黑" w:eastAsia="仿宋_GB2312" w:cs="仿宋_GB2312"/>
          <w:color w:val="auto"/>
          <w:kern w:val="2"/>
          <w:sz w:val="32"/>
          <w:szCs w:val="32"/>
          <w:shd w:val="clear" w:color="auto" w:fill="FFFFFF"/>
          <w:lang w:val="en-US" w:eastAsia="zh-CN" w:bidi="ar"/>
        </w:rPr>
      </w:pPr>
      <w:r>
        <w:rPr>
          <w:rFonts w:hint="eastAsia" w:ascii="仿宋_GB2312" w:hAnsi="微软雅黑" w:eastAsia="仿宋_GB2312" w:cs="仿宋_GB2312"/>
          <w:b/>
          <w:bCs/>
          <w:color w:val="auto"/>
          <w:kern w:val="2"/>
          <w:sz w:val="32"/>
          <w:szCs w:val="32"/>
          <w:shd w:val="clear" w:color="auto" w:fill="FFFFFF"/>
          <w:lang w:val="en-US" w:eastAsia="zh-CN" w:bidi="ar"/>
        </w:rPr>
        <w:t xml:space="preserve">1.财务核算不规范。 </w:t>
      </w:r>
      <w:r>
        <w:rPr>
          <w:rFonts w:hint="eastAsia" w:ascii="仿宋_GB2312" w:hAnsi="微软雅黑" w:eastAsia="仿宋_GB2312" w:cs="仿宋_GB2312"/>
          <w:kern w:val="2"/>
          <w:sz w:val="32"/>
          <w:szCs w:val="32"/>
          <w:shd w:val="clear" w:color="auto" w:fill="FFFFFF"/>
          <w:lang w:val="en-US" w:eastAsia="zh-CN" w:bidi="ar"/>
        </w:rPr>
        <w:t>根据赫山区住建局和赫山区城投提供的资料反映，财务上没有对每个项目单独的记账，统一在“益阳市赫山区保障性安居工程专户”核算，难以直观区分每个项目的实际支出金额</w:t>
      </w:r>
      <w:r>
        <w:rPr>
          <w:rFonts w:hint="eastAsia" w:ascii="仿宋_GB2312" w:hAnsi="微软雅黑" w:eastAsia="仿宋_GB2312" w:cs="仿宋_GB2312"/>
          <w:color w:val="auto"/>
          <w:kern w:val="2"/>
          <w:sz w:val="32"/>
          <w:szCs w:val="32"/>
          <w:shd w:val="clear" w:color="auto"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0" w:firstLineChars="200"/>
        <w:jc w:val="left"/>
        <w:textAlignment w:val="auto"/>
        <w:rPr>
          <w:rFonts w:hint="eastAsia" w:ascii="仿宋_GB2312" w:hAnsi="微软雅黑" w:eastAsia="仿宋_GB2312" w:cs="仿宋_GB2312"/>
          <w:color w:val="auto"/>
          <w:kern w:val="2"/>
          <w:sz w:val="32"/>
          <w:szCs w:val="32"/>
          <w:shd w:val="clear" w:color="auto" w:fill="FFFFFF"/>
          <w:lang w:val="en-US" w:eastAsia="zh-CN" w:bidi="ar"/>
        </w:rPr>
      </w:pPr>
      <w:r>
        <w:rPr>
          <w:rFonts w:hint="eastAsia" w:ascii="仿宋_GB2312" w:hAnsi="微软雅黑" w:eastAsia="仿宋_GB2312" w:cs="仿宋_GB2312"/>
          <w:color w:val="auto"/>
          <w:kern w:val="2"/>
          <w:sz w:val="32"/>
          <w:szCs w:val="32"/>
          <w:shd w:val="clear" w:color="auto" w:fill="FFFFFF"/>
          <w:lang w:val="en-US" w:eastAsia="zh-CN" w:bidi="ar"/>
        </w:rPr>
        <w:t>2.</w:t>
      </w:r>
      <w:r>
        <w:rPr>
          <w:rFonts w:hint="eastAsia" w:ascii="仿宋_GB2312" w:hAnsi="微软雅黑" w:eastAsia="仿宋_GB2312" w:cs="仿宋_GB2312"/>
          <w:b/>
          <w:bCs/>
          <w:color w:val="auto"/>
          <w:kern w:val="2"/>
          <w:sz w:val="32"/>
          <w:szCs w:val="32"/>
          <w:shd w:val="clear" w:color="auto" w:fill="FFFFFF"/>
          <w:lang w:val="en-US" w:eastAsia="zh-CN" w:bidi="ar"/>
        </w:rPr>
        <w:t>随意调整工程建设内容</w:t>
      </w:r>
      <w:r>
        <w:rPr>
          <w:rFonts w:hint="eastAsia" w:ascii="仿宋_GB2312" w:hAnsi="微软雅黑" w:eastAsia="仿宋_GB2312" w:cs="仿宋_GB2312"/>
          <w:color w:val="auto"/>
          <w:kern w:val="2"/>
          <w:sz w:val="32"/>
          <w:szCs w:val="32"/>
          <w:shd w:val="clear" w:color="auto" w:fill="FFFFFF"/>
          <w:lang w:val="en-US" w:eastAsia="zh-CN" w:bidi="ar"/>
        </w:rPr>
        <w:t>。经益阳市赫山区审计局审计，益阳市赫山区赫山庙居民小区内庭院改造项目主要建设内容为经贸巷装修、照明、绿化、道路及排水改造，而工程实际施工时擅自减少经贸巷照明及绿化工程，增加经贸巷西部杂屋改造、好润多墙面改造及零星改造等装修工程，增加箴言中学退休教师住宿小区围墙、大门及住宿楼梯间改造工程。赫山区未按规定重新办理项目批准手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3" w:firstLineChars="200"/>
        <w:jc w:val="left"/>
        <w:textAlignment w:val="auto"/>
        <w:rPr>
          <w:rFonts w:hint="eastAsia" w:ascii="仿宋_GB2312" w:hAnsi="微软雅黑" w:eastAsia="仿宋_GB2312" w:cs="仿宋_GB2312"/>
          <w:color w:val="auto"/>
          <w:kern w:val="2"/>
          <w:sz w:val="32"/>
          <w:szCs w:val="32"/>
          <w:shd w:val="clear" w:color="auto" w:fill="FFFFFF"/>
          <w:lang w:val="en-US" w:eastAsia="zh-CN" w:bidi="ar"/>
        </w:rPr>
      </w:pPr>
      <w:r>
        <w:rPr>
          <w:rFonts w:hint="eastAsia" w:ascii="仿宋_GB2312" w:hAnsi="微软雅黑" w:eastAsia="仿宋_GB2312" w:cs="仿宋_GB2312"/>
          <w:b/>
          <w:bCs/>
          <w:color w:val="auto"/>
          <w:kern w:val="2"/>
          <w:sz w:val="32"/>
          <w:szCs w:val="32"/>
          <w:shd w:val="clear" w:color="auto" w:fill="FFFFFF"/>
          <w:lang w:val="en-US" w:eastAsia="zh-CN" w:bidi="ar"/>
        </w:rPr>
        <w:t>3.成本控制不严格。</w:t>
      </w:r>
      <w:r>
        <w:rPr>
          <w:rFonts w:hint="eastAsia" w:ascii="仿宋_GB2312" w:hAnsi="微软雅黑" w:eastAsia="仿宋_GB2312" w:cs="仿宋_GB2312"/>
          <w:color w:val="auto"/>
          <w:kern w:val="2"/>
          <w:sz w:val="32"/>
          <w:szCs w:val="32"/>
          <w:shd w:val="clear" w:color="auto" w:fill="FFFFFF"/>
          <w:lang w:val="en-US" w:eastAsia="zh-CN" w:bidi="ar"/>
        </w:rPr>
        <w:t>益阳市赫山区赫山庙居民小区内庭院改造项目中标金额为90.58万元，项目在实施过程中发生较大变更，经建设方审核认定的项目结算金额为120.49万元，超中标金额33.02%。</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3" w:firstLineChars="200"/>
        <w:jc w:val="left"/>
        <w:textAlignment w:val="auto"/>
        <w:rPr>
          <w:rFonts w:hint="eastAsia" w:ascii="仿宋_GB2312" w:hAnsi="微软雅黑" w:eastAsia="仿宋_GB2312" w:cs="仿宋_GB2312"/>
          <w:color w:val="auto"/>
          <w:kern w:val="2"/>
          <w:sz w:val="32"/>
          <w:szCs w:val="32"/>
          <w:shd w:val="clear" w:color="auto" w:fill="FFFFFF"/>
          <w:lang w:val="en-US" w:eastAsia="zh-CN" w:bidi="ar"/>
        </w:rPr>
      </w:pPr>
      <w:r>
        <w:rPr>
          <w:rFonts w:hint="eastAsia" w:ascii="仿宋_GB2312" w:hAnsi="微软雅黑" w:eastAsia="仿宋_GB2312" w:cs="仿宋_GB2312"/>
          <w:b/>
          <w:bCs/>
          <w:color w:val="auto"/>
          <w:kern w:val="2"/>
          <w:sz w:val="32"/>
          <w:szCs w:val="32"/>
          <w:shd w:val="clear" w:color="auto" w:fill="FFFFFF"/>
          <w:lang w:val="en-US" w:eastAsia="zh-CN" w:bidi="ar"/>
        </w:rPr>
        <w:t>4.项目实施进度慢。</w:t>
      </w:r>
      <w:r>
        <w:rPr>
          <w:rFonts w:hint="eastAsia" w:ascii="仿宋_GB2312" w:hAnsi="微软雅黑" w:eastAsia="仿宋_GB2312" w:cs="仿宋_GB2312"/>
          <w:color w:val="auto"/>
          <w:kern w:val="2"/>
          <w:sz w:val="32"/>
          <w:szCs w:val="32"/>
          <w:shd w:val="clear" w:color="auto" w:fill="FFFFFF"/>
          <w:lang w:val="en-US" w:eastAsia="zh-CN" w:bidi="ar"/>
        </w:rPr>
        <w:t>2020年城镇老旧小区改造项目涉及的老旧小区14个，均于2020年开工建设，至今只有益阳市赫山区赫山庙居民小区完成竣工决算审计并经审计部门审定。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0" w:firstLineChars="200"/>
        <w:jc w:val="left"/>
        <w:textAlignment w:val="auto"/>
        <w:rPr>
          <w:rFonts w:hint="eastAsia" w:ascii="仿宋_GB2312" w:eastAsia="仿宋_GB2312"/>
          <w:bCs/>
          <w:color w:val="333333"/>
          <w:sz w:val="32"/>
          <w:szCs w:val="32"/>
          <w:lang w:eastAsia="zh-CN"/>
        </w:rPr>
      </w:pPr>
      <w:r>
        <w:rPr>
          <w:rFonts w:hint="eastAsia" w:ascii="仿宋_GB2312" w:hAnsi="微软雅黑" w:eastAsia="仿宋_GB2312" w:cs="仿宋_GB2312"/>
          <w:color w:val="auto"/>
          <w:kern w:val="2"/>
          <w:sz w:val="32"/>
          <w:szCs w:val="32"/>
          <w:shd w:val="clear" w:color="auto" w:fill="FFFFFF"/>
          <w:lang w:val="en-US" w:eastAsia="zh-CN" w:bidi="ar"/>
        </w:rPr>
        <w:t>5.</w:t>
      </w:r>
      <w:r>
        <w:rPr>
          <w:rFonts w:hint="eastAsia" w:ascii="仿宋_GB2312" w:hAnsi="微软雅黑" w:eastAsia="仿宋_GB2312" w:cs="仿宋_GB2312"/>
          <w:b/>
          <w:bCs/>
          <w:color w:val="auto"/>
          <w:kern w:val="2"/>
          <w:sz w:val="32"/>
          <w:szCs w:val="32"/>
          <w:shd w:val="clear" w:color="auto" w:fill="FFFFFF"/>
          <w:lang w:val="en-US" w:eastAsia="zh-CN" w:bidi="ar"/>
        </w:rPr>
        <w:t>企业、居民等社会筹资比例过低，改造项目类型单一。</w:t>
      </w:r>
      <w:r>
        <w:rPr>
          <w:rFonts w:hint="eastAsia" w:ascii="仿宋_GB2312" w:eastAsia="仿宋_GB2312"/>
          <w:color w:val="333333"/>
          <w:sz w:val="32"/>
          <w:szCs w:val="32"/>
          <w:shd w:val="clear" w:color="auto" w:fill="FFFFFF"/>
        </w:rPr>
        <w:t>调动居民和社会力量支持、参与力度不够，</w:t>
      </w:r>
      <w:r>
        <w:rPr>
          <w:rFonts w:hint="eastAsia" w:ascii="仿宋_GB2312" w:eastAsia="仿宋_GB2312"/>
          <w:color w:val="000000"/>
          <w:sz w:val="32"/>
          <w:szCs w:val="32"/>
        </w:rPr>
        <w:t>企业、居民等社会资金参与项目改造不多，投资仅占改造项目总投资额的1.37%。</w:t>
      </w:r>
      <w:r>
        <w:rPr>
          <w:rFonts w:hint="eastAsia" w:ascii="仿宋_GB2312" w:eastAsia="仿宋_GB2312"/>
          <w:bCs/>
          <w:color w:val="333333"/>
          <w:sz w:val="32"/>
          <w:szCs w:val="32"/>
        </w:rPr>
        <w:t>改造项目类型以基础类为主，完善类</w:t>
      </w:r>
      <w:r>
        <w:rPr>
          <w:rFonts w:hint="eastAsia" w:ascii="仿宋_GB2312" w:eastAsia="仿宋_GB2312"/>
          <w:bCs/>
          <w:color w:val="333333"/>
          <w:sz w:val="32"/>
          <w:szCs w:val="32"/>
          <w:lang w:eastAsia="zh-CN"/>
        </w:rPr>
        <w:t>、</w:t>
      </w:r>
      <w:r>
        <w:rPr>
          <w:rFonts w:hint="eastAsia" w:ascii="仿宋_GB2312" w:eastAsia="仿宋_GB2312"/>
          <w:bCs/>
          <w:color w:val="333333"/>
          <w:sz w:val="32"/>
          <w:szCs w:val="32"/>
        </w:rPr>
        <w:t>提升类缺失</w:t>
      </w:r>
      <w:r>
        <w:rPr>
          <w:rFonts w:hint="eastAsia" w:ascii="仿宋_GB2312" w:eastAsia="仿宋_GB2312"/>
          <w:bCs/>
          <w:color w:val="333333"/>
          <w:sz w:val="32"/>
          <w:szCs w:val="32"/>
          <w:lang w:eastAsia="zh-CN"/>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0" w:firstLineChars="200"/>
        <w:jc w:val="left"/>
        <w:textAlignment w:val="auto"/>
        <w:rPr>
          <w:rFonts w:hint="eastAsia" w:ascii="仿宋_GB2312" w:eastAsia="仿宋_GB2312"/>
          <w:b w:val="0"/>
          <w:bCs/>
          <w:color w:val="333333"/>
          <w:sz w:val="32"/>
          <w:szCs w:val="32"/>
          <w:lang w:val="en-US" w:eastAsia="zh-CN"/>
        </w:rPr>
      </w:pPr>
      <w:r>
        <w:rPr>
          <w:rFonts w:hint="eastAsia" w:ascii="仿宋_GB2312" w:eastAsia="仿宋_GB2312"/>
          <w:bCs/>
          <w:color w:val="333333"/>
          <w:sz w:val="32"/>
          <w:szCs w:val="32"/>
          <w:lang w:val="en-US" w:eastAsia="zh-CN"/>
        </w:rPr>
        <w:t>6.</w:t>
      </w:r>
      <w:r>
        <w:rPr>
          <w:rFonts w:hint="eastAsia" w:ascii="仿宋_GB2312" w:eastAsia="仿宋_GB2312"/>
          <w:b/>
          <w:bCs w:val="0"/>
          <w:color w:val="333333"/>
          <w:sz w:val="32"/>
          <w:szCs w:val="32"/>
          <w:lang w:val="en-US" w:eastAsia="zh-CN"/>
        </w:rPr>
        <w:t>改造项目碎片化。</w:t>
      </w:r>
      <w:r>
        <w:rPr>
          <w:rFonts w:hint="eastAsia" w:ascii="仿宋_GB2312" w:eastAsia="仿宋_GB2312"/>
          <w:b w:val="0"/>
          <w:bCs/>
          <w:color w:val="333333"/>
          <w:sz w:val="32"/>
          <w:szCs w:val="32"/>
          <w:lang w:val="en-US" w:eastAsia="zh-CN"/>
        </w:rPr>
        <w:t>改造项目零星、分散，未能实现整体规划，成街连片整体改造。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3" w:firstLineChars="200"/>
        <w:jc w:val="left"/>
        <w:textAlignment w:val="auto"/>
        <w:rPr>
          <w:rFonts w:hint="eastAsia" w:ascii="仿宋_GB2312" w:eastAsia="仿宋_GB2312"/>
          <w:b/>
          <w:bCs w:val="0"/>
          <w:color w:val="333333"/>
          <w:sz w:val="32"/>
          <w:szCs w:val="32"/>
          <w:lang w:val="en-US" w:eastAsia="zh-CN"/>
        </w:rPr>
      </w:pPr>
      <w:r>
        <w:rPr>
          <w:rFonts w:hint="eastAsia" w:ascii="仿宋_GB2312" w:eastAsia="仿宋_GB2312"/>
          <w:b/>
          <w:bCs w:val="0"/>
          <w:color w:val="333333"/>
          <w:sz w:val="32"/>
          <w:szCs w:val="32"/>
          <w:lang w:val="en-US" w:eastAsia="zh-CN"/>
        </w:rPr>
        <w:t>7.</w:t>
      </w:r>
      <w:r>
        <w:rPr>
          <w:rFonts w:hint="eastAsia" w:ascii="仿宋_GB2312" w:eastAsia="仿宋_GB2312"/>
          <w:b/>
          <w:color w:val="000000"/>
          <w:sz w:val="32"/>
          <w:szCs w:val="32"/>
        </w:rPr>
        <w:t>资金拨付进度过慢</w:t>
      </w:r>
      <w:r>
        <w:rPr>
          <w:rFonts w:hint="eastAsia" w:ascii="仿宋_GB2312" w:eastAsia="仿宋_GB2312"/>
          <w:b/>
          <w:color w:val="000000"/>
          <w:sz w:val="32"/>
          <w:szCs w:val="32"/>
          <w:lang w:eastAsia="zh-CN"/>
        </w:rPr>
        <w:t>。</w:t>
      </w:r>
      <w:r>
        <w:rPr>
          <w:rFonts w:hint="eastAsia" w:ascii="仿宋_GB2312" w:eastAsia="仿宋_GB2312"/>
          <w:color w:val="000000"/>
          <w:sz w:val="32"/>
          <w:szCs w:val="32"/>
        </w:rPr>
        <w:t>截至评价日，共拨付施工企业建设资金</w:t>
      </w:r>
      <w:r>
        <w:rPr>
          <w:rFonts w:hint="eastAsia" w:ascii="仿宋_GB2312" w:eastAsia="仿宋_GB2312"/>
          <w:color w:val="000000"/>
          <w:sz w:val="32"/>
          <w:szCs w:val="32"/>
          <w:lang w:val="en-US" w:eastAsia="zh-CN"/>
        </w:rPr>
        <w:t>897.55</w:t>
      </w:r>
      <w:r>
        <w:rPr>
          <w:rFonts w:hint="eastAsia" w:ascii="仿宋_GB2312" w:eastAsia="仿宋_GB2312"/>
          <w:color w:val="000000"/>
          <w:sz w:val="32"/>
          <w:szCs w:val="32"/>
        </w:rPr>
        <w:t>万元，为年度到位资金的</w:t>
      </w:r>
      <w:r>
        <w:rPr>
          <w:rFonts w:hint="eastAsia" w:ascii="仿宋_GB2312" w:eastAsia="仿宋_GB2312"/>
          <w:color w:val="000000"/>
          <w:sz w:val="32"/>
          <w:szCs w:val="32"/>
          <w:lang w:val="en-US" w:eastAsia="zh-CN"/>
        </w:rPr>
        <w:t>26.54</w:t>
      </w:r>
      <w:r>
        <w:rPr>
          <w:rFonts w:hint="eastAsia" w:ascii="仿宋_GB2312" w:eastAsia="仿宋_GB2312"/>
          <w:color w:val="000000"/>
          <w:sz w:val="32"/>
          <w:szCs w:val="32"/>
        </w:rPr>
        <w:t>%</w:t>
      </w:r>
    </w:p>
    <w:p>
      <w:pPr>
        <w:snapToGrid w:val="0"/>
        <w:spacing w:line="600" w:lineRule="exact"/>
        <w:ind w:firstLine="640" w:firstLineChars="200"/>
        <w:rPr>
          <w:rFonts w:eastAsia="黑体"/>
          <w:bCs/>
          <w:color w:val="auto"/>
          <w:sz w:val="32"/>
        </w:rPr>
      </w:pPr>
      <w:r>
        <w:rPr>
          <w:rFonts w:hint="eastAsia" w:eastAsia="黑体"/>
          <w:bCs/>
          <w:color w:val="auto"/>
          <w:sz w:val="32"/>
          <w:lang w:eastAsia="zh-CN"/>
        </w:rPr>
        <w:t>六</w:t>
      </w:r>
      <w:r>
        <w:rPr>
          <w:rFonts w:eastAsia="黑体"/>
          <w:bCs/>
          <w:color w:val="auto"/>
          <w:sz w:val="32"/>
        </w:rPr>
        <w:t>、有关建议</w:t>
      </w:r>
    </w:p>
    <w:p>
      <w:pPr>
        <w:snapToGrid w:val="0"/>
        <w:spacing w:line="600" w:lineRule="exact"/>
        <w:ind w:firstLine="643" w:firstLineChars="200"/>
        <w:rPr>
          <w:rFonts w:hint="eastAsia" w:ascii="仿宋_GB2312" w:eastAsia="仿宋_GB2312"/>
          <w:color w:val="000000"/>
          <w:sz w:val="32"/>
          <w:szCs w:val="32"/>
          <w:lang w:val="en-US" w:eastAsia="zh-CN"/>
        </w:rPr>
      </w:pPr>
      <w:r>
        <w:rPr>
          <w:rFonts w:hint="eastAsia" w:ascii="仿宋_GB2312" w:hAnsi="宋体" w:eastAsia="仿宋_GB2312" w:cs="宋体"/>
          <w:b/>
          <w:color w:val="000000"/>
          <w:kern w:val="0"/>
          <w:sz w:val="32"/>
          <w:szCs w:val="32"/>
          <w:lang w:val="en-US" w:eastAsia="zh-CN" w:bidi="ar-SA"/>
        </w:rPr>
        <w:t>1.完善财务核算。</w:t>
      </w:r>
      <w:r>
        <w:rPr>
          <w:rFonts w:hint="eastAsia" w:ascii="仿宋_GB2312" w:eastAsia="仿宋_GB2312"/>
          <w:color w:val="000000"/>
          <w:sz w:val="32"/>
          <w:szCs w:val="32"/>
          <w:lang w:val="en-US" w:eastAsia="zh-CN"/>
        </w:rPr>
        <w:t>项目资金使用严格按照《</w:t>
      </w:r>
      <w:r>
        <w:rPr>
          <w:rFonts w:hint="eastAsia" w:eastAsia="仿宋_GB2312"/>
          <w:color w:val="auto"/>
          <w:sz w:val="32"/>
          <w:szCs w:val="28"/>
          <w:lang w:val="en-US" w:eastAsia="zh-CN"/>
        </w:rPr>
        <w:t>中央财政城镇保障性安居工程专项资金管理办法</w:t>
      </w:r>
      <w:r>
        <w:rPr>
          <w:rFonts w:hint="eastAsia" w:ascii="仿宋_GB2312" w:eastAsia="仿宋_GB2312"/>
          <w:color w:val="000000"/>
          <w:sz w:val="32"/>
          <w:szCs w:val="32"/>
          <w:lang w:val="en-US" w:eastAsia="zh-CN"/>
        </w:rPr>
        <w:t>》的规定执行。严格控制财政资金使用范围，项目资金支出按照项目内容列支。</w:t>
      </w:r>
    </w:p>
    <w:p>
      <w:pPr>
        <w:snapToGrid w:val="0"/>
        <w:spacing w:line="600" w:lineRule="exact"/>
        <w:ind w:firstLine="643" w:firstLineChars="200"/>
        <w:rPr>
          <w:rFonts w:hint="default" w:ascii="仿宋_GB2312" w:hAnsi="宋体" w:eastAsia="仿宋_GB2312" w:cs="宋体"/>
          <w:b/>
          <w:color w:val="000000"/>
          <w:kern w:val="0"/>
          <w:sz w:val="32"/>
          <w:szCs w:val="32"/>
          <w:lang w:val="en-US" w:eastAsia="zh-CN" w:bidi="ar-SA"/>
        </w:rPr>
      </w:pPr>
      <w:r>
        <w:rPr>
          <w:rFonts w:hint="eastAsia" w:ascii="仿宋_GB2312" w:hAnsi="宋体" w:eastAsia="仿宋_GB2312" w:cs="宋体"/>
          <w:b/>
          <w:color w:val="000000"/>
          <w:kern w:val="0"/>
          <w:sz w:val="32"/>
          <w:szCs w:val="32"/>
          <w:lang w:val="en-US" w:eastAsia="zh-CN" w:bidi="ar-SA"/>
        </w:rPr>
        <w:t>2.加强项目管理。</w:t>
      </w:r>
      <w:r>
        <w:rPr>
          <w:rFonts w:hint="eastAsia" w:eastAsia="仿宋_GB2312"/>
          <w:color w:val="auto"/>
          <w:sz w:val="32"/>
          <w:szCs w:val="28"/>
          <w:lang w:val="en-US" w:eastAsia="zh-CN"/>
        </w:rPr>
        <w:t>加强项目建设管理，严格按照审批内容实施工程，对发生重大变更的，应严格按程序报原批部门审批；加强项目管理，严控制成本。</w:t>
      </w:r>
    </w:p>
    <w:p>
      <w:pPr>
        <w:pStyle w:val="8"/>
        <w:widowControl w:val="0"/>
        <w:snapToGrid w:val="0"/>
        <w:spacing w:before="0" w:beforeAutospacing="0" w:after="0" w:afterAutospacing="0" w:line="600" w:lineRule="exact"/>
        <w:ind w:firstLine="643" w:firstLineChars="200"/>
        <w:jc w:val="both"/>
        <w:rPr>
          <w:rFonts w:hint="eastAsia" w:ascii="仿宋_GB2312" w:eastAsia="仿宋_GB2312"/>
          <w:color w:val="000000"/>
          <w:sz w:val="32"/>
          <w:szCs w:val="32"/>
          <w:lang w:eastAsia="zh-CN"/>
        </w:rPr>
      </w:pPr>
      <w:r>
        <w:rPr>
          <w:rFonts w:hint="eastAsia" w:ascii="仿宋_GB2312" w:hAnsi="宋体" w:eastAsia="仿宋_GB2312" w:cs="宋体"/>
          <w:b/>
          <w:color w:val="000000"/>
          <w:kern w:val="0"/>
          <w:sz w:val="32"/>
          <w:szCs w:val="32"/>
          <w:lang w:val="en-US" w:eastAsia="zh-CN" w:bidi="ar-SA"/>
        </w:rPr>
        <w:t>3.加大工程收尾力度。</w:t>
      </w:r>
      <w:r>
        <w:rPr>
          <w:rFonts w:hint="eastAsia" w:ascii="仿宋_GB2312" w:eastAsia="仿宋_GB2312"/>
          <w:color w:val="000000"/>
          <w:sz w:val="32"/>
          <w:szCs w:val="32"/>
        </w:rPr>
        <w:t>加大施工进度督察力度，及时开展完工工程验收及工程资金拨付，避免影响2021年度老旧小区改造</w:t>
      </w:r>
      <w:r>
        <w:rPr>
          <w:rFonts w:hint="eastAsia" w:ascii="仿宋_GB2312" w:eastAsia="仿宋_GB2312"/>
          <w:color w:val="000000"/>
          <w:sz w:val="32"/>
          <w:szCs w:val="32"/>
          <w:lang w:eastAsia="zh-CN"/>
        </w:rPr>
        <w:t>。</w:t>
      </w:r>
    </w:p>
    <w:p>
      <w:pPr>
        <w:pStyle w:val="8"/>
        <w:widowControl w:val="0"/>
        <w:snapToGrid w:val="0"/>
        <w:spacing w:before="0" w:beforeAutospacing="0" w:after="0" w:afterAutospacing="0" w:line="600" w:lineRule="exact"/>
        <w:ind w:firstLine="643" w:firstLineChars="200"/>
        <w:jc w:val="both"/>
        <w:rPr>
          <w:rFonts w:hint="eastAsia" w:ascii="仿宋_GB2312" w:eastAsia="仿宋_GB2312"/>
          <w:bCs/>
          <w:color w:val="333333"/>
          <w:sz w:val="32"/>
          <w:szCs w:val="32"/>
        </w:rPr>
      </w:pPr>
      <w:r>
        <w:rPr>
          <w:rFonts w:hint="eastAsia" w:ascii="仿宋_GB2312" w:eastAsia="仿宋_GB2312" w:cs="宋体"/>
          <w:b/>
          <w:color w:val="000000"/>
          <w:kern w:val="0"/>
          <w:sz w:val="32"/>
          <w:szCs w:val="32"/>
          <w:lang w:val="en-US" w:eastAsia="zh-CN" w:bidi="ar-SA"/>
        </w:rPr>
        <w:t>4</w:t>
      </w:r>
      <w:r>
        <w:rPr>
          <w:rFonts w:hint="eastAsia" w:ascii="仿宋_GB2312" w:hAnsi="宋体" w:eastAsia="仿宋_GB2312" w:cs="宋体"/>
          <w:b/>
          <w:color w:val="000000"/>
          <w:kern w:val="0"/>
          <w:sz w:val="32"/>
          <w:szCs w:val="32"/>
          <w:lang w:val="en-US" w:eastAsia="zh-CN" w:bidi="ar-SA"/>
        </w:rPr>
        <w:t>.建立老旧小区改造联动机制。</w:t>
      </w:r>
      <w:r>
        <w:rPr>
          <w:rFonts w:hint="eastAsia" w:ascii="仿宋_GB2312" w:eastAsia="仿宋_GB2312"/>
          <w:bCs/>
          <w:color w:val="333333"/>
          <w:sz w:val="32"/>
          <w:szCs w:val="32"/>
        </w:rPr>
        <w:t>做好规划引领，实行相邻小区及周边地区</w:t>
      </w:r>
      <w:r>
        <w:rPr>
          <w:rFonts w:hint="eastAsia" w:ascii="仿宋_GB2312" w:hAnsi="Arial" w:eastAsia="仿宋_GB2312" w:cs="Arial"/>
          <w:bCs/>
          <w:color w:val="333333"/>
          <w:sz w:val="32"/>
          <w:szCs w:val="32"/>
          <w:shd w:val="clear" w:color="auto" w:fill="FFFFFF"/>
        </w:rPr>
        <w:t>成街连片整体改造，</w:t>
      </w:r>
      <w:r>
        <w:rPr>
          <w:rFonts w:hint="eastAsia" w:ascii="仿宋_GB2312" w:eastAsia="仿宋_GB2312"/>
          <w:bCs/>
          <w:color w:val="333333"/>
          <w:sz w:val="32"/>
          <w:szCs w:val="32"/>
        </w:rPr>
        <w:t>实现服务设施、公共空间共建共享</w:t>
      </w:r>
    </w:p>
    <w:p>
      <w:pPr>
        <w:pStyle w:val="8"/>
        <w:widowControl w:val="0"/>
        <w:snapToGrid w:val="0"/>
        <w:spacing w:before="0" w:beforeAutospacing="0" w:after="0" w:afterAutospacing="0" w:line="600" w:lineRule="exact"/>
        <w:ind w:firstLine="643" w:firstLineChars="200"/>
        <w:jc w:val="both"/>
        <w:rPr>
          <w:rFonts w:hint="eastAsia" w:ascii="仿宋_GB2312" w:eastAsia="仿宋_GB2312"/>
          <w:bCs/>
          <w:color w:val="333333"/>
          <w:sz w:val="32"/>
          <w:szCs w:val="32"/>
          <w:lang w:val="en-US" w:eastAsia="zh-CN"/>
        </w:rPr>
      </w:pPr>
      <w:r>
        <w:rPr>
          <w:rFonts w:hint="eastAsia" w:ascii="仿宋_GB2312" w:eastAsia="仿宋_GB2312" w:cs="宋体"/>
          <w:b/>
          <w:color w:val="000000"/>
          <w:kern w:val="0"/>
          <w:sz w:val="32"/>
          <w:szCs w:val="32"/>
          <w:lang w:val="en-US" w:eastAsia="zh-CN" w:bidi="ar-SA"/>
        </w:rPr>
        <w:t>5</w:t>
      </w:r>
      <w:r>
        <w:rPr>
          <w:rFonts w:hint="eastAsia" w:ascii="仿宋_GB2312" w:hAnsi="宋体" w:eastAsia="仿宋_GB2312" w:cs="宋体"/>
          <w:b/>
          <w:color w:val="000000"/>
          <w:kern w:val="0"/>
          <w:sz w:val="32"/>
          <w:szCs w:val="32"/>
          <w:lang w:val="en-US" w:eastAsia="zh-CN" w:bidi="ar-SA"/>
        </w:rPr>
        <w:t>.加快资金拨付进度。</w:t>
      </w:r>
      <w:r>
        <w:rPr>
          <w:rFonts w:hint="eastAsia" w:ascii="仿宋_GB2312" w:eastAsia="仿宋_GB2312"/>
          <w:b w:val="0"/>
          <w:bCs/>
          <w:color w:val="000000"/>
          <w:sz w:val="32"/>
          <w:szCs w:val="32"/>
          <w:lang w:eastAsia="zh-CN"/>
        </w:rPr>
        <w:t>加快项目进度</w:t>
      </w:r>
      <w:r>
        <w:rPr>
          <w:rFonts w:hint="eastAsia" w:ascii="仿宋_GB2312" w:hAnsi="微软雅黑" w:eastAsia="仿宋_GB2312" w:cs="仿宋_GB2312"/>
          <w:b w:val="0"/>
          <w:bCs/>
          <w:color w:val="auto"/>
          <w:kern w:val="2"/>
          <w:sz w:val="32"/>
          <w:szCs w:val="32"/>
          <w:shd w:val="clear" w:color="auto" w:fill="FFFFFF"/>
          <w:lang w:val="en-US" w:eastAsia="zh-CN" w:bidi="ar"/>
        </w:rPr>
        <w:t>完</w:t>
      </w:r>
      <w:r>
        <w:rPr>
          <w:rFonts w:hint="eastAsia" w:ascii="仿宋_GB2312" w:hAnsi="微软雅黑" w:eastAsia="仿宋_GB2312" w:cs="仿宋_GB2312"/>
          <w:color w:val="auto"/>
          <w:kern w:val="2"/>
          <w:sz w:val="32"/>
          <w:szCs w:val="32"/>
          <w:shd w:val="clear" w:color="auto" w:fill="FFFFFF"/>
          <w:lang w:val="en-US" w:eastAsia="zh-CN" w:bidi="ar"/>
        </w:rPr>
        <w:t>成竣工决算审计并经审计部门审定，</w:t>
      </w:r>
      <w:r>
        <w:rPr>
          <w:rFonts w:hint="eastAsia" w:ascii="仿宋_GB2312" w:eastAsia="仿宋_GB2312"/>
          <w:color w:val="000000"/>
          <w:sz w:val="32"/>
          <w:szCs w:val="32"/>
        </w:rPr>
        <w:t>及时按合同及施工进度拨付建设资金</w:t>
      </w:r>
      <w:r>
        <w:rPr>
          <w:rFonts w:hint="eastAsia" w:ascii="仿宋_GB2312" w:eastAsia="仿宋_GB2312"/>
          <w:color w:val="000000"/>
          <w:sz w:val="32"/>
          <w:szCs w:val="32"/>
          <w:lang w:eastAsia="zh-CN"/>
        </w:rPr>
        <w:t>。</w:t>
      </w:r>
    </w:p>
    <w:p>
      <w:pPr>
        <w:pStyle w:val="8"/>
        <w:widowControl w:val="0"/>
        <w:snapToGrid w:val="0"/>
        <w:spacing w:before="0" w:beforeAutospacing="0" w:after="0" w:afterAutospacing="0" w:line="600" w:lineRule="exact"/>
        <w:ind w:firstLine="640" w:firstLineChars="200"/>
        <w:jc w:val="both"/>
        <w:rPr>
          <w:rFonts w:hint="eastAsia" w:ascii="Times New Roman" w:hAnsi="Times New Roman" w:eastAsia="仿宋_GB2312" w:cs="Times New Roman"/>
          <w:color w:val="auto"/>
          <w:kern w:val="2"/>
          <w:sz w:val="32"/>
          <w:szCs w:val="28"/>
          <w:lang w:val="en-US" w:eastAsia="zh-CN" w:bidi="ar-SA"/>
        </w:rPr>
      </w:pPr>
    </w:p>
    <w:p>
      <w:pPr>
        <w:pStyle w:val="8"/>
        <w:widowControl w:val="0"/>
        <w:snapToGrid w:val="0"/>
        <w:spacing w:before="0" w:beforeAutospacing="0" w:after="0" w:afterAutospacing="0" w:line="600" w:lineRule="exact"/>
        <w:ind w:firstLine="640" w:firstLineChars="200"/>
        <w:jc w:val="both"/>
        <w:rPr>
          <w:rFonts w:hint="eastAsia" w:ascii="Times New Roman" w:hAnsi="Times New Roman" w:eastAsia="仿宋_GB2312" w:cs="Times New Roman"/>
          <w:color w:val="auto"/>
          <w:kern w:val="2"/>
          <w:sz w:val="32"/>
          <w:szCs w:val="28"/>
          <w:lang w:val="en-US" w:eastAsia="zh-CN" w:bidi="ar-SA"/>
        </w:rPr>
      </w:pPr>
    </w:p>
    <w:p>
      <w:pPr>
        <w:pStyle w:val="8"/>
        <w:widowControl w:val="0"/>
        <w:snapToGrid w:val="0"/>
        <w:spacing w:before="0" w:beforeAutospacing="0" w:after="0" w:afterAutospacing="0" w:line="600" w:lineRule="exact"/>
        <w:ind w:firstLine="640" w:firstLineChars="200"/>
        <w:jc w:val="both"/>
        <w:rPr>
          <w:rFonts w:hint="eastAsia" w:ascii="Times New Roman" w:hAnsi="Times New Roman" w:eastAsia="仿宋_GB2312" w:cs="Times New Roman"/>
          <w:color w:val="auto"/>
          <w:kern w:val="2"/>
          <w:sz w:val="32"/>
          <w:szCs w:val="28"/>
          <w:lang w:val="en-US" w:eastAsia="zh-CN" w:bidi="ar-SA"/>
        </w:rPr>
        <w:sectPr>
          <w:footerReference r:id="rId3" w:type="default"/>
          <w:pgSz w:w="11905" w:h="16837"/>
          <w:pgMar w:top="1418" w:right="1588" w:bottom="1418" w:left="1588" w:header="720" w:footer="1701" w:gutter="0"/>
          <w:pgBorders>
            <w:top w:val="none" w:sz="0" w:space="0"/>
            <w:left w:val="none" w:sz="0" w:space="0"/>
            <w:bottom w:val="none" w:sz="0" w:space="0"/>
            <w:right w:val="none" w:sz="0" w:space="0"/>
          </w:pgBorders>
          <w:pgNumType w:fmt="numberInDash" w:start="1"/>
          <w:cols w:space="720" w:num="1"/>
          <w:titlePg/>
          <w:docGrid w:linePitch="636" w:charSpace="20838"/>
        </w:sectPr>
      </w:pPr>
    </w:p>
    <w:p>
      <w:pPr>
        <w:pStyle w:val="8"/>
        <w:widowControl w:val="0"/>
        <w:snapToGrid w:val="0"/>
        <w:spacing w:before="0" w:beforeAutospacing="0" w:after="0" w:afterAutospacing="0" w:line="600" w:lineRule="exact"/>
        <w:ind w:firstLine="640" w:firstLineChars="200"/>
        <w:jc w:val="center"/>
        <w:rPr>
          <w:rFonts w:hint="eastAsia" w:ascii="宋体" w:hAnsi="宋体" w:eastAsia="宋体" w:cs="宋体"/>
          <w:i w:val="0"/>
          <w:color w:val="000000"/>
          <w:kern w:val="0"/>
          <w:sz w:val="32"/>
          <w:szCs w:val="32"/>
          <w:u w:val="none"/>
          <w:lang w:val="en-US" w:eastAsia="zh-CN" w:bidi="ar"/>
        </w:rPr>
      </w:pPr>
      <w:r>
        <w:rPr>
          <w:rFonts w:hint="eastAsia" w:ascii="宋体" w:hAnsi="宋体" w:cs="宋体"/>
          <w:i w:val="0"/>
          <w:color w:val="000000"/>
          <w:kern w:val="0"/>
          <w:sz w:val="32"/>
          <w:szCs w:val="32"/>
          <w:u w:val="none"/>
          <w:lang w:val="en-US" w:eastAsia="zh-CN" w:bidi="ar"/>
        </w:rPr>
        <w:t>2020</w:t>
      </w:r>
      <w:r>
        <w:rPr>
          <w:rFonts w:hint="eastAsia" w:ascii="宋体" w:hAnsi="宋体" w:eastAsia="宋体" w:cs="宋体"/>
          <w:i w:val="0"/>
          <w:color w:val="000000"/>
          <w:kern w:val="0"/>
          <w:sz w:val="32"/>
          <w:szCs w:val="32"/>
          <w:u w:val="none"/>
          <w:lang w:val="en-US" w:eastAsia="zh-CN" w:bidi="ar"/>
        </w:rPr>
        <w:t>年度城镇老旧小区改造项目绩效评价指标计分表</w:t>
      </w:r>
    </w:p>
    <w:tbl>
      <w:tblPr>
        <w:tblStyle w:val="9"/>
        <w:tblW w:w="14401" w:type="dxa"/>
        <w:tblInd w:w="96" w:type="dxa"/>
        <w:shd w:val="clear" w:color="auto" w:fill="auto"/>
        <w:tblLayout w:type="fixed"/>
        <w:tblCellMar>
          <w:top w:w="0" w:type="dxa"/>
          <w:left w:w="108" w:type="dxa"/>
          <w:bottom w:w="0" w:type="dxa"/>
          <w:right w:w="108" w:type="dxa"/>
        </w:tblCellMar>
      </w:tblPr>
      <w:tblGrid>
        <w:gridCol w:w="1055"/>
        <w:gridCol w:w="1020"/>
        <w:gridCol w:w="1284"/>
        <w:gridCol w:w="816"/>
        <w:gridCol w:w="4440"/>
        <w:gridCol w:w="5064"/>
        <w:gridCol w:w="722"/>
      </w:tblGrid>
      <w:tr>
        <w:tblPrEx>
          <w:shd w:val="clear" w:color="auto" w:fill="auto"/>
          <w:tblCellMar>
            <w:top w:w="0" w:type="dxa"/>
            <w:left w:w="108" w:type="dxa"/>
            <w:bottom w:w="0" w:type="dxa"/>
            <w:right w:w="108" w:type="dxa"/>
          </w:tblCellMar>
        </w:tblPrEx>
        <w:trPr>
          <w:trHeight w:val="420"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评分要点</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计分</w:t>
            </w:r>
          </w:p>
        </w:tc>
      </w:tr>
      <w:tr>
        <w:tblPrEx>
          <w:shd w:val="clear" w:color="auto" w:fill="auto"/>
          <w:tblCellMar>
            <w:top w:w="0" w:type="dxa"/>
            <w:left w:w="108" w:type="dxa"/>
            <w:bottom w:w="0" w:type="dxa"/>
            <w:right w:w="108" w:type="dxa"/>
          </w:tblCellMar>
        </w:tblPrEx>
        <w:trPr>
          <w:trHeight w:val="1574"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项目决策（20分）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项目申报（7分）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①项目是否按照规定的程序申请设立；②项目是否列入规划或工作计划：③事前是否已经过必要的可行性研究、专家论证、风险评估、集体决策等。</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按照规定的程序设立，计0.4分；②列入部门工作计划，计0.4分；③事前已经过必要的可行性研究、专家论证、风险评估、集体决策等，计0.4分；④符合本市国民经济和社会发展的总体规划，符合专项资金支持的方向、重点和范围，计0.4分。⑤申报前中，经党委会局务集体研究，计0.4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16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将项目绩效目标细化分解为具体的绩效指标；②是否通过清晰、可衡量的指标值予以体现：③是否与项目年度任务数或计划数相对应；④是否与预算确定的项目投资额或资金量相匹配。⑤遵循科学性、重要性、经济性、关联性原则。</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有目标，计1分：②目标明确，细化量化良好，个性指标中量化指标超过3个，计2分，量化指标为2个，计1分，2个以下不计分；③目标与资金匹配良好，逻辑关系明确，计1分；④遵循四个原则，计1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72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资金分配（3分）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分配办法</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①分配办法是否健全、规范；②因素选择是否公平、合理。</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①分配办法健全、规范，计0.5分，1例不符合扣0.1分；②因素选择全面、合理，计0.5分，1例不符合扣0.1分。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分配结果</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实际分配是否符合办法要求，结果是否公平、合理。</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实际分配符合办法要求，结果公平、合理，计1分，1例不符合扣0.1分。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9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结果公示</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①资金分配结果是都在公开渠道进行公示；②公示是否及时，公示期是否达到要求；③公示内容准确；④公示内容完整。</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①资金分配结果在公开渠道进行公示，计0.5分；②公示及时，公示期达到要求，公示内容准确，公示内容完整，得0.5分。否则，酌情扣分。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96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项目管理（40分）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预算执行（4分）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执行进度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预算执行进度=截止预算年度12月底已完成投资的预算项目资金/预算资金*100%</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①11月底下达的、12月底前完成100%，计4分，每下降1%扣0.2分，扣完为止。②12月底前下达的，3月30日前完成100%，计4分，每下降1%扣0.2分，扣完为止。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预算调整（4分）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预算调整率=预算调整金额/年初预算金额的</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预算调整率低于5%得4分，按比例每上升1%扣0.2分。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72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预算结转（3分）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结余结转资金规模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结余结转率=年末结余结转资金金额/年初预算金额</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①结余结转率低于5%，得3分；②高于5%，按比例每上升1%，扣0.2分，扣完为止。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9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组织管理（17分）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①政府采购手续齐全；②应采尽采；③合同规范</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①政府采购手续齐全1分；②应采尽采2分；③合同规范1分，按比例每下降1%扣0.1分；④有不良记录或被投诉属实，本项不得分。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投资评审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①标底评审：②结算评审：③决算评</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①标底评审0.5分：②结算评审3分；③决算评审0.5分，按比例每下降1%扣0.2分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5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①是否制定业务管理的相关制度；②是否制定项目资金管理办法；③相关管理制度是否合法、合规、完整；④是否按项目管理制度执行；⑤是否对分项目进行中期检查与汇报，是否进行项目的跟踪、监督、整改。</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①、②、③、④、⑤各0.8分。否则，酌情扣分。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2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绩效自评</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按要求开展绩效自评工作；②绩效自评报告报送及时；③绩效自评报告的评审等级；④绩效自评报是否完整，数据是否全面、真实、准确，绩效指标是否细化量化和科学合理，绩效自评反映的问题是否具体，意见是否可行。</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评审为优，得5分：评审为良，得4分：评审为中，得2.5分；评审为低，得1分；评审为差，得0分。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13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财务管理（12分）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①资产是否保存完整、使用合规、配置合理；②资产是否处置规范、收入及时上缴。</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产配置合理、保管完整，账实相符的，得1分；②资产有偿使用及处置收入及时足额上缴，得1分；③有明确的资产配置预算入或计划，报批手续完整，得0.5分；④不超资产配置标准，得1分，发现一例超过标准的，本项不得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209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符合国家财经法规和财务管理制度以及有关专项资金管理办法的规定；②资金的支付是否有完整的审批程序和手续；③项目的重大开支是否1经过评估认证；④是否符合项目预算批复或合同规定的用途；⑤是否存在成留、挤占、挪用、虚列支出等情况；⑥是否存在重复申报项目、虚报冒领资金。</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符合国家财经法规和财务管理制度以及有关专项资金管理办法的规定，资金的支付有完整的审批程序和手续，计1分，1例不符合扣0.2分；②项目的重大开支经过评估认证，计1分，1例不符合扣0.2分；③符合车项目预算批复或合同规定的用途，计1分，1例不符合扣0.2分；④不存在截留、挤占领挪用、虚列支出等情况，不存在重复申报项日、虚报冒领资金，计1分，1例不符合全扣；⑤违规情况严重的在总分上加扣10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203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会计信息</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真实性：项目实际发生支出的会计核算是否真实；②完整性：项目资金投入、支出、资产等会计核算资料的完整性；③及时性：各类会计核算资1料提供的及时性，已完成项目是否及时进行决算与审计，项目形成的固定资产是否及时登记入账等情况；④准确性：项目实际发生支出的会计核算是否准确规范。</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实际发生支出的会计核算真实、准确论和规范，计1分，1例不符合扣0.2分；②的项目金投入，支出，产等会计核算资料或的完整性，计分，例不符合扣02分；③各类会计核算资料提供的及时性，已完成|项目及时进行决算与审计，项目形成的固定资产及时登记入账等情况，计1分，1例不|符合扣02分；④往来处理及时，得1分发现3年以上应收款1例倒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shd w:val="clear" w:color="auto" w:fill="auto"/>
          <w:tblCellMar>
            <w:top w:w="0" w:type="dxa"/>
            <w:left w:w="108" w:type="dxa"/>
            <w:bottom w:w="0" w:type="dxa"/>
            <w:right w:w="108" w:type="dxa"/>
          </w:tblCellMar>
        </w:tblPrEx>
        <w:trPr>
          <w:trHeight w:val="1384"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项目产出     （30分）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产出数量（10分）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实际产出数/计划产出数）×100%。实际产出数：一定时期（本年度或项目期）内项目实际产出的产品或提供的服务数量。计划产出：项目绩效目标确定的在一定时期（本年度或项目期）内计划产出的产品或提供的服务数量</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达到100%的，计8分，每下降5%扣1分，扣完为止。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shd w:val="clear" w:color="auto" w:fill="auto"/>
          <w:tblCellMar>
            <w:top w:w="0" w:type="dxa"/>
            <w:left w:w="108" w:type="dxa"/>
            <w:bottom w:w="0" w:type="dxa"/>
            <w:right w:w="108" w:type="dxa"/>
          </w:tblCellMar>
        </w:tblPrEx>
        <w:trPr>
          <w:trHeight w:val="50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产出质量（20分）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项目完成时效性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项目建设内容的质量是否合格</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达到100%的，计10分，每下降5%扣1分，扣完为止。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0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项目实际成本与工作内容的匹配程度及产出成本控制措施的有效性</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实际成本与工作内容基本匹配计5分，匹配程度每下降5%扣1分，扣完为止。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66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项目效果（20分）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项目实施对社会发展所带来的直接或间接影响情况。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项目实施对经济发展所带来的直接或间接影响情况。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项目后续运行及成效发挥的可持续影响情况。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社会公众或服务对象对项目实施效果的满意程度。</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达85%以上得满分，每下降5%扣1分，扣完为止。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426" w:hRule="atLeast"/>
        </w:trPr>
        <w:tc>
          <w:tcPr>
            <w:tcW w:w="2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w:t>
            </w:r>
          </w:p>
        </w:tc>
      </w:tr>
    </w:tbl>
    <w:p>
      <w:pPr>
        <w:pStyle w:val="8"/>
        <w:widowControl w:val="0"/>
        <w:snapToGrid w:val="0"/>
        <w:spacing w:before="0" w:beforeAutospacing="0" w:after="0" w:afterAutospacing="0" w:line="600" w:lineRule="exact"/>
        <w:jc w:val="both"/>
        <w:rPr>
          <w:rFonts w:hint="eastAsia" w:ascii="Times New Roman" w:hAnsi="Times New Roman" w:eastAsia="仿宋_GB2312" w:cs="Times New Roman"/>
          <w:color w:val="auto"/>
          <w:kern w:val="2"/>
          <w:sz w:val="32"/>
          <w:szCs w:val="28"/>
          <w:lang w:val="en-US" w:eastAsia="zh-CN" w:bidi="ar-SA"/>
        </w:rPr>
      </w:pPr>
    </w:p>
    <w:sectPr>
      <w:footerReference r:id="rId5" w:type="first"/>
      <w:footerReference r:id="rId4" w:type="default"/>
      <w:pgSz w:w="16837" w:h="11905" w:orient="landscape"/>
      <w:pgMar w:top="1587" w:right="1418" w:bottom="1587" w:left="1418" w:header="720" w:footer="1701" w:gutter="0"/>
      <w:pgBorders>
        <w:top w:val="none" w:sz="0" w:space="0"/>
        <w:left w:val="none" w:sz="0" w:space="0"/>
        <w:bottom w:val="none" w:sz="0" w:space="0"/>
        <w:right w:val="none" w:sz="0" w:space="0"/>
      </w:pgBorders>
      <w:pgNumType w:fmt="numberInDash"/>
      <w:cols w:space="0" w:num="1"/>
      <w:titlePg/>
      <w:rtlGutter w:val="0"/>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7D987A"/>
    <w:multiLevelType w:val="singleLevel"/>
    <w:tmpl w:val="B77D987A"/>
    <w:lvl w:ilvl="0" w:tentative="0">
      <w:start w:val="4"/>
      <w:numFmt w:val="chineseCounting"/>
      <w:suff w:val="nothing"/>
      <w:lvlText w:val="%1、"/>
      <w:lvlJc w:val="left"/>
      <w:rPr>
        <w:rFonts w:hint="eastAsia"/>
      </w:rPr>
    </w:lvl>
  </w:abstractNum>
  <w:abstractNum w:abstractNumId="1">
    <w:nsid w:val="F5DB7E1F"/>
    <w:multiLevelType w:val="singleLevel"/>
    <w:tmpl w:val="F5DB7E1F"/>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A4F"/>
    <w:rsid w:val="0005666E"/>
    <w:rsid w:val="00072F6E"/>
    <w:rsid w:val="00090961"/>
    <w:rsid w:val="000B2023"/>
    <w:rsid w:val="000B5652"/>
    <w:rsid w:val="000F6AC6"/>
    <w:rsid w:val="0012260D"/>
    <w:rsid w:val="001255D3"/>
    <w:rsid w:val="00130FD0"/>
    <w:rsid w:val="0016358A"/>
    <w:rsid w:val="001964C7"/>
    <w:rsid w:val="001C2944"/>
    <w:rsid w:val="001C5BFA"/>
    <w:rsid w:val="00211E67"/>
    <w:rsid w:val="00213606"/>
    <w:rsid w:val="00215BB0"/>
    <w:rsid w:val="00216881"/>
    <w:rsid w:val="00282F2A"/>
    <w:rsid w:val="002B3C42"/>
    <w:rsid w:val="002E5284"/>
    <w:rsid w:val="002F204F"/>
    <w:rsid w:val="0032232F"/>
    <w:rsid w:val="00350B45"/>
    <w:rsid w:val="00376ADD"/>
    <w:rsid w:val="00397920"/>
    <w:rsid w:val="003A35D5"/>
    <w:rsid w:val="00416329"/>
    <w:rsid w:val="00430447"/>
    <w:rsid w:val="004351AB"/>
    <w:rsid w:val="00446A96"/>
    <w:rsid w:val="00463D86"/>
    <w:rsid w:val="004649C2"/>
    <w:rsid w:val="004D1C2E"/>
    <w:rsid w:val="0050257A"/>
    <w:rsid w:val="005713F7"/>
    <w:rsid w:val="005A685D"/>
    <w:rsid w:val="005B5E48"/>
    <w:rsid w:val="00606D0F"/>
    <w:rsid w:val="006118DC"/>
    <w:rsid w:val="006618D2"/>
    <w:rsid w:val="006814E0"/>
    <w:rsid w:val="0070055B"/>
    <w:rsid w:val="007420AB"/>
    <w:rsid w:val="007905EB"/>
    <w:rsid w:val="007A5691"/>
    <w:rsid w:val="007A79D3"/>
    <w:rsid w:val="007B3586"/>
    <w:rsid w:val="007D1112"/>
    <w:rsid w:val="007D294F"/>
    <w:rsid w:val="007F384D"/>
    <w:rsid w:val="00800821"/>
    <w:rsid w:val="00806F46"/>
    <w:rsid w:val="008410C2"/>
    <w:rsid w:val="00884359"/>
    <w:rsid w:val="008B6614"/>
    <w:rsid w:val="008D5E16"/>
    <w:rsid w:val="00A33E94"/>
    <w:rsid w:val="00A3691C"/>
    <w:rsid w:val="00A60F19"/>
    <w:rsid w:val="00A70B95"/>
    <w:rsid w:val="00A72832"/>
    <w:rsid w:val="00AA4080"/>
    <w:rsid w:val="00AB346F"/>
    <w:rsid w:val="00AC1446"/>
    <w:rsid w:val="00AC4F72"/>
    <w:rsid w:val="00AD4967"/>
    <w:rsid w:val="00AF2A1B"/>
    <w:rsid w:val="00B11908"/>
    <w:rsid w:val="00B9578C"/>
    <w:rsid w:val="00BC5002"/>
    <w:rsid w:val="00BE0537"/>
    <w:rsid w:val="00C10BB9"/>
    <w:rsid w:val="00C55204"/>
    <w:rsid w:val="00C93BD6"/>
    <w:rsid w:val="00CB10B6"/>
    <w:rsid w:val="00D22D74"/>
    <w:rsid w:val="00D571CF"/>
    <w:rsid w:val="00D725E8"/>
    <w:rsid w:val="00D9050F"/>
    <w:rsid w:val="00DD1D33"/>
    <w:rsid w:val="00DD3D20"/>
    <w:rsid w:val="00DF5A01"/>
    <w:rsid w:val="00E25540"/>
    <w:rsid w:val="00E353BB"/>
    <w:rsid w:val="00E649F5"/>
    <w:rsid w:val="00EF4F83"/>
    <w:rsid w:val="00F25D30"/>
    <w:rsid w:val="00F25E17"/>
    <w:rsid w:val="00F37E71"/>
    <w:rsid w:val="00F47E9E"/>
    <w:rsid w:val="00F55464"/>
    <w:rsid w:val="00F97DF7"/>
    <w:rsid w:val="00FB3F1F"/>
    <w:rsid w:val="00FC5366"/>
    <w:rsid w:val="00FD53FE"/>
    <w:rsid w:val="01950D71"/>
    <w:rsid w:val="039B4B56"/>
    <w:rsid w:val="05365C01"/>
    <w:rsid w:val="064D15C2"/>
    <w:rsid w:val="06CD0C8E"/>
    <w:rsid w:val="081C04E7"/>
    <w:rsid w:val="090947CC"/>
    <w:rsid w:val="09E31FEC"/>
    <w:rsid w:val="0B082A86"/>
    <w:rsid w:val="0C835F2D"/>
    <w:rsid w:val="0D0B5453"/>
    <w:rsid w:val="0E6E3B5B"/>
    <w:rsid w:val="11766EB1"/>
    <w:rsid w:val="15201E8D"/>
    <w:rsid w:val="1627416B"/>
    <w:rsid w:val="1A8C1080"/>
    <w:rsid w:val="1A9421A0"/>
    <w:rsid w:val="1AF03CB1"/>
    <w:rsid w:val="1BD11DD0"/>
    <w:rsid w:val="22D84DCD"/>
    <w:rsid w:val="259713E2"/>
    <w:rsid w:val="26D51455"/>
    <w:rsid w:val="26F625AE"/>
    <w:rsid w:val="274855DB"/>
    <w:rsid w:val="2B7046A0"/>
    <w:rsid w:val="2B983633"/>
    <w:rsid w:val="2DA707C4"/>
    <w:rsid w:val="2F696D62"/>
    <w:rsid w:val="2FE35CC5"/>
    <w:rsid w:val="318D3AB5"/>
    <w:rsid w:val="32287C50"/>
    <w:rsid w:val="32FA68E8"/>
    <w:rsid w:val="34BF7E2B"/>
    <w:rsid w:val="34D2562A"/>
    <w:rsid w:val="35502267"/>
    <w:rsid w:val="36D63F7F"/>
    <w:rsid w:val="379924DE"/>
    <w:rsid w:val="384B5888"/>
    <w:rsid w:val="3A740D8E"/>
    <w:rsid w:val="3C3101F1"/>
    <w:rsid w:val="3EE0133F"/>
    <w:rsid w:val="3F045013"/>
    <w:rsid w:val="40480B80"/>
    <w:rsid w:val="46787771"/>
    <w:rsid w:val="469F3FCF"/>
    <w:rsid w:val="474C76B5"/>
    <w:rsid w:val="487A5598"/>
    <w:rsid w:val="499E56A8"/>
    <w:rsid w:val="4CD23C1F"/>
    <w:rsid w:val="4EC536F3"/>
    <w:rsid w:val="507204EE"/>
    <w:rsid w:val="50C45B6C"/>
    <w:rsid w:val="5132574A"/>
    <w:rsid w:val="539C59FF"/>
    <w:rsid w:val="544F1D76"/>
    <w:rsid w:val="54B07031"/>
    <w:rsid w:val="55E53BAE"/>
    <w:rsid w:val="570B4ABF"/>
    <w:rsid w:val="574B467E"/>
    <w:rsid w:val="58094559"/>
    <w:rsid w:val="58C33216"/>
    <w:rsid w:val="58DE61E2"/>
    <w:rsid w:val="59722975"/>
    <w:rsid w:val="5A331E92"/>
    <w:rsid w:val="5A9C1EE7"/>
    <w:rsid w:val="5BDC2B66"/>
    <w:rsid w:val="5E203EBD"/>
    <w:rsid w:val="60126B58"/>
    <w:rsid w:val="607871C1"/>
    <w:rsid w:val="60A70D77"/>
    <w:rsid w:val="623861A9"/>
    <w:rsid w:val="65325260"/>
    <w:rsid w:val="65551596"/>
    <w:rsid w:val="65F648B2"/>
    <w:rsid w:val="67AC1B7A"/>
    <w:rsid w:val="718A0165"/>
    <w:rsid w:val="738C100A"/>
    <w:rsid w:val="75AA6F0F"/>
    <w:rsid w:val="794628B9"/>
    <w:rsid w:val="7961697C"/>
    <w:rsid w:val="7D463756"/>
    <w:rsid w:val="7D522BB8"/>
    <w:rsid w:val="7E3A5395"/>
    <w:rsid w:val="7F3D46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libri" w:hAnsi="Calibri" w:eastAsia="黑体"/>
      <w:b/>
      <w:bCs/>
      <w:sz w:val="32"/>
      <w:szCs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sz w:val="24"/>
      <w:szCs w:val="24"/>
      <w:vertAlign w:val="baseline"/>
    </w:rPr>
  </w:style>
  <w:style w:type="character" w:styleId="13">
    <w:name w:val="page number"/>
    <w:basedOn w:val="11"/>
    <w:qFormat/>
    <w:uiPriority w:val="0"/>
  </w:style>
  <w:style w:type="character" w:styleId="14">
    <w:name w:val="FollowedHyperlink"/>
    <w:basedOn w:val="11"/>
    <w:qFormat/>
    <w:uiPriority w:val="0"/>
    <w:rPr>
      <w:color w:val="007BC4"/>
      <w:sz w:val="24"/>
      <w:szCs w:val="24"/>
      <w:u w:val="none"/>
      <w:vertAlign w:val="baseline"/>
    </w:rPr>
  </w:style>
  <w:style w:type="character" w:styleId="15">
    <w:name w:val="Emphasis"/>
    <w:basedOn w:val="11"/>
    <w:qFormat/>
    <w:uiPriority w:val="0"/>
    <w:rPr>
      <w:i/>
      <w:sz w:val="24"/>
      <w:szCs w:val="24"/>
      <w:vertAlign w:val="baseline"/>
    </w:rPr>
  </w:style>
  <w:style w:type="character" w:styleId="16">
    <w:name w:val="HTML Definition"/>
    <w:basedOn w:val="11"/>
    <w:qFormat/>
    <w:uiPriority w:val="0"/>
  </w:style>
  <w:style w:type="character" w:styleId="17">
    <w:name w:val="HTML Acronym"/>
    <w:basedOn w:val="11"/>
    <w:qFormat/>
    <w:uiPriority w:val="0"/>
  </w:style>
  <w:style w:type="character" w:styleId="18">
    <w:name w:val="HTML Variable"/>
    <w:basedOn w:val="11"/>
    <w:qFormat/>
    <w:uiPriority w:val="0"/>
  </w:style>
  <w:style w:type="character" w:styleId="19">
    <w:name w:val="Hyperlink"/>
    <w:basedOn w:val="11"/>
    <w:qFormat/>
    <w:uiPriority w:val="0"/>
    <w:rPr>
      <w:color w:val="007BC4"/>
      <w:sz w:val="24"/>
      <w:szCs w:val="24"/>
      <w:u w:val="none"/>
      <w:vertAlign w:val="baseline"/>
    </w:rPr>
  </w:style>
  <w:style w:type="character" w:styleId="20">
    <w:name w:val="HTML Code"/>
    <w:basedOn w:val="11"/>
    <w:qFormat/>
    <w:uiPriority w:val="0"/>
    <w:rPr>
      <w:rFonts w:ascii="Courier New" w:hAnsi="Courier New"/>
      <w:sz w:val="24"/>
      <w:szCs w:val="24"/>
      <w:vertAlign w:val="baseline"/>
    </w:rPr>
  </w:style>
  <w:style w:type="character" w:styleId="21">
    <w:name w:val="HTML Cite"/>
    <w:basedOn w:val="11"/>
    <w:qFormat/>
    <w:uiPriority w:val="0"/>
  </w:style>
  <w:style w:type="paragraph" w:customStyle="1" w:styleId="22">
    <w:name w:val="表格内容"/>
    <w:basedOn w:val="3"/>
    <w:qFormat/>
    <w:uiPriority w:val="0"/>
    <w:pPr>
      <w:suppressLineNumbers/>
      <w:suppressAutoHyphens/>
      <w:jc w:val="left"/>
    </w:pPr>
    <w:rPr>
      <w:rFonts w:cs="Tahoma"/>
      <w:kern w:val="0"/>
      <w:sz w:val="24"/>
    </w:rPr>
  </w:style>
  <w:style w:type="character" w:customStyle="1" w:styleId="23">
    <w:name w:val="prev_disabled"/>
    <w:basedOn w:val="11"/>
    <w:qFormat/>
    <w:uiPriority w:val="0"/>
    <w:rPr>
      <w:rFonts w:ascii="宋体" w:hAnsi="宋体" w:eastAsia="宋体" w:cs="宋体"/>
      <w:b/>
      <w:color w:val="CCCCCC"/>
      <w:u w:val="none"/>
      <w:bdr w:val="single" w:color="EDEDED" w:sz="6" w:space="0"/>
    </w:rPr>
  </w:style>
  <w:style w:type="character" w:customStyle="1" w:styleId="24">
    <w:name w:val="current"/>
    <w:basedOn w:val="11"/>
    <w:qFormat/>
    <w:uiPriority w:val="0"/>
    <w:rPr>
      <w:b/>
      <w:color w:val="FFFFFF"/>
      <w:shd w:val="clear" w:color="auto" w:fill="2A5DBB"/>
    </w:rPr>
  </w:style>
  <w:style w:type="character" w:customStyle="1" w:styleId="25">
    <w:name w:val="wx-space"/>
    <w:basedOn w:val="11"/>
    <w:qFormat/>
    <w:uiPriority w:val="0"/>
  </w:style>
  <w:style w:type="character" w:customStyle="1" w:styleId="26">
    <w:name w:val="wx-space1"/>
    <w:basedOn w:val="11"/>
    <w:qFormat/>
    <w:uiPriority w:val="0"/>
  </w:style>
  <w:style w:type="character" w:customStyle="1" w:styleId="27">
    <w:name w:val="hover"/>
    <w:basedOn w:val="11"/>
    <w:qFormat/>
    <w:uiPriority w:val="0"/>
    <w:rPr>
      <w:color w:val="000000"/>
      <w:shd w:val="clear" w:fill="FFFFFF"/>
    </w:rPr>
  </w:style>
  <w:style w:type="character" w:customStyle="1" w:styleId="28">
    <w:name w:val="active1"/>
    <w:basedOn w:val="11"/>
    <w:qFormat/>
    <w:uiPriority w:val="0"/>
  </w:style>
  <w:style w:type="character" w:customStyle="1" w:styleId="29">
    <w:name w:val="font61"/>
    <w:basedOn w:val="11"/>
    <w:qFormat/>
    <w:uiPriority w:val="0"/>
    <w:rPr>
      <w:rFonts w:hint="eastAsia" w:ascii="宋体" w:hAnsi="宋体" w:eastAsia="宋体" w:cs="宋体"/>
      <w:color w:val="000000"/>
      <w:sz w:val="20"/>
      <w:szCs w:val="20"/>
      <w:u w:val="none"/>
    </w:rPr>
  </w:style>
  <w:style w:type="character" w:customStyle="1" w:styleId="30">
    <w:name w:val="font2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945</Words>
  <Characters>5392</Characters>
  <Lines>44</Lines>
  <Paragraphs>12</Paragraphs>
  <TotalTime>2</TotalTime>
  <ScaleCrop>false</ScaleCrop>
  <LinksUpToDate>false</LinksUpToDate>
  <CharactersWithSpaces>6325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2017-04-19T03:10:00Z</dcterms:created>
  <dc:creator>Administrator</dc:creator>
  <cp:lastModifiedBy>LENOVO</cp:lastModifiedBy>
  <cp:lastPrinted>2020-04-21T08:14:00Z</cp:lastPrinted>
  <dcterms:modified xsi:type="dcterms:W3CDTF">2021-12-08T16:00:18Z</dcterms:modified>
  <dc:title>湖南省财政厅发文（指标、函）稿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1357827D5CB14FFF85BFE54EEE78E19C</vt:lpwstr>
  </property>
</Properties>
</file>