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ind w:right="640"/>
        <w:jc w:val="center"/>
        <w:rPr>
          <w:rFonts w:hint="eastAsia" w:ascii="方正小标宋_GBK" w:eastAsia="方正小标宋_GBK"/>
          <w:color w:val="auto"/>
          <w:sz w:val="36"/>
          <w:szCs w:val="36"/>
          <w:lang w:eastAsia="zh-CN"/>
        </w:rPr>
      </w:pPr>
    </w:p>
    <w:p>
      <w:pPr>
        <w:spacing w:line="640" w:lineRule="exact"/>
        <w:ind w:right="640"/>
        <w:jc w:val="center"/>
        <w:rPr>
          <w:rFonts w:hint="eastAsia" w:ascii="方正小标宋_GBK" w:eastAsia="方正小标宋_GBK"/>
          <w:color w:val="auto"/>
          <w:sz w:val="36"/>
          <w:szCs w:val="36"/>
          <w:lang w:eastAsia="zh-CN"/>
        </w:rPr>
      </w:pPr>
    </w:p>
    <w:p>
      <w:pPr>
        <w:spacing w:line="640" w:lineRule="exact"/>
        <w:ind w:right="640"/>
        <w:jc w:val="center"/>
        <w:rPr>
          <w:rFonts w:hint="eastAsia" w:ascii="方正小标宋_GBK" w:eastAsia="方正小标宋_GBK"/>
          <w:color w:val="auto"/>
          <w:sz w:val="36"/>
          <w:szCs w:val="36"/>
          <w:lang w:eastAsia="zh-CN"/>
        </w:rPr>
      </w:pPr>
    </w:p>
    <w:p>
      <w:pPr>
        <w:spacing w:line="640" w:lineRule="exact"/>
        <w:ind w:right="640"/>
        <w:jc w:val="center"/>
        <w:rPr>
          <w:rFonts w:hint="eastAsia" w:ascii="方正小标宋_GBK" w:eastAsia="方正小标宋_GBK"/>
          <w:color w:val="auto"/>
          <w:sz w:val="36"/>
          <w:szCs w:val="36"/>
        </w:rPr>
      </w:pPr>
      <w:r>
        <w:rPr>
          <w:rFonts w:hint="eastAsia" w:ascii="方正小标宋_GBK" w:eastAsia="方正小标宋_GBK"/>
          <w:color w:val="auto"/>
          <w:sz w:val="36"/>
          <w:szCs w:val="36"/>
          <w:lang w:eastAsia="zh-CN"/>
        </w:rPr>
        <w:t>益阳市赫山区</w:t>
      </w:r>
      <w:r>
        <w:rPr>
          <w:rFonts w:hint="eastAsia" w:ascii="方正小标宋_GBK" w:eastAsia="方正小标宋_GBK"/>
          <w:color w:val="auto"/>
          <w:sz w:val="36"/>
          <w:szCs w:val="36"/>
          <w:lang w:val="en-US" w:eastAsia="zh-CN"/>
        </w:rPr>
        <w:t>2020</w:t>
      </w:r>
      <w:r>
        <w:rPr>
          <w:rFonts w:hint="eastAsia" w:ascii="方正小标宋_GBK" w:eastAsia="方正小标宋_GBK"/>
          <w:color w:val="auto"/>
          <w:sz w:val="36"/>
          <w:szCs w:val="36"/>
        </w:rPr>
        <w:t>年</w:t>
      </w:r>
      <w:r>
        <w:rPr>
          <w:rFonts w:hint="eastAsia" w:ascii="方正小标宋_GBK" w:eastAsia="方正小标宋_GBK"/>
          <w:color w:val="auto"/>
          <w:sz w:val="36"/>
          <w:szCs w:val="36"/>
          <w:lang w:eastAsia="zh-CN"/>
        </w:rPr>
        <w:t>政府购买服务</w:t>
      </w:r>
      <w:r>
        <w:rPr>
          <w:rFonts w:hint="eastAsia" w:ascii="方正小标宋_GBK" w:eastAsia="方正小标宋_GBK"/>
          <w:color w:val="auto"/>
          <w:sz w:val="36"/>
          <w:szCs w:val="36"/>
        </w:rPr>
        <w:t>专项资金绩效评价报告</w:t>
      </w:r>
    </w:p>
    <w:p>
      <w:pPr>
        <w:spacing w:line="240" w:lineRule="exact"/>
        <w:ind w:left="1722" w:leftChars="820" w:right="641" w:firstLine="882" w:firstLineChars="245"/>
        <w:jc w:val="center"/>
        <w:rPr>
          <w:rFonts w:hint="eastAsia" w:ascii="方正小标宋_GBK" w:eastAsia="方正小标宋_GBK"/>
          <w:color w:val="auto"/>
          <w:sz w:val="36"/>
          <w:szCs w:val="36"/>
        </w:rPr>
      </w:pPr>
    </w:p>
    <w:p>
      <w:pPr>
        <w:snapToGrid w:val="0"/>
        <w:spacing w:line="360" w:lineRule="auto"/>
        <w:jc w:val="center"/>
        <w:rPr>
          <w:rFonts w:hint="eastAsia" w:eastAsia="楷体_GB2312"/>
          <w:color w:val="auto"/>
          <w:sz w:val="32"/>
          <w:szCs w:val="28"/>
          <w:lang w:eastAsia="zh-CN"/>
        </w:rPr>
      </w:pPr>
      <w:r>
        <w:rPr>
          <w:rFonts w:hint="eastAsia" w:eastAsia="楷体_GB2312"/>
          <w:color w:val="auto"/>
          <w:sz w:val="32"/>
          <w:szCs w:val="28"/>
          <w:lang w:eastAsia="zh-CN"/>
        </w:rPr>
        <w:t>湖南鹏程会计师事务所有限公司</w:t>
      </w:r>
    </w:p>
    <w:p>
      <w:pPr>
        <w:snapToGrid w:val="0"/>
        <w:spacing w:line="360" w:lineRule="auto"/>
        <w:jc w:val="center"/>
        <w:rPr>
          <w:rFonts w:hint="eastAsia" w:eastAsia="楷体_GB2312"/>
          <w:color w:val="auto"/>
          <w:sz w:val="32"/>
          <w:szCs w:val="28"/>
        </w:rPr>
      </w:pPr>
      <w:r>
        <w:rPr>
          <w:rFonts w:hint="eastAsia" w:eastAsia="楷体_GB2312"/>
          <w:color w:val="auto"/>
          <w:sz w:val="32"/>
          <w:szCs w:val="28"/>
          <w:lang w:eastAsia="zh-CN"/>
        </w:rPr>
        <w:t>（</w:t>
      </w:r>
      <w:r>
        <w:rPr>
          <w:rFonts w:hint="eastAsia" w:eastAsia="楷体_GB2312"/>
          <w:color w:val="auto"/>
          <w:sz w:val="32"/>
          <w:szCs w:val="28"/>
        </w:rPr>
        <w:t>20</w:t>
      </w:r>
      <w:r>
        <w:rPr>
          <w:rFonts w:hint="eastAsia" w:eastAsia="楷体_GB2312"/>
          <w:color w:val="auto"/>
          <w:sz w:val="32"/>
          <w:szCs w:val="28"/>
          <w:lang w:val="en-US" w:eastAsia="zh-CN"/>
        </w:rPr>
        <w:t>21</w:t>
      </w:r>
      <w:r>
        <w:rPr>
          <w:rFonts w:hint="eastAsia" w:eastAsia="楷体_GB2312"/>
          <w:color w:val="auto"/>
          <w:sz w:val="32"/>
          <w:szCs w:val="28"/>
        </w:rPr>
        <w:t>年</w:t>
      </w:r>
      <w:r>
        <w:rPr>
          <w:rFonts w:hint="eastAsia" w:eastAsia="楷体_GB2312"/>
          <w:color w:val="auto"/>
          <w:sz w:val="32"/>
          <w:szCs w:val="28"/>
          <w:lang w:val="en-US" w:eastAsia="zh-CN"/>
        </w:rPr>
        <w:t>10</w:t>
      </w:r>
      <w:r>
        <w:rPr>
          <w:rFonts w:hint="eastAsia" w:eastAsia="楷体_GB2312"/>
          <w:color w:val="auto"/>
          <w:sz w:val="32"/>
          <w:szCs w:val="28"/>
        </w:rPr>
        <w:t>月</w:t>
      </w:r>
      <w:r>
        <w:rPr>
          <w:rFonts w:hint="eastAsia" w:eastAsia="楷体_GB2312"/>
          <w:color w:val="auto"/>
          <w:sz w:val="32"/>
          <w:szCs w:val="28"/>
          <w:lang w:eastAsia="zh-CN"/>
        </w:rPr>
        <w:t>）</w:t>
      </w:r>
    </w:p>
    <w:p>
      <w:pPr>
        <w:snapToGrid w:val="0"/>
        <w:spacing w:line="600" w:lineRule="exact"/>
        <w:ind w:firstLine="640" w:firstLineChars="200"/>
        <w:rPr>
          <w:rFonts w:eastAsia="楷体_GB2312"/>
          <w:color w:val="auto"/>
          <w:sz w:val="32"/>
          <w:szCs w:val="28"/>
        </w:rPr>
      </w:pPr>
    </w:p>
    <w:p>
      <w:pPr>
        <w:snapToGrid w:val="0"/>
        <w:spacing w:line="600" w:lineRule="exact"/>
        <w:ind w:firstLine="640" w:firstLineChars="200"/>
        <w:rPr>
          <w:rFonts w:eastAsia="仿宋_GB2312"/>
          <w:color w:val="auto"/>
          <w:sz w:val="32"/>
          <w:szCs w:val="28"/>
        </w:rPr>
      </w:pPr>
      <w:r>
        <w:rPr>
          <w:rFonts w:eastAsia="仿宋_GB2312"/>
          <w:color w:val="auto"/>
          <w:sz w:val="32"/>
          <w:szCs w:val="28"/>
        </w:rPr>
        <w:t>为了对</w:t>
      </w:r>
      <w:r>
        <w:rPr>
          <w:rFonts w:hint="eastAsia" w:eastAsia="仿宋_GB2312"/>
          <w:color w:val="auto"/>
          <w:sz w:val="32"/>
          <w:szCs w:val="28"/>
        </w:rPr>
        <w:t>2020年政府购买服务项目</w:t>
      </w:r>
      <w:r>
        <w:rPr>
          <w:rFonts w:eastAsia="仿宋_GB2312"/>
          <w:color w:val="auto"/>
          <w:sz w:val="32"/>
          <w:szCs w:val="28"/>
        </w:rPr>
        <w:t>专</w:t>
      </w:r>
      <w:r>
        <w:rPr>
          <w:rFonts w:hint="eastAsia" w:ascii="仿宋_GB2312" w:hAnsi="仿宋_GB2312" w:eastAsia="仿宋_GB2312" w:cs="仿宋_GB2312"/>
          <w:color w:val="auto"/>
          <w:sz w:val="32"/>
          <w:szCs w:val="28"/>
        </w:rPr>
        <w:t>项资金的</w:t>
      </w:r>
      <w:r>
        <w:rPr>
          <w:rFonts w:eastAsia="仿宋_GB2312"/>
          <w:color w:val="auto"/>
          <w:sz w:val="32"/>
          <w:szCs w:val="28"/>
        </w:rPr>
        <w:t>管理、使用及效益情况进行全面的了解和评价，根据</w:t>
      </w:r>
      <w:r>
        <w:rPr>
          <w:rFonts w:hint="eastAsia" w:ascii="仿宋_GB2312" w:hAnsi="仿宋_GB2312" w:eastAsia="仿宋_GB2312" w:cs="仿宋_GB2312"/>
          <w:color w:val="000000" w:themeColor="text1"/>
          <w:sz w:val="28"/>
          <w:szCs w:val="28"/>
          <w:shd w:val="clear" w:color="auto" w:fill="FFFFFF"/>
          <w14:textFill>
            <w14:solidFill>
              <w14:schemeClr w14:val="tx1"/>
            </w14:solidFill>
          </w14:textFill>
        </w:rPr>
        <w:t>《</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中共中央 国务院关于全面实施预算绩效管理的</w:t>
      </w:r>
      <w:r>
        <w:rPr>
          <w:rFonts w:hint="eastAsia" w:ascii="仿宋_GB2312" w:eastAsia="仿宋_GB2312"/>
          <w:color w:val="000000" w:themeColor="text1"/>
          <w:sz w:val="32"/>
          <w:szCs w:val="32"/>
          <w14:textFill>
            <w14:solidFill>
              <w14:schemeClr w14:val="tx1"/>
            </w14:solidFill>
          </w14:textFill>
        </w:rPr>
        <w:t>意见》 （中发〔2018〕34号）、《中共湖南省委办公厅  湖南省人民政府办公厅关于全面实施预算绩效管理的实施意见》（湘办发〔2019〕10号）、《益阳市财政局关于转发〈湖南省预算绩效管理工作规程（试行）〉的通知》（益财绩〔2014〕126号）</w:t>
      </w:r>
      <w:r>
        <w:rPr>
          <w:rFonts w:hint="eastAsia" w:eastAsia="仿宋_GB2312"/>
          <w:color w:val="auto"/>
          <w:sz w:val="32"/>
          <w:szCs w:val="32"/>
          <w:lang w:eastAsia="zh-CN"/>
        </w:rPr>
        <w:t>、《益阳市赫山区财政局关于开展</w:t>
      </w:r>
      <w:r>
        <w:rPr>
          <w:rFonts w:hint="eastAsia" w:eastAsia="仿宋_GB2312"/>
          <w:color w:val="auto"/>
          <w:sz w:val="32"/>
          <w:szCs w:val="32"/>
          <w:lang w:val="en-US" w:eastAsia="zh-CN"/>
        </w:rPr>
        <w:t>2020年度财政性资金现场绩效评价工作的通知</w:t>
      </w:r>
      <w:r>
        <w:rPr>
          <w:rFonts w:hint="eastAsia" w:eastAsia="仿宋_GB2312"/>
          <w:color w:val="auto"/>
          <w:sz w:val="32"/>
          <w:szCs w:val="32"/>
          <w:lang w:eastAsia="zh-CN"/>
        </w:rPr>
        <w:t>》（益赫财绩</w:t>
      </w:r>
      <w:r>
        <w:rPr>
          <w:rFonts w:eastAsia="仿宋_GB2312"/>
          <w:color w:val="auto"/>
          <w:sz w:val="32"/>
          <w:szCs w:val="32"/>
        </w:rPr>
        <w:t>〔20</w:t>
      </w:r>
      <w:r>
        <w:rPr>
          <w:rFonts w:hint="eastAsia" w:eastAsia="仿宋_GB2312"/>
          <w:color w:val="auto"/>
          <w:sz w:val="32"/>
          <w:szCs w:val="32"/>
          <w:lang w:val="en-US" w:eastAsia="zh-CN"/>
        </w:rPr>
        <w:t>21</w:t>
      </w:r>
      <w:r>
        <w:rPr>
          <w:rFonts w:eastAsia="仿宋_GB2312"/>
          <w:color w:val="auto"/>
          <w:sz w:val="32"/>
          <w:szCs w:val="32"/>
        </w:rPr>
        <w:t>〕</w:t>
      </w:r>
      <w:r>
        <w:rPr>
          <w:rFonts w:hint="eastAsia" w:eastAsia="仿宋_GB2312"/>
          <w:color w:val="auto"/>
          <w:sz w:val="32"/>
          <w:szCs w:val="32"/>
          <w:lang w:val="en-US" w:eastAsia="zh-CN"/>
        </w:rPr>
        <w:t>3号</w:t>
      </w:r>
      <w:r>
        <w:rPr>
          <w:rFonts w:hint="eastAsia" w:eastAsia="仿宋_GB2312"/>
          <w:color w:val="auto"/>
          <w:sz w:val="32"/>
          <w:szCs w:val="32"/>
          <w:lang w:eastAsia="zh-CN"/>
        </w:rPr>
        <w:t>）</w:t>
      </w:r>
      <w:r>
        <w:rPr>
          <w:rFonts w:eastAsia="仿宋_GB2312"/>
          <w:color w:val="auto"/>
          <w:sz w:val="32"/>
          <w:szCs w:val="32"/>
        </w:rPr>
        <w:t>精神</w:t>
      </w:r>
      <w:r>
        <w:rPr>
          <w:rFonts w:eastAsia="仿宋_GB2312"/>
          <w:color w:val="auto"/>
          <w:sz w:val="32"/>
          <w:szCs w:val="28"/>
        </w:rPr>
        <w:t>，</w:t>
      </w:r>
      <w:r>
        <w:rPr>
          <w:rFonts w:hint="eastAsia" w:eastAsia="仿宋_GB2312"/>
          <w:color w:val="auto"/>
          <w:sz w:val="32"/>
          <w:szCs w:val="28"/>
          <w:lang w:eastAsia="zh-CN"/>
        </w:rPr>
        <w:t>赫山区</w:t>
      </w:r>
      <w:r>
        <w:rPr>
          <w:rFonts w:eastAsia="仿宋_GB2312"/>
          <w:color w:val="auto"/>
          <w:sz w:val="32"/>
          <w:szCs w:val="28"/>
        </w:rPr>
        <w:t>财政</w:t>
      </w:r>
      <w:r>
        <w:rPr>
          <w:rFonts w:hint="eastAsia" w:eastAsia="仿宋_GB2312"/>
          <w:color w:val="auto"/>
          <w:sz w:val="32"/>
          <w:szCs w:val="28"/>
          <w:lang w:eastAsia="zh-CN"/>
        </w:rPr>
        <w:t>局</w:t>
      </w:r>
      <w:r>
        <w:rPr>
          <w:rFonts w:eastAsia="仿宋_GB2312"/>
          <w:color w:val="auto"/>
          <w:sz w:val="32"/>
          <w:szCs w:val="28"/>
        </w:rPr>
        <w:t>委托我</w:t>
      </w:r>
      <w:r>
        <w:rPr>
          <w:rFonts w:hint="eastAsia" w:eastAsia="仿宋_GB2312"/>
          <w:color w:val="auto"/>
          <w:sz w:val="32"/>
          <w:szCs w:val="28"/>
          <w:lang w:eastAsia="zh-CN"/>
        </w:rPr>
        <w:t>公司</w:t>
      </w:r>
      <w:r>
        <w:rPr>
          <w:rFonts w:eastAsia="仿宋_GB2312"/>
          <w:color w:val="auto"/>
          <w:sz w:val="32"/>
          <w:szCs w:val="28"/>
        </w:rPr>
        <w:t>对</w:t>
      </w:r>
      <w:r>
        <w:rPr>
          <w:rFonts w:hint="eastAsia" w:eastAsia="仿宋_GB2312"/>
          <w:color w:val="auto"/>
          <w:sz w:val="32"/>
          <w:szCs w:val="28"/>
        </w:rPr>
        <w:t>2020年政府购买服务项目</w:t>
      </w:r>
      <w:r>
        <w:rPr>
          <w:rFonts w:eastAsia="仿宋_GB2312"/>
          <w:color w:val="auto"/>
          <w:sz w:val="32"/>
          <w:szCs w:val="28"/>
        </w:rPr>
        <w:t>专</w:t>
      </w:r>
      <w:r>
        <w:rPr>
          <w:rFonts w:hint="eastAsia" w:ascii="仿宋_GB2312" w:hAnsi="仿宋_GB2312" w:eastAsia="仿宋_GB2312" w:cs="仿宋_GB2312"/>
          <w:color w:val="auto"/>
          <w:sz w:val="32"/>
          <w:szCs w:val="28"/>
        </w:rPr>
        <w:t>项资金</w:t>
      </w:r>
      <w:r>
        <w:rPr>
          <w:rFonts w:eastAsia="仿宋_GB2312"/>
          <w:color w:val="auto"/>
          <w:sz w:val="32"/>
          <w:szCs w:val="32"/>
        </w:rPr>
        <w:t>进行绩效评价。我</w:t>
      </w:r>
      <w:r>
        <w:rPr>
          <w:rFonts w:hint="eastAsia" w:eastAsia="仿宋_GB2312"/>
          <w:color w:val="auto"/>
          <w:sz w:val="32"/>
          <w:szCs w:val="32"/>
          <w:lang w:eastAsia="zh-CN"/>
        </w:rPr>
        <w:t>司</w:t>
      </w:r>
      <w:r>
        <w:rPr>
          <w:rFonts w:eastAsia="仿宋_GB2312"/>
          <w:color w:val="auto"/>
          <w:sz w:val="32"/>
          <w:szCs w:val="28"/>
        </w:rPr>
        <w:t>组织专业人员，对</w:t>
      </w:r>
      <w:r>
        <w:rPr>
          <w:rFonts w:hint="eastAsia" w:eastAsia="仿宋_GB2312"/>
          <w:color w:val="auto"/>
          <w:sz w:val="32"/>
          <w:szCs w:val="28"/>
          <w:lang w:val="en-US" w:eastAsia="zh-CN"/>
        </w:rPr>
        <w:t>益阳市赫山区住房和城乡建设局2020年度赫山区施工图审查费及</w:t>
      </w:r>
      <w:r>
        <w:rPr>
          <w:rFonts w:hint="eastAsia" w:eastAsia="仿宋_GB2312"/>
          <w:color w:val="auto"/>
          <w:sz w:val="32"/>
          <w:szCs w:val="28"/>
          <w:lang w:eastAsia="zh-CN"/>
        </w:rPr>
        <w:t>益阳市赫山区环境卫生服务中心涉及的</w:t>
      </w:r>
      <w:r>
        <w:rPr>
          <w:rFonts w:hint="eastAsia" w:eastAsia="仿宋_GB2312"/>
          <w:color w:val="auto"/>
          <w:sz w:val="32"/>
          <w:szCs w:val="28"/>
          <w:lang w:val="en-US" w:eastAsia="zh-CN"/>
        </w:rPr>
        <w:t>2020年餐厨剩余物收集处理经费</w:t>
      </w:r>
      <w:r>
        <w:rPr>
          <w:rFonts w:eastAsia="仿宋_GB2312"/>
          <w:color w:val="auto"/>
          <w:sz w:val="32"/>
          <w:szCs w:val="28"/>
        </w:rPr>
        <w:t>进行了现场绩效评价，涉及</w:t>
      </w:r>
      <w:r>
        <w:rPr>
          <w:rFonts w:hint="eastAsia" w:eastAsia="仿宋_GB2312"/>
          <w:color w:val="auto"/>
          <w:sz w:val="32"/>
          <w:szCs w:val="28"/>
        </w:rPr>
        <w:t>2020年度</w:t>
      </w:r>
      <w:r>
        <w:rPr>
          <w:rFonts w:hint="eastAsia" w:eastAsia="仿宋_GB2312"/>
          <w:color w:val="auto"/>
          <w:sz w:val="32"/>
          <w:szCs w:val="28"/>
          <w:lang w:eastAsia="zh-CN"/>
        </w:rPr>
        <w:t>政府购买服务项目资金</w:t>
      </w:r>
      <w:r>
        <w:rPr>
          <w:rFonts w:hint="eastAsia" w:eastAsia="仿宋_GB2312"/>
          <w:color w:val="auto"/>
          <w:sz w:val="32"/>
          <w:szCs w:val="28"/>
          <w:lang w:val="en-US" w:eastAsia="zh-CN"/>
        </w:rPr>
        <w:t>400</w:t>
      </w:r>
      <w:r>
        <w:rPr>
          <w:rFonts w:eastAsia="仿宋_GB2312"/>
          <w:color w:val="auto"/>
          <w:sz w:val="32"/>
          <w:szCs w:val="28"/>
        </w:rPr>
        <w:t>万元。现将有关情况报告如下：</w:t>
      </w:r>
    </w:p>
    <w:p>
      <w:pPr>
        <w:snapToGrid w:val="0"/>
        <w:spacing w:line="600" w:lineRule="exact"/>
        <w:ind w:firstLine="640" w:firstLineChars="200"/>
        <w:rPr>
          <w:rFonts w:eastAsia="黑体"/>
          <w:bCs/>
          <w:color w:val="auto"/>
          <w:sz w:val="32"/>
        </w:rPr>
      </w:pPr>
      <w:r>
        <w:rPr>
          <w:rFonts w:eastAsia="黑体"/>
          <w:bCs/>
          <w:color w:val="auto"/>
          <w:sz w:val="32"/>
        </w:rPr>
        <w:t>一、基本情况</w:t>
      </w:r>
    </w:p>
    <w:p>
      <w:pPr>
        <w:snapToGrid w:val="0"/>
        <w:spacing w:line="600" w:lineRule="exact"/>
        <w:ind w:firstLine="643" w:firstLineChars="200"/>
        <w:rPr>
          <w:rFonts w:hint="eastAsia" w:ascii="Times New Roman" w:hAnsi="Times New Roman" w:eastAsia="楷体_GB2312" w:cs="Times New Roman"/>
          <w:b/>
          <w:color w:val="auto"/>
          <w:kern w:val="2"/>
          <w:sz w:val="32"/>
          <w:szCs w:val="24"/>
          <w:lang w:val="en-US" w:eastAsia="zh-CN" w:bidi="ar-SA"/>
        </w:rPr>
      </w:pPr>
      <w:r>
        <w:rPr>
          <w:rFonts w:hint="eastAsia" w:ascii="Times New Roman" w:hAnsi="Times New Roman" w:eastAsia="楷体_GB2312" w:cs="Times New Roman"/>
          <w:b/>
          <w:color w:val="auto"/>
          <w:kern w:val="2"/>
          <w:sz w:val="32"/>
          <w:szCs w:val="24"/>
          <w:lang w:val="en-US" w:eastAsia="zh-CN" w:bidi="ar-SA"/>
        </w:rPr>
        <w:t>(一)项目概况</w:t>
      </w:r>
    </w:p>
    <w:p>
      <w:pPr>
        <w:snapToGrid w:val="0"/>
        <w:spacing w:line="600" w:lineRule="exact"/>
        <w:ind w:firstLine="640" w:firstLineChars="200"/>
        <w:rPr>
          <w:rFonts w:hint="eastAsia" w:eastAsia="仿宋_GB2312"/>
          <w:color w:val="auto"/>
          <w:sz w:val="32"/>
          <w:szCs w:val="28"/>
          <w:lang w:val="en-US" w:eastAsia="zh-CN"/>
        </w:rPr>
      </w:pPr>
      <w:r>
        <w:rPr>
          <w:rFonts w:hint="eastAsia" w:eastAsia="仿宋_GB2312"/>
          <w:color w:val="auto"/>
          <w:sz w:val="32"/>
          <w:szCs w:val="28"/>
          <w:lang w:val="en-US" w:eastAsia="zh-CN"/>
        </w:rPr>
        <w:t>（1）施工图审查费</w:t>
      </w:r>
    </w:p>
    <w:p>
      <w:pPr>
        <w:snapToGrid w:val="0"/>
        <w:spacing w:line="600" w:lineRule="exact"/>
        <w:ind w:firstLine="640" w:firstLineChars="200"/>
        <w:rPr>
          <w:rFonts w:hint="eastAsia" w:eastAsia="仿宋_GB2312"/>
          <w:color w:val="auto"/>
          <w:sz w:val="32"/>
          <w:szCs w:val="28"/>
          <w:lang w:val="en-US" w:eastAsia="zh-CN"/>
        </w:rPr>
      </w:pPr>
      <w:r>
        <w:rPr>
          <w:rFonts w:hint="eastAsia" w:eastAsia="仿宋_GB2312"/>
          <w:color w:val="auto"/>
          <w:sz w:val="32"/>
          <w:szCs w:val="28"/>
          <w:lang w:val="en-US" w:eastAsia="zh-CN"/>
        </w:rPr>
        <w:t>施工图审查费是国家法定的基本建设程序，2016年根据国家放管服改革的要求和省人民政府的部署安排，我省率先启动了施工图审查制度系列改革工作，改革的目标是实现施工图审查“零跑路、零接触、零付费”。根据湘政发（2016）3号和湘发价服（2016）144号文件精神，赫山区各项目施工图审查已停止向业主收取费用，2020年8月21日，益阳市施工图审查中心为赫山区房屋建筑和市政基础设施工程施工图审查服务定点单位，服务期限为2年，服务费用为200万元每年。</w:t>
      </w:r>
    </w:p>
    <w:p>
      <w:pPr>
        <w:snapToGrid w:val="0"/>
        <w:spacing w:line="600" w:lineRule="exact"/>
        <w:ind w:firstLine="640" w:firstLineChars="200"/>
        <w:rPr>
          <w:rFonts w:hint="eastAsia" w:eastAsia="仿宋_GB2312"/>
          <w:color w:val="auto"/>
          <w:sz w:val="32"/>
          <w:szCs w:val="28"/>
          <w:lang w:val="en-US" w:eastAsia="zh-CN"/>
        </w:rPr>
      </w:pPr>
      <w:r>
        <w:rPr>
          <w:rFonts w:hint="eastAsia" w:eastAsia="仿宋_GB2312"/>
          <w:color w:val="auto"/>
          <w:sz w:val="32"/>
          <w:szCs w:val="28"/>
          <w:lang w:val="en-US" w:eastAsia="zh-CN"/>
        </w:rPr>
        <w:t>（2）2020年餐厨剩余物收集处理经费</w:t>
      </w:r>
    </w:p>
    <w:p>
      <w:pPr>
        <w:snapToGrid w:val="0"/>
        <w:spacing w:line="600" w:lineRule="exact"/>
        <w:ind w:firstLine="640" w:firstLineChars="200"/>
        <w:rPr>
          <w:rFonts w:hint="default" w:eastAsia="仿宋_GB2312"/>
          <w:color w:val="auto"/>
          <w:sz w:val="32"/>
          <w:szCs w:val="28"/>
          <w:lang w:val="en-US" w:eastAsia="zh-CN"/>
        </w:rPr>
      </w:pPr>
      <w:r>
        <w:rPr>
          <w:rFonts w:hint="eastAsia" w:eastAsia="仿宋_GB2312"/>
          <w:color w:val="auto"/>
          <w:sz w:val="32"/>
          <w:szCs w:val="28"/>
          <w:lang w:val="en-US" w:eastAsia="zh-CN"/>
        </w:rPr>
        <w:t>根据益阳市赫山区人民政府办公室《2020年第四次区长办公会议纪要》（2020）4号，同意赫山区财政安排2020年餐厨剩余物收集处理工作经费200万元。2020年6月16日湖南益环环境集团有限公司为2020年赫山区城区餐厨垃圾收集运输服务项目中标单位，中标金额为210万元。</w:t>
      </w:r>
    </w:p>
    <w:p>
      <w:pPr>
        <w:snapToGrid w:val="0"/>
        <w:spacing w:line="600" w:lineRule="exact"/>
        <w:ind w:firstLine="643" w:firstLineChars="200"/>
        <w:rPr>
          <w:rFonts w:hint="eastAsia" w:ascii="Times New Roman" w:hAnsi="Times New Roman" w:eastAsia="楷体_GB2312" w:cs="Times New Roman"/>
          <w:b/>
          <w:color w:val="auto"/>
          <w:kern w:val="2"/>
          <w:sz w:val="32"/>
          <w:szCs w:val="24"/>
          <w:lang w:val="en-US" w:eastAsia="zh-CN" w:bidi="ar-SA"/>
        </w:rPr>
      </w:pPr>
      <w:r>
        <w:rPr>
          <w:rFonts w:hint="eastAsia" w:ascii="Times New Roman" w:hAnsi="Times New Roman" w:eastAsia="楷体_GB2312" w:cs="Times New Roman"/>
          <w:b/>
          <w:color w:val="auto"/>
          <w:kern w:val="2"/>
          <w:sz w:val="32"/>
          <w:szCs w:val="24"/>
          <w:lang w:val="en-US" w:eastAsia="zh-CN" w:bidi="ar-SA"/>
        </w:rPr>
        <w:t>(二)项目绩效目标</w:t>
      </w:r>
    </w:p>
    <w:p>
      <w:pPr>
        <w:snapToGrid w:val="0"/>
        <w:spacing w:line="600" w:lineRule="exact"/>
        <w:ind w:firstLine="640" w:firstLineChars="200"/>
        <w:rPr>
          <w:rFonts w:hint="eastAsia" w:eastAsia="仿宋_GB2312"/>
          <w:color w:val="auto"/>
          <w:sz w:val="32"/>
          <w:szCs w:val="28"/>
          <w:lang w:val="en-US" w:eastAsia="zh-CN"/>
        </w:rPr>
      </w:pPr>
      <w:r>
        <w:rPr>
          <w:rFonts w:hint="eastAsia" w:ascii="Times New Roman" w:hAnsi="Times New Roman" w:eastAsia="仿宋_GB2312" w:cs="Times New Roman"/>
          <w:color w:val="auto"/>
          <w:sz w:val="32"/>
          <w:szCs w:val="28"/>
          <w:lang w:val="en-US" w:eastAsia="zh-CN"/>
        </w:rPr>
        <w:t>1.施工图审查费。</w:t>
      </w:r>
      <w:r>
        <w:rPr>
          <w:rFonts w:hint="eastAsia" w:eastAsia="仿宋_GB2312"/>
          <w:color w:val="auto"/>
          <w:sz w:val="32"/>
          <w:szCs w:val="28"/>
          <w:lang w:val="en-US" w:eastAsia="zh-CN"/>
        </w:rPr>
        <w:t>益阳市施工图审查中心负责赫山区2020年度房屋建筑和市政基础设施工程施工图审查服务。</w:t>
      </w:r>
    </w:p>
    <w:p>
      <w:pPr>
        <w:snapToGrid w:val="0"/>
        <w:spacing w:line="600" w:lineRule="exact"/>
        <w:ind w:firstLine="640" w:firstLineChars="200"/>
        <w:rPr>
          <w:rFonts w:hint="eastAsia" w:ascii="Times New Roman" w:hAnsi="Times New Roman" w:eastAsia="仿宋_GB2312" w:cs="Times New Roman"/>
          <w:color w:val="auto"/>
          <w:sz w:val="32"/>
          <w:szCs w:val="28"/>
          <w:lang w:val="en-US" w:eastAsia="zh-CN"/>
        </w:rPr>
      </w:pPr>
      <w:r>
        <w:rPr>
          <w:rFonts w:hint="eastAsia" w:ascii="Times New Roman" w:hAnsi="Times New Roman" w:eastAsia="仿宋_GB2312" w:cs="Times New Roman"/>
          <w:color w:val="auto"/>
          <w:sz w:val="32"/>
          <w:szCs w:val="28"/>
          <w:lang w:val="en-US" w:eastAsia="zh-CN"/>
        </w:rPr>
        <w:t>2.2020年餐厨剩余物收集处理经费。为认真落实益阳市人民政府办公室发布的《益阳市餐厨垃圾管理办法（试行）》〔2018〕36号，加快推进食品安全城市创建工作，实现赫山区域内餐厨垃圾处理工作有序收集和运输。进一步完善赫山区域内餐厨垃圾收运处理，实行餐厨垃圾与其他生活垃圾分开收集，统一运输，防止“潲水油、地沟油”进入食品链，保障食品安全，实现赫山区城区餐饮单位餐厨垃圾收运处理全覆盖目标。</w:t>
      </w:r>
    </w:p>
    <w:p>
      <w:pPr>
        <w:snapToGrid w:val="0"/>
        <w:spacing w:line="600" w:lineRule="exact"/>
        <w:ind w:firstLine="640" w:firstLineChars="200"/>
        <w:rPr>
          <w:rFonts w:hint="eastAsia" w:eastAsia="黑体"/>
          <w:bCs/>
          <w:color w:val="auto"/>
          <w:sz w:val="32"/>
        </w:rPr>
      </w:pPr>
      <w:r>
        <w:rPr>
          <w:rFonts w:hint="eastAsia" w:eastAsia="黑体"/>
          <w:bCs/>
          <w:color w:val="auto"/>
          <w:sz w:val="32"/>
        </w:rPr>
        <w:t>二、绩效评价工作情况</w:t>
      </w:r>
    </w:p>
    <w:p>
      <w:pPr>
        <w:snapToGrid w:val="0"/>
        <w:spacing w:line="600" w:lineRule="exact"/>
        <w:ind w:firstLine="643" w:firstLineChars="200"/>
        <w:rPr>
          <w:rFonts w:hint="eastAsia" w:ascii="Times New Roman" w:hAnsi="Times New Roman" w:eastAsia="楷体_GB2312" w:cs="Times New Roman"/>
          <w:b/>
          <w:color w:val="auto"/>
          <w:kern w:val="2"/>
          <w:sz w:val="32"/>
          <w:szCs w:val="24"/>
          <w:lang w:val="en-US" w:eastAsia="zh-CN" w:bidi="ar-SA"/>
        </w:rPr>
      </w:pPr>
      <w:r>
        <w:rPr>
          <w:rFonts w:hint="eastAsia" w:ascii="Times New Roman" w:hAnsi="Times New Roman" w:eastAsia="楷体_GB2312" w:cs="Times New Roman"/>
          <w:b/>
          <w:color w:val="auto"/>
          <w:kern w:val="2"/>
          <w:sz w:val="32"/>
          <w:szCs w:val="24"/>
          <w:lang w:val="en-US" w:eastAsia="zh-CN" w:bidi="ar-SA"/>
        </w:rPr>
        <w:t>(一)绩效评价目的</w:t>
      </w:r>
    </w:p>
    <w:p>
      <w:pPr>
        <w:snapToGrid w:val="0"/>
        <w:spacing w:line="600" w:lineRule="exact"/>
        <w:ind w:firstLine="640" w:firstLineChars="200"/>
        <w:rPr>
          <w:rFonts w:hint="eastAsia" w:eastAsia="仿宋_GB2312"/>
          <w:color w:val="auto"/>
          <w:sz w:val="32"/>
          <w:szCs w:val="28"/>
        </w:rPr>
      </w:pPr>
      <w:r>
        <w:rPr>
          <w:rFonts w:hint="eastAsia" w:eastAsia="仿宋_GB2312"/>
          <w:color w:val="auto"/>
          <w:sz w:val="32"/>
          <w:szCs w:val="28"/>
        </w:rPr>
        <w:t>通过</w:t>
      </w:r>
      <w:r>
        <w:rPr>
          <w:rFonts w:hint="eastAsia" w:eastAsia="仿宋_GB2312"/>
          <w:color w:val="auto"/>
          <w:sz w:val="32"/>
          <w:szCs w:val="28"/>
          <w:lang w:eastAsia="zh-CN"/>
        </w:rPr>
        <w:t>开展</w:t>
      </w:r>
      <w:r>
        <w:rPr>
          <w:rFonts w:hint="eastAsia" w:ascii="Times New Roman" w:hAnsi="Times New Roman" w:eastAsia="仿宋_GB2312" w:cs="Times New Roman"/>
          <w:color w:val="auto"/>
          <w:sz w:val="32"/>
          <w:szCs w:val="28"/>
          <w:lang w:val="en-US" w:eastAsia="zh-CN"/>
        </w:rPr>
        <w:t>施工图审查费</w:t>
      </w:r>
      <w:r>
        <w:rPr>
          <w:rFonts w:hint="eastAsia" w:eastAsia="仿宋_GB2312" w:cs="Times New Roman"/>
          <w:color w:val="auto"/>
          <w:sz w:val="32"/>
          <w:szCs w:val="28"/>
          <w:lang w:val="en-US" w:eastAsia="zh-CN"/>
        </w:rPr>
        <w:t>及2</w:t>
      </w:r>
      <w:r>
        <w:rPr>
          <w:rFonts w:hint="eastAsia" w:ascii="Times New Roman" w:hAnsi="Times New Roman" w:eastAsia="仿宋_GB2312" w:cs="Times New Roman"/>
          <w:color w:val="auto"/>
          <w:sz w:val="32"/>
          <w:szCs w:val="28"/>
          <w:lang w:val="en-US" w:eastAsia="zh-CN"/>
        </w:rPr>
        <w:t>020年餐厨剩余物收集处理经费</w:t>
      </w:r>
      <w:r>
        <w:rPr>
          <w:rFonts w:hint="eastAsia" w:eastAsia="仿宋_GB2312"/>
          <w:color w:val="auto"/>
          <w:sz w:val="32"/>
          <w:szCs w:val="28"/>
        </w:rPr>
        <w:t>专项预算资金绩效评价工作</w:t>
      </w:r>
      <w:r>
        <w:rPr>
          <w:rFonts w:hint="eastAsia" w:eastAsia="仿宋_GB2312"/>
          <w:color w:val="auto"/>
          <w:sz w:val="32"/>
          <w:szCs w:val="28"/>
          <w:lang w:eastAsia="zh-CN"/>
        </w:rPr>
        <w:t>，了解</w:t>
      </w:r>
      <w:r>
        <w:rPr>
          <w:rFonts w:hint="eastAsia" w:ascii="Times New Roman" w:hAnsi="Times New Roman" w:eastAsia="仿宋_GB2312" w:cs="Times New Roman"/>
          <w:color w:val="auto"/>
          <w:sz w:val="32"/>
          <w:szCs w:val="28"/>
          <w:lang w:val="en-US" w:eastAsia="zh-CN"/>
        </w:rPr>
        <w:t>施工图审查费</w:t>
      </w:r>
      <w:r>
        <w:rPr>
          <w:rFonts w:hint="eastAsia" w:eastAsia="仿宋_GB2312" w:cs="Times New Roman"/>
          <w:color w:val="auto"/>
          <w:sz w:val="32"/>
          <w:szCs w:val="28"/>
          <w:lang w:val="en-US" w:eastAsia="zh-CN"/>
        </w:rPr>
        <w:t>及2</w:t>
      </w:r>
      <w:r>
        <w:rPr>
          <w:rFonts w:hint="eastAsia" w:ascii="Times New Roman" w:hAnsi="Times New Roman" w:eastAsia="仿宋_GB2312" w:cs="Times New Roman"/>
          <w:color w:val="auto"/>
          <w:sz w:val="32"/>
          <w:szCs w:val="28"/>
          <w:lang w:val="en-US" w:eastAsia="zh-CN"/>
        </w:rPr>
        <w:t>020年餐厨剩余物收集处理经费</w:t>
      </w:r>
      <w:r>
        <w:rPr>
          <w:rFonts w:hint="eastAsia" w:eastAsia="仿宋_GB2312"/>
          <w:color w:val="auto"/>
          <w:sz w:val="32"/>
          <w:szCs w:val="28"/>
          <w:lang w:val="en-US" w:eastAsia="zh-CN"/>
        </w:rPr>
        <w:t>专项资金</w:t>
      </w:r>
      <w:r>
        <w:rPr>
          <w:rFonts w:hint="eastAsia" w:eastAsia="仿宋_GB2312"/>
          <w:color w:val="auto"/>
          <w:sz w:val="32"/>
          <w:szCs w:val="28"/>
        </w:rPr>
        <w:t>使用情况，总结项目资金管理的经验，及时发现项目资金管理中存在的</w:t>
      </w:r>
      <w:r>
        <w:rPr>
          <w:rFonts w:hint="eastAsia" w:eastAsia="仿宋_GB2312"/>
          <w:color w:val="auto"/>
          <w:sz w:val="32"/>
          <w:szCs w:val="28"/>
          <w:lang w:eastAsia="zh-CN"/>
        </w:rPr>
        <w:t>问</w:t>
      </w:r>
      <w:r>
        <w:rPr>
          <w:rFonts w:hint="eastAsia" w:eastAsia="仿宋_GB2312"/>
          <w:color w:val="auto"/>
          <w:sz w:val="32"/>
          <w:szCs w:val="28"/>
        </w:rPr>
        <w:t>题，为加强财政支出的规范化管理，提高</w:t>
      </w:r>
      <w:r>
        <w:rPr>
          <w:rFonts w:hint="eastAsia" w:ascii="Times New Roman" w:hAnsi="Times New Roman" w:eastAsia="仿宋_GB2312" w:cs="Times New Roman"/>
          <w:color w:val="auto"/>
          <w:sz w:val="32"/>
          <w:szCs w:val="28"/>
          <w:lang w:val="en-US" w:eastAsia="zh-CN"/>
        </w:rPr>
        <w:t>施工图审查费</w:t>
      </w:r>
      <w:r>
        <w:rPr>
          <w:rFonts w:hint="eastAsia" w:eastAsia="仿宋_GB2312" w:cs="Times New Roman"/>
          <w:color w:val="auto"/>
          <w:sz w:val="32"/>
          <w:szCs w:val="28"/>
          <w:lang w:val="en-US" w:eastAsia="zh-CN"/>
        </w:rPr>
        <w:t>及2</w:t>
      </w:r>
      <w:r>
        <w:rPr>
          <w:rFonts w:hint="eastAsia" w:ascii="Times New Roman" w:hAnsi="Times New Roman" w:eastAsia="仿宋_GB2312" w:cs="Times New Roman"/>
          <w:color w:val="auto"/>
          <w:sz w:val="32"/>
          <w:szCs w:val="28"/>
          <w:lang w:val="en-US" w:eastAsia="zh-CN"/>
        </w:rPr>
        <w:t>020年餐厨剩余物收集处理经费</w:t>
      </w:r>
      <w:r>
        <w:rPr>
          <w:rFonts w:hint="eastAsia" w:eastAsia="仿宋_GB2312"/>
          <w:color w:val="auto"/>
          <w:sz w:val="32"/>
          <w:szCs w:val="28"/>
          <w:lang w:val="en-US" w:eastAsia="zh-CN"/>
        </w:rPr>
        <w:t>专项资金</w:t>
      </w:r>
      <w:r>
        <w:rPr>
          <w:rFonts w:hint="eastAsia" w:eastAsia="仿宋_GB2312"/>
          <w:color w:val="auto"/>
          <w:sz w:val="32"/>
          <w:szCs w:val="28"/>
        </w:rPr>
        <w:t>的使用效益，健全和完善项目支出和资金使用</w:t>
      </w:r>
      <w:r>
        <w:rPr>
          <w:rFonts w:hint="eastAsia" w:eastAsia="仿宋_GB2312"/>
          <w:color w:val="auto"/>
          <w:sz w:val="32"/>
          <w:szCs w:val="28"/>
          <w:lang w:eastAsia="zh-CN"/>
        </w:rPr>
        <w:t>机制</w:t>
      </w:r>
      <w:r>
        <w:rPr>
          <w:rFonts w:hint="eastAsia" w:eastAsia="仿宋_GB2312"/>
          <w:color w:val="auto"/>
          <w:sz w:val="32"/>
          <w:szCs w:val="28"/>
        </w:rPr>
        <w:t>，完善预算编制、加强绩效目标管理和绩效考核工作提供重要的参考依据，以及提出相关的建议和应采取的措施等。</w:t>
      </w:r>
    </w:p>
    <w:p>
      <w:pPr>
        <w:snapToGrid w:val="0"/>
        <w:spacing w:line="600" w:lineRule="exact"/>
        <w:ind w:firstLine="643" w:firstLineChars="200"/>
        <w:rPr>
          <w:rFonts w:hint="eastAsia" w:ascii="Times New Roman" w:hAnsi="Times New Roman" w:eastAsia="楷体_GB2312" w:cs="Times New Roman"/>
          <w:b/>
          <w:color w:val="auto"/>
          <w:kern w:val="2"/>
          <w:sz w:val="32"/>
          <w:szCs w:val="24"/>
          <w:lang w:val="en-US" w:eastAsia="zh-CN" w:bidi="ar-SA"/>
        </w:rPr>
      </w:pPr>
      <w:r>
        <w:rPr>
          <w:rFonts w:hint="eastAsia" w:ascii="Times New Roman" w:hAnsi="Times New Roman" w:eastAsia="楷体_GB2312" w:cs="Times New Roman"/>
          <w:b/>
          <w:color w:val="auto"/>
          <w:kern w:val="2"/>
          <w:sz w:val="32"/>
          <w:szCs w:val="24"/>
          <w:lang w:val="en-US" w:eastAsia="zh-CN" w:bidi="ar-SA"/>
        </w:rPr>
        <w:t>(二)绩效评价依据</w:t>
      </w:r>
    </w:p>
    <w:p>
      <w:pPr>
        <w:snapToGrid w:val="0"/>
        <w:spacing w:line="600" w:lineRule="exact"/>
        <w:ind w:firstLine="640" w:firstLineChars="200"/>
        <w:rPr>
          <w:rFonts w:hint="eastAsia" w:eastAsia="仿宋_GB2312"/>
          <w:color w:val="auto"/>
          <w:sz w:val="32"/>
          <w:szCs w:val="28"/>
          <w:lang w:val="en-US"/>
        </w:rPr>
      </w:pPr>
      <w:r>
        <w:rPr>
          <w:rFonts w:hint="eastAsia" w:eastAsia="仿宋_GB2312"/>
          <w:color w:val="auto"/>
          <w:sz w:val="32"/>
          <w:szCs w:val="28"/>
        </w:rPr>
        <w:t>1</w:t>
      </w:r>
      <w:r>
        <w:rPr>
          <w:rFonts w:hint="eastAsia" w:eastAsia="仿宋_GB2312"/>
          <w:color w:val="auto"/>
          <w:sz w:val="32"/>
          <w:szCs w:val="28"/>
          <w:lang w:val="en-US" w:eastAsia="zh-CN"/>
        </w:rPr>
        <w:t>.</w:t>
      </w:r>
      <w:r>
        <w:rPr>
          <w:rFonts w:hint="eastAsia" w:eastAsia="仿宋_GB2312"/>
          <w:color w:val="auto"/>
          <w:sz w:val="32"/>
          <w:szCs w:val="28"/>
        </w:rPr>
        <w:t>《财政部关于印发《项目支出绩效评价管理办法》的通知》（财预〔2020〕10号）</w:t>
      </w:r>
      <w:r>
        <w:rPr>
          <w:rFonts w:hint="eastAsia" w:eastAsia="仿宋_GB2312"/>
          <w:color w:val="auto"/>
          <w:sz w:val="32"/>
          <w:szCs w:val="28"/>
          <w:lang w:eastAsia="zh-CN"/>
        </w:rPr>
        <w:t>。</w:t>
      </w:r>
    </w:p>
    <w:p>
      <w:pPr>
        <w:snapToGrid w:val="0"/>
        <w:spacing w:line="600" w:lineRule="exact"/>
        <w:ind w:firstLine="640" w:firstLineChars="200"/>
        <w:rPr>
          <w:rFonts w:hint="eastAsia" w:eastAsia="仿宋_GB2312"/>
          <w:color w:val="auto"/>
          <w:sz w:val="32"/>
          <w:szCs w:val="28"/>
          <w:lang w:eastAsia="zh-CN"/>
        </w:rPr>
      </w:pPr>
      <w:r>
        <w:rPr>
          <w:rFonts w:hint="eastAsia" w:eastAsia="仿宋_GB2312"/>
          <w:color w:val="auto"/>
          <w:sz w:val="32"/>
          <w:szCs w:val="28"/>
          <w:lang w:val="en-US" w:eastAsia="zh-CN"/>
        </w:rPr>
        <w:t>2.《中共湖南省委办公厅  湖南省人民政府办公厅关于全面实施预算绩效管理的实施意见》（湘办发〔2019〕10号）</w:t>
      </w:r>
      <w:r>
        <w:rPr>
          <w:rFonts w:hint="eastAsia" w:eastAsia="仿宋_GB2312"/>
          <w:color w:val="auto"/>
          <w:sz w:val="32"/>
          <w:szCs w:val="28"/>
          <w:lang w:eastAsia="zh-CN"/>
        </w:rPr>
        <w:t>。</w:t>
      </w:r>
    </w:p>
    <w:p>
      <w:pPr>
        <w:snapToGrid w:val="0"/>
        <w:spacing w:line="600" w:lineRule="exact"/>
        <w:ind w:firstLine="640" w:firstLineChars="200"/>
        <w:rPr>
          <w:rFonts w:hint="eastAsia" w:eastAsia="仿宋_GB2312"/>
          <w:color w:val="auto"/>
          <w:sz w:val="32"/>
          <w:szCs w:val="28"/>
          <w:lang w:eastAsia="zh-CN"/>
        </w:rPr>
      </w:pPr>
      <w:r>
        <w:rPr>
          <w:rFonts w:hint="eastAsia" w:eastAsia="仿宋_GB2312"/>
          <w:color w:val="auto"/>
          <w:sz w:val="32"/>
          <w:szCs w:val="28"/>
          <w:lang w:val="en-US" w:eastAsia="zh-CN"/>
        </w:rPr>
        <w:t>3.</w:t>
      </w:r>
      <w:r>
        <w:rPr>
          <w:rFonts w:hint="eastAsia" w:eastAsia="仿宋_GB2312"/>
          <w:color w:val="auto"/>
          <w:sz w:val="32"/>
          <w:szCs w:val="32"/>
          <w:lang w:eastAsia="zh-CN"/>
        </w:rPr>
        <w:t>《益阳市赫山区财政局关于开展</w:t>
      </w:r>
      <w:r>
        <w:rPr>
          <w:rFonts w:hint="eastAsia" w:eastAsia="仿宋_GB2312"/>
          <w:color w:val="auto"/>
          <w:sz w:val="32"/>
          <w:szCs w:val="32"/>
          <w:lang w:val="en-US" w:eastAsia="zh-CN"/>
        </w:rPr>
        <w:t>2020年度财政性资金现场绩效评价工作的通知</w:t>
      </w:r>
      <w:r>
        <w:rPr>
          <w:rFonts w:hint="eastAsia" w:eastAsia="仿宋_GB2312"/>
          <w:color w:val="auto"/>
          <w:sz w:val="32"/>
          <w:szCs w:val="32"/>
          <w:lang w:eastAsia="zh-CN"/>
        </w:rPr>
        <w:t>》（益赫财绩</w:t>
      </w:r>
      <w:r>
        <w:rPr>
          <w:rFonts w:eastAsia="仿宋_GB2312"/>
          <w:color w:val="auto"/>
          <w:sz w:val="32"/>
          <w:szCs w:val="32"/>
        </w:rPr>
        <w:t>〔20</w:t>
      </w:r>
      <w:r>
        <w:rPr>
          <w:rFonts w:hint="eastAsia" w:eastAsia="仿宋_GB2312"/>
          <w:color w:val="auto"/>
          <w:sz w:val="32"/>
          <w:szCs w:val="32"/>
          <w:lang w:val="en-US" w:eastAsia="zh-CN"/>
        </w:rPr>
        <w:t>21</w:t>
      </w:r>
      <w:r>
        <w:rPr>
          <w:rFonts w:eastAsia="仿宋_GB2312"/>
          <w:color w:val="auto"/>
          <w:sz w:val="32"/>
          <w:szCs w:val="32"/>
        </w:rPr>
        <w:t>〕</w:t>
      </w:r>
      <w:r>
        <w:rPr>
          <w:rFonts w:hint="eastAsia" w:eastAsia="仿宋_GB2312"/>
          <w:color w:val="auto"/>
          <w:sz w:val="32"/>
          <w:szCs w:val="32"/>
          <w:lang w:val="en-US" w:eastAsia="zh-CN"/>
        </w:rPr>
        <w:t>3号</w:t>
      </w:r>
      <w:r>
        <w:rPr>
          <w:rFonts w:hint="eastAsia" w:eastAsia="仿宋_GB2312"/>
          <w:color w:val="auto"/>
          <w:sz w:val="32"/>
          <w:szCs w:val="32"/>
          <w:lang w:eastAsia="zh-CN"/>
        </w:rPr>
        <w:t>）</w:t>
      </w:r>
      <w:r>
        <w:rPr>
          <w:rFonts w:hint="eastAsia" w:eastAsia="仿宋_GB2312"/>
          <w:color w:val="auto"/>
          <w:sz w:val="32"/>
          <w:szCs w:val="28"/>
          <w:lang w:eastAsia="zh-CN"/>
        </w:rPr>
        <w:t>。</w:t>
      </w:r>
    </w:p>
    <w:p>
      <w:pPr>
        <w:snapToGrid w:val="0"/>
        <w:spacing w:line="600" w:lineRule="exact"/>
        <w:ind w:firstLine="640" w:firstLineChars="200"/>
        <w:rPr>
          <w:rFonts w:hint="eastAsia" w:eastAsia="仿宋_GB2312"/>
          <w:color w:val="auto"/>
          <w:sz w:val="32"/>
          <w:szCs w:val="28"/>
          <w:lang w:val="en-US" w:eastAsia="zh-CN"/>
        </w:rPr>
      </w:pPr>
      <w:r>
        <w:rPr>
          <w:rFonts w:hint="eastAsia" w:eastAsia="仿宋_GB2312"/>
          <w:color w:val="auto"/>
          <w:sz w:val="32"/>
          <w:szCs w:val="28"/>
          <w:lang w:val="en-US" w:eastAsia="zh-CN"/>
        </w:rPr>
        <w:t>4.《</w:t>
      </w:r>
      <w:bookmarkStart w:id="0" w:name="_GoBack"/>
      <w:r>
        <w:rPr>
          <w:rFonts w:hint="eastAsia" w:eastAsia="仿宋_GB2312"/>
          <w:color w:val="auto"/>
          <w:sz w:val="32"/>
          <w:szCs w:val="28"/>
          <w:lang w:val="en-US" w:eastAsia="zh-CN"/>
        </w:rPr>
        <w:t>民政部 财政部关于政府购买社会工作服务的指导意见</w:t>
      </w:r>
      <w:bookmarkEnd w:id="0"/>
      <w:r>
        <w:rPr>
          <w:rFonts w:hint="eastAsia" w:eastAsia="仿宋_GB2312"/>
          <w:color w:val="auto"/>
          <w:sz w:val="32"/>
          <w:szCs w:val="28"/>
          <w:lang w:val="en-US" w:eastAsia="zh-CN"/>
        </w:rPr>
        <w:t>》（民发〔2012〕196号）。</w:t>
      </w:r>
    </w:p>
    <w:p>
      <w:pPr>
        <w:snapToGrid w:val="0"/>
        <w:spacing w:line="600" w:lineRule="exact"/>
        <w:ind w:firstLine="640" w:firstLineChars="200"/>
        <w:rPr>
          <w:rFonts w:hint="default" w:eastAsia="仿宋_GB2312"/>
          <w:color w:val="auto"/>
          <w:sz w:val="32"/>
          <w:szCs w:val="28"/>
          <w:lang w:val="en-US" w:eastAsia="zh-CN"/>
        </w:rPr>
      </w:pPr>
      <w:r>
        <w:rPr>
          <w:rFonts w:hint="eastAsia" w:eastAsia="仿宋_GB2312"/>
          <w:color w:val="auto"/>
          <w:sz w:val="32"/>
          <w:szCs w:val="28"/>
          <w:lang w:val="en-US" w:eastAsia="zh-CN"/>
        </w:rPr>
        <w:t>5.《政府购买社会工作服务资金使用管理办法》</w:t>
      </w:r>
    </w:p>
    <w:p>
      <w:pPr>
        <w:snapToGrid w:val="0"/>
        <w:spacing w:line="600" w:lineRule="exact"/>
        <w:ind w:firstLine="640" w:firstLineChars="200"/>
        <w:rPr>
          <w:rFonts w:hint="eastAsia" w:eastAsia="仿宋_GB2312"/>
          <w:color w:val="auto"/>
          <w:sz w:val="32"/>
          <w:szCs w:val="28"/>
        </w:rPr>
      </w:pPr>
      <w:r>
        <w:rPr>
          <w:rFonts w:hint="eastAsia" w:eastAsia="仿宋_GB2312"/>
          <w:color w:val="auto"/>
          <w:sz w:val="32"/>
          <w:szCs w:val="28"/>
          <w:lang w:val="en-US" w:eastAsia="zh-CN"/>
        </w:rPr>
        <w:t>6.</w:t>
      </w:r>
      <w:r>
        <w:rPr>
          <w:rFonts w:hint="eastAsia" w:eastAsia="仿宋_GB2312"/>
          <w:color w:val="auto"/>
          <w:sz w:val="32"/>
          <w:szCs w:val="28"/>
        </w:rPr>
        <w:t>其他有关财政法律规章制度。</w:t>
      </w:r>
    </w:p>
    <w:p>
      <w:pPr>
        <w:snapToGrid w:val="0"/>
        <w:spacing w:line="600" w:lineRule="exact"/>
        <w:ind w:firstLine="640" w:firstLineChars="200"/>
        <w:rPr>
          <w:rFonts w:hint="eastAsia" w:eastAsia="黑体"/>
          <w:bCs/>
          <w:color w:val="auto"/>
          <w:sz w:val="32"/>
          <w:lang w:eastAsia="zh-CN"/>
        </w:rPr>
      </w:pPr>
      <w:r>
        <w:rPr>
          <w:rFonts w:hint="eastAsia" w:eastAsia="黑体"/>
          <w:bCs/>
          <w:color w:val="auto"/>
          <w:sz w:val="32"/>
          <w:lang w:eastAsia="zh-CN"/>
        </w:rPr>
        <w:t>三、资金拨付和管理情况</w:t>
      </w:r>
    </w:p>
    <w:p>
      <w:pPr>
        <w:snapToGrid w:val="0"/>
        <w:spacing w:line="600" w:lineRule="exact"/>
        <w:ind w:firstLine="643" w:firstLineChars="200"/>
        <w:rPr>
          <w:rFonts w:hint="eastAsia" w:eastAsia="楷体_GB2312"/>
          <w:b/>
          <w:color w:val="auto"/>
          <w:sz w:val="32"/>
          <w:lang w:val="en-US" w:eastAsia="zh-CN"/>
        </w:rPr>
      </w:pPr>
      <w:r>
        <w:rPr>
          <w:rFonts w:hint="eastAsia" w:eastAsia="楷体_GB2312"/>
          <w:b/>
          <w:color w:val="auto"/>
          <w:sz w:val="32"/>
          <w:lang w:val="en-US" w:eastAsia="zh-CN"/>
        </w:rPr>
        <w:t>1.施工图审查费及2020年餐厨剩余物收集处理经费专项资金拨付情况</w:t>
      </w:r>
    </w:p>
    <w:p>
      <w:pPr>
        <w:snapToGrid w:val="0"/>
        <w:spacing w:line="600" w:lineRule="exact"/>
        <w:ind w:firstLine="640" w:firstLineChars="200"/>
        <w:rPr>
          <w:rFonts w:hint="default" w:eastAsia="仿宋_GB2312"/>
          <w:color w:val="auto"/>
          <w:sz w:val="32"/>
          <w:szCs w:val="28"/>
          <w:lang w:val="en-US" w:eastAsia="zh-CN"/>
        </w:rPr>
      </w:pPr>
      <w:r>
        <w:rPr>
          <w:rFonts w:hint="eastAsia" w:eastAsia="仿宋_GB2312"/>
          <w:color w:val="auto"/>
          <w:sz w:val="32"/>
          <w:szCs w:val="28"/>
          <w:lang w:val="en-US" w:eastAsia="zh-CN"/>
        </w:rPr>
        <w:t>2020</w:t>
      </w:r>
      <w:r>
        <w:rPr>
          <w:rFonts w:eastAsia="仿宋_GB2312"/>
          <w:color w:val="auto"/>
          <w:sz w:val="32"/>
          <w:szCs w:val="28"/>
        </w:rPr>
        <w:t>年度</w:t>
      </w:r>
      <w:r>
        <w:rPr>
          <w:rFonts w:hint="eastAsia" w:eastAsia="仿宋_GB2312"/>
          <w:color w:val="auto"/>
          <w:sz w:val="32"/>
          <w:szCs w:val="28"/>
          <w:lang w:eastAsia="zh-CN"/>
        </w:rPr>
        <w:t>赫山区</w:t>
      </w:r>
      <w:r>
        <w:rPr>
          <w:rFonts w:eastAsia="仿宋_GB2312"/>
          <w:color w:val="auto"/>
          <w:sz w:val="32"/>
          <w:szCs w:val="28"/>
        </w:rPr>
        <w:t>预算安排</w:t>
      </w:r>
      <w:r>
        <w:rPr>
          <w:rFonts w:hint="eastAsia" w:ascii="Times New Roman" w:hAnsi="Times New Roman" w:eastAsia="仿宋_GB2312" w:cs="Times New Roman"/>
          <w:color w:val="auto"/>
          <w:sz w:val="32"/>
          <w:szCs w:val="28"/>
          <w:lang w:val="en-US" w:eastAsia="zh-CN"/>
        </w:rPr>
        <w:t>施工图审查费</w:t>
      </w:r>
      <w:r>
        <w:rPr>
          <w:rFonts w:hint="eastAsia" w:eastAsia="仿宋_GB2312" w:cs="Times New Roman"/>
          <w:color w:val="auto"/>
          <w:sz w:val="32"/>
          <w:szCs w:val="28"/>
          <w:lang w:val="en-US" w:eastAsia="zh-CN"/>
        </w:rPr>
        <w:t>及2</w:t>
      </w:r>
      <w:r>
        <w:rPr>
          <w:rFonts w:hint="eastAsia" w:ascii="Times New Roman" w:hAnsi="Times New Roman" w:eastAsia="仿宋_GB2312" w:cs="Times New Roman"/>
          <w:color w:val="auto"/>
          <w:sz w:val="32"/>
          <w:szCs w:val="28"/>
          <w:lang w:val="en-US" w:eastAsia="zh-CN"/>
        </w:rPr>
        <w:t>020年餐厨剩余物收集处理经费</w:t>
      </w:r>
      <w:r>
        <w:rPr>
          <w:rFonts w:hint="eastAsia" w:eastAsia="仿宋_GB2312"/>
          <w:color w:val="auto"/>
          <w:sz w:val="32"/>
          <w:szCs w:val="28"/>
          <w:lang w:val="en-US" w:eastAsia="zh-CN"/>
        </w:rPr>
        <w:t>专项资金</w:t>
      </w:r>
      <w:r>
        <w:rPr>
          <w:rFonts w:hint="eastAsia" w:eastAsia="仿宋_GB2312"/>
          <w:color w:val="auto"/>
          <w:sz w:val="32"/>
          <w:szCs w:val="28"/>
          <w:lang w:eastAsia="zh-CN"/>
        </w:rPr>
        <w:t>共计</w:t>
      </w:r>
      <w:r>
        <w:rPr>
          <w:rFonts w:hint="eastAsia" w:eastAsia="仿宋_GB2312"/>
          <w:color w:val="auto"/>
          <w:sz w:val="32"/>
          <w:szCs w:val="28"/>
          <w:lang w:val="en-US" w:eastAsia="zh-CN"/>
        </w:rPr>
        <w:t>400万元，指标直接下达益阳市赫山区住房和城乡建设局200万元用于2020年度赫山区施工图审查费、指标直接下达益益阳市赫山区环境卫生服务中心200万元用于</w:t>
      </w:r>
      <w:r>
        <w:rPr>
          <w:rFonts w:hint="eastAsia" w:eastAsia="仿宋_GB2312" w:cs="Times New Roman"/>
          <w:color w:val="auto"/>
          <w:sz w:val="32"/>
          <w:szCs w:val="28"/>
          <w:lang w:val="en-US" w:eastAsia="zh-CN"/>
        </w:rPr>
        <w:t>2</w:t>
      </w:r>
      <w:r>
        <w:rPr>
          <w:rFonts w:hint="eastAsia" w:ascii="Times New Roman" w:hAnsi="Times New Roman" w:eastAsia="仿宋_GB2312" w:cs="Times New Roman"/>
          <w:color w:val="auto"/>
          <w:sz w:val="32"/>
          <w:szCs w:val="28"/>
          <w:lang w:val="en-US" w:eastAsia="zh-CN"/>
        </w:rPr>
        <w:t>020年餐厨剩余物收集处理</w:t>
      </w:r>
      <w:r>
        <w:rPr>
          <w:rFonts w:hint="eastAsia" w:eastAsia="仿宋_GB2312"/>
          <w:color w:val="auto"/>
          <w:sz w:val="32"/>
          <w:szCs w:val="28"/>
          <w:lang w:val="en-US" w:eastAsia="zh-CN"/>
        </w:rPr>
        <w:t>。</w:t>
      </w:r>
    </w:p>
    <w:p>
      <w:pPr>
        <w:snapToGrid w:val="0"/>
        <w:spacing w:line="600" w:lineRule="exact"/>
        <w:ind w:firstLine="643" w:firstLineChars="200"/>
        <w:rPr>
          <w:rFonts w:hint="eastAsia" w:eastAsia="楷体_GB2312"/>
          <w:b/>
          <w:color w:val="auto"/>
          <w:sz w:val="32"/>
          <w:lang w:val="en-US" w:eastAsia="zh-CN"/>
        </w:rPr>
      </w:pPr>
      <w:r>
        <w:rPr>
          <w:rFonts w:hint="eastAsia" w:eastAsia="楷体_GB2312"/>
          <w:b/>
          <w:color w:val="auto"/>
          <w:sz w:val="32"/>
          <w:lang w:val="en-US" w:eastAsia="zh-CN"/>
        </w:rPr>
        <w:t>2施工图审查费及2020年餐厨剩余物收集处理经费专项资金管理情况</w:t>
      </w:r>
    </w:p>
    <w:p>
      <w:pPr>
        <w:snapToGrid w:val="0"/>
        <w:spacing w:line="600" w:lineRule="exact"/>
        <w:ind w:firstLine="640" w:firstLineChars="200"/>
        <w:rPr>
          <w:rFonts w:hint="eastAsia" w:eastAsia="仿宋_GB2312"/>
          <w:color w:val="auto"/>
          <w:sz w:val="32"/>
          <w:szCs w:val="28"/>
          <w:lang w:val="en-US" w:eastAsia="zh-CN"/>
        </w:rPr>
      </w:pPr>
      <w:r>
        <w:rPr>
          <w:rFonts w:hint="eastAsia" w:eastAsia="仿宋_GB2312"/>
          <w:color w:val="auto"/>
          <w:sz w:val="32"/>
          <w:szCs w:val="28"/>
          <w:lang w:val="en-US" w:eastAsia="zh-CN"/>
        </w:rPr>
        <w:t>益阳市赫山区按照《民政部 财政部关于政府购买社会工作服务的指导意见》（民发〔2012〕196号）)的有关规定，管理拨付和使用资金，统一归并各类项目专项资金，实行专项管理、分账核算，并严格按照规定用途使用，确保资金使用更加安全、规范、高效。</w:t>
      </w:r>
    </w:p>
    <w:p>
      <w:pPr>
        <w:numPr>
          <w:ilvl w:val="0"/>
          <w:numId w:val="1"/>
        </w:numPr>
        <w:snapToGrid w:val="0"/>
        <w:spacing w:line="600" w:lineRule="exact"/>
        <w:ind w:firstLine="640" w:firstLineChars="200"/>
        <w:rPr>
          <w:rFonts w:eastAsia="黑体"/>
          <w:bCs/>
          <w:color w:val="auto"/>
          <w:sz w:val="32"/>
        </w:rPr>
      </w:pPr>
      <w:r>
        <w:rPr>
          <w:rFonts w:hint="eastAsia" w:eastAsia="黑体"/>
          <w:bCs/>
          <w:color w:val="auto"/>
          <w:sz w:val="32"/>
          <w:lang w:eastAsia="zh-CN"/>
        </w:rPr>
        <w:t>项目</w:t>
      </w:r>
      <w:r>
        <w:rPr>
          <w:rFonts w:eastAsia="黑体"/>
          <w:bCs/>
          <w:color w:val="auto"/>
          <w:sz w:val="32"/>
        </w:rPr>
        <w:t>主要绩效</w:t>
      </w:r>
    </w:p>
    <w:p>
      <w:pPr>
        <w:topLinePunct/>
        <w:spacing w:line="600" w:lineRule="exact"/>
        <w:ind w:firstLine="640" w:firstLineChars="200"/>
        <w:rPr>
          <w:rFonts w:hint="default" w:ascii="仿宋" w:hAnsi="仿宋" w:eastAsia="仿宋" w:cs="仿宋_GB2312"/>
          <w:color w:val="auto"/>
          <w:sz w:val="32"/>
          <w:szCs w:val="32"/>
        </w:rPr>
      </w:pPr>
      <w:r>
        <w:rPr>
          <w:rFonts w:ascii="仿宋" w:hAnsi="仿宋" w:eastAsia="仿宋" w:cs="仿宋_GB2312"/>
          <w:sz w:val="32"/>
          <w:szCs w:val="32"/>
        </w:rPr>
        <w:t>根</w:t>
      </w:r>
      <w:r>
        <w:rPr>
          <w:rFonts w:ascii="仿宋" w:hAnsi="仿宋" w:eastAsia="仿宋" w:cs="仿宋_GB2312"/>
          <w:color w:val="auto"/>
          <w:sz w:val="32"/>
          <w:szCs w:val="32"/>
        </w:rPr>
        <w:t>据</w:t>
      </w:r>
      <w:r>
        <w:rPr>
          <w:rFonts w:hint="eastAsia" w:ascii="仿宋" w:hAnsi="仿宋" w:eastAsia="仿宋" w:cs="仿宋_GB2312"/>
          <w:color w:val="auto"/>
          <w:sz w:val="32"/>
          <w:szCs w:val="32"/>
        </w:rPr>
        <w:t>2020年度</w:t>
      </w:r>
      <w:r>
        <w:rPr>
          <w:rFonts w:hint="eastAsia" w:ascii="仿宋" w:hAnsi="仿宋" w:eastAsia="仿宋" w:cs="仿宋_GB2312"/>
          <w:color w:val="auto"/>
          <w:sz w:val="32"/>
          <w:szCs w:val="32"/>
          <w:lang w:eastAsia="zh-CN"/>
        </w:rPr>
        <w:t>政府购买服务</w:t>
      </w:r>
      <w:r>
        <w:rPr>
          <w:rFonts w:hint="eastAsia" w:ascii="仿宋" w:hAnsi="仿宋" w:eastAsia="仿宋" w:cs="仿宋_GB2312"/>
          <w:color w:val="auto"/>
          <w:sz w:val="32"/>
          <w:szCs w:val="32"/>
          <w:lang w:val="en-US" w:eastAsia="zh-CN"/>
        </w:rPr>
        <w:t>绩效评价指标体系</w:t>
      </w:r>
      <w:r>
        <w:rPr>
          <w:rFonts w:ascii="仿宋" w:hAnsi="仿宋" w:eastAsia="仿宋" w:cs="仿宋_GB2312"/>
          <w:color w:val="auto"/>
          <w:sz w:val="32"/>
          <w:szCs w:val="32"/>
        </w:rPr>
        <w:t>和绩效检查情况，该</w:t>
      </w:r>
      <w:r>
        <w:rPr>
          <w:rFonts w:hint="eastAsia" w:ascii="仿宋" w:hAnsi="仿宋" w:eastAsia="仿宋" w:cs="仿宋_GB2312"/>
          <w:color w:val="auto"/>
          <w:sz w:val="32"/>
          <w:szCs w:val="32"/>
          <w:lang w:val="en-US" w:eastAsia="zh-CN"/>
        </w:rPr>
        <w:t>项目</w:t>
      </w:r>
      <w:r>
        <w:rPr>
          <w:rFonts w:ascii="仿宋" w:hAnsi="仿宋" w:eastAsia="仿宋" w:cs="仿宋_GB2312"/>
          <w:color w:val="auto"/>
          <w:sz w:val="32"/>
          <w:szCs w:val="32"/>
        </w:rPr>
        <w:t>绩效评价指标总分值100分，实得</w:t>
      </w:r>
      <w:r>
        <w:rPr>
          <w:rFonts w:hint="eastAsia" w:ascii="仿宋" w:hAnsi="仿宋" w:eastAsia="仿宋" w:cs="仿宋_GB2312"/>
          <w:color w:val="auto"/>
          <w:sz w:val="32"/>
          <w:szCs w:val="32"/>
          <w:lang w:val="en-US" w:eastAsia="zh-CN"/>
        </w:rPr>
        <w:t>88.5</w:t>
      </w:r>
      <w:r>
        <w:rPr>
          <w:rFonts w:ascii="仿宋" w:hAnsi="仿宋" w:eastAsia="仿宋" w:cs="仿宋_GB2312"/>
          <w:color w:val="auto"/>
          <w:sz w:val="32"/>
          <w:szCs w:val="32"/>
        </w:rPr>
        <w:t>分，被评为“良好”等级（详见附件：</w:t>
      </w:r>
      <w:r>
        <w:rPr>
          <w:rFonts w:hint="eastAsia" w:ascii="仿宋" w:hAnsi="仿宋" w:eastAsia="仿宋" w:cs="仿宋_GB2312"/>
          <w:color w:val="auto"/>
          <w:sz w:val="32"/>
          <w:szCs w:val="32"/>
        </w:rPr>
        <w:t>2020年度</w:t>
      </w:r>
      <w:r>
        <w:rPr>
          <w:rFonts w:hint="eastAsia" w:ascii="仿宋" w:hAnsi="仿宋" w:eastAsia="仿宋" w:cs="仿宋_GB2312"/>
          <w:color w:val="auto"/>
          <w:sz w:val="32"/>
          <w:szCs w:val="32"/>
          <w:lang w:eastAsia="zh-CN"/>
        </w:rPr>
        <w:t>政府购买服务项目</w:t>
      </w:r>
      <w:r>
        <w:rPr>
          <w:rFonts w:hint="eastAsia" w:ascii="仿宋" w:hAnsi="仿宋" w:eastAsia="仿宋" w:cs="仿宋_GB2312"/>
          <w:color w:val="auto"/>
          <w:sz w:val="32"/>
          <w:szCs w:val="32"/>
          <w:lang w:val="en-US" w:eastAsia="zh-CN"/>
        </w:rPr>
        <w:t>绩效评价指标计分表</w:t>
      </w:r>
      <w:r>
        <w:rPr>
          <w:rFonts w:ascii="仿宋" w:hAnsi="仿宋" w:eastAsia="仿宋" w:cs="仿宋_GB2312"/>
          <w:color w:val="auto"/>
          <w:sz w:val="32"/>
          <w:szCs w:val="32"/>
        </w:rPr>
        <w:t>）。该部门主要绩效如下：</w:t>
      </w:r>
    </w:p>
    <w:p>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40" w:firstLineChars="200"/>
        <w:textAlignment w:val="auto"/>
        <w:rPr>
          <w:rFonts w:hint="eastAsia" w:eastAsia="仿宋_GB2312"/>
          <w:color w:val="auto"/>
          <w:sz w:val="32"/>
          <w:szCs w:val="28"/>
          <w:lang w:val="en-US" w:eastAsia="zh-CN"/>
        </w:rPr>
      </w:pPr>
      <w:r>
        <w:rPr>
          <w:rFonts w:hint="eastAsia" w:eastAsia="仿宋_GB2312"/>
          <w:color w:val="auto"/>
          <w:sz w:val="32"/>
          <w:szCs w:val="28"/>
          <w:lang w:val="en-US" w:eastAsia="zh-CN"/>
        </w:rPr>
        <w:t>1.施工图审查完成情况</w:t>
      </w:r>
    </w:p>
    <w:p>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40" w:firstLineChars="200"/>
        <w:textAlignment w:val="auto"/>
        <w:rPr>
          <w:rFonts w:hint="default" w:eastAsia="仿宋_GB2312"/>
          <w:color w:val="auto"/>
          <w:sz w:val="32"/>
          <w:szCs w:val="28"/>
          <w:lang w:val="en-US" w:eastAsia="zh-CN"/>
        </w:rPr>
      </w:pPr>
      <w:r>
        <w:rPr>
          <w:rFonts w:hint="eastAsia" w:eastAsia="仿宋_GB2312"/>
          <w:color w:val="auto"/>
          <w:sz w:val="32"/>
          <w:szCs w:val="28"/>
          <w:lang w:val="en-US" w:eastAsia="zh-CN"/>
        </w:rPr>
        <w:t>益阳市赫山区住房和城乡建设局2020年共支付施工图审查费164.996万元，其中益阳市施工图审查中心完成57个项目，涉及项目经费144.1804万元、湖南宏艺施工图审查咨询有限公司完成1个项目，涉及项目经费5.8763万元、中机国际（湖南）工程咨询有限责任公司完成3个项目，涉及的项目经费14.9393万元。</w:t>
      </w:r>
    </w:p>
    <w:p>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40" w:firstLineChars="200"/>
        <w:jc w:val="both"/>
        <w:textAlignment w:val="auto"/>
        <w:rPr>
          <w:rFonts w:hint="eastAsia" w:eastAsia="仿宋_GB2312"/>
          <w:color w:val="auto"/>
          <w:sz w:val="32"/>
          <w:szCs w:val="28"/>
          <w:lang w:val="en-US" w:eastAsia="zh-CN"/>
        </w:rPr>
      </w:pPr>
      <w:r>
        <w:rPr>
          <w:rFonts w:hint="eastAsia" w:eastAsia="仿宋_GB2312"/>
          <w:color w:val="auto"/>
          <w:sz w:val="32"/>
          <w:szCs w:val="28"/>
          <w:lang w:val="en-US" w:eastAsia="zh-CN"/>
        </w:rPr>
        <w:t>2.2020年餐厨剩余物收集处理经费完成情况</w:t>
      </w:r>
    </w:p>
    <w:p>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40" w:firstLineChars="200"/>
        <w:textAlignment w:val="auto"/>
        <w:rPr>
          <w:rFonts w:hint="eastAsia" w:eastAsia="仿宋_GB2312"/>
          <w:color w:val="auto"/>
          <w:sz w:val="32"/>
          <w:szCs w:val="28"/>
          <w:lang w:val="en-US" w:eastAsia="zh-CN"/>
        </w:rPr>
      </w:pPr>
      <w:r>
        <w:rPr>
          <w:rFonts w:hint="eastAsia" w:eastAsia="仿宋_GB2312"/>
          <w:color w:val="auto"/>
          <w:sz w:val="32"/>
          <w:szCs w:val="28"/>
          <w:lang w:val="en-US" w:eastAsia="zh-CN"/>
        </w:rPr>
        <w:t>2020年益阳赫山区环境卫生服务中心共支付餐厨剩余物收集处理经费共计210万元，湖南益环环境集团有限公司完成赫山区域内中心城区范围内学校、医院、单位食堂及门店和酒店共1292家范围内餐厨产生单位餐厨垃圾收集、运输服务。</w:t>
      </w:r>
    </w:p>
    <w:p>
      <w:pPr>
        <w:keepNext w:val="0"/>
        <w:keepLines w:val="0"/>
        <w:pageBreakBefore w:val="0"/>
        <w:numPr>
          <w:ilvl w:val="0"/>
          <w:numId w:val="2"/>
        </w:numPr>
        <w:kinsoku/>
        <w:wordWrap/>
        <w:overflowPunct/>
        <w:topLinePunct w:val="0"/>
        <w:autoSpaceDE/>
        <w:autoSpaceDN/>
        <w:bidi w:val="0"/>
        <w:adjustRightInd/>
        <w:snapToGrid w:val="0"/>
        <w:spacing w:line="600" w:lineRule="atLeast"/>
        <w:ind w:firstLine="640" w:firstLineChars="200"/>
        <w:textAlignment w:val="auto"/>
        <w:outlineLvl w:val="9"/>
        <w:rPr>
          <w:rFonts w:eastAsia="黑体"/>
          <w:bCs/>
          <w:color w:val="auto"/>
          <w:sz w:val="32"/>
        </w:rPr>
      </w:pPr>
      <w:r>
        <w:rPr>
          <w:rFonts w:eastAsia="黑体"/>
          <w:bCs/>
          <w:color w:val="auto"/>
          <w:sz w:val="32"/>
        </w:rPr>
        <w:t>存在的主要问题</w:t>
      </w:r>
    </w:p>
    <w:p>
      <w:pPr>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kinsoku/>
        <w:wordWrap/>
        <w:overflowPunct/>
        <w:topLinePunct/>
        <w:autoSpaceDE/>
        <w:autoSpaceDN/>
        <w:bidi w:val="0"/>
        <w:adjustRightInd/>
        <w:snapToGrid/>
        <w:spacing w:beforeAutospacing="0" w:afterAutospacing="0" w:line="600" w:lineRule="atLeast"/>
        <w:ind w:right="0" w:rightChars="0" w:firstLine="643" w:firstLineChars="200"/>
        <w:jc w:val="left"/>
        <w:textAlignment w:val="auto"/>
        <w:rPr>
          <w:rFonts w:hint="eastAsia" w:eastAsia="仿宋_GB2312"/>
          <w:color w:val="auto"/>
          <w:sz w:val="32"/>
          <w:szCs w:val="28"/>
          <w:lang w:val="en-US" w:eastAsia="zh-CN"/>
        </w:rPr>
      </w:pPr>
      <w:r>
        <w:rPr>
          <w:rFonts w:hint="eastAsia" w:ascii="仿宋_GB2312" w:hAnsi="微软雅黑" w:eastAsia="仿宋_GB2312" w:cs="仿宋_GB2312"/>
          <w:b/>
          <w:bCs/>
          <w:color w:val="auto"/>
          <w:kern w:val="2"/>
          <w:sz w:val="32"/>
          <w:szCs w:val="32"/>
          <w:shd w:val="clear" w:color="auto" w:fill="FFFFFF"/>
          <w:lang w:val="en-US" w:eastAsia="zh-CN" w:bidi="ar"/>
        </w:rPr>
        <w:t xml:space="preserve">违规支付。 </w:t>
      </w:r>
      <w:r>
        <w:rPr>
          <w:rFonts w:hint="eastAsia" w:ascii="仿宋_GB2312" w:hAnsi="微软雅黑" w:eastAsia="仿宋_GB2312" w:cs="仿宋_GB2312"/>
          <w:kern w:val="2"/>
          <w:sz w:val="32"/>
          <w:szCs w:val="32"/>
          <w:shd w:val="clear" w:color="auto" w:fill="FFFFFF"/>
          <w:lang w:val="en-US" w:eastAsia="zh-CN" w:bidi="ar"/>
        </w:rPr>
        <w:t>根据赫山区住建局提供的资料反映，</w:t>
      </w:r>
      <w:r>
        <w:rPr>
          <w:rFonts w:hint="eastAsia" w:eastAsia="仿宋_GB2312"/>
          <w:color w:val="auto"/>
          <w:sz w:val="32"/>
          <w:szCs w:val="28"/>
          <w:lang w:val="en-US" w:eastAsia="zh-CN"/>
        </w:rPr>
        <w:t>益阳市施工图审查中心为赫山区2020年度房屋建筑和市政基础设施工程施工图审查服务定点单位，但2020年</w:t>
      </w:r>
      <w:r>
        <w:rPr>
          <w:rFonts w:hint="eastAsia" w:ascii="仿宋_GB2312" w:hAnsi="微软雅黑" w:eastAsia="仿宋_GB2312" w:cs="仿宋_GB2312"/>
          <w:kern w:val="2"/>
          <w:sz w:val="32"/>
          <w:szCs w:val="32"/>
          <w:shd w:val="clear" w:color="auto" w:fill="FFFFFF"/>
          <w:lang w:val="en-US" w:eastAsia="zh-CN" w:bidi="ar"/>
        </w:rPr>
        <w:t>赫山区住建局向</w:t>
      </w:r>
      <w:r>
        <w:rPr>
          <w:rFonts w:hint="eastAsia" w:eastAsia="仿宋_GB2312"/>
          <w:color w:val="auto"/>
          <w:sz w:val="32"/>
          <w:szCs w:val="28"/>
          <w:lang w:val="en-US" w:eastAsia="zh-CN"/>
        </w:rPr>
        <w:t>湖南宏艺施工图审查咨询有限公司支付施工图审查费5.8763万元、中机国际（湖南）工程咨询有限责任公司支付施工图审查费14.9393万元。</w:t>
      </w:r>
    </w:p>
    <w:p>
      <w:pPr>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kinsoku/>
        <w:wordWrap/>
        <w:overflowPunct/>
        <w:topLinePunct/>
        <w:autoSpaceDE/>
        <w:autoSpaceDN/>
        <w:bidi w:val="0"/>
        <w:adjustRightInd/>
        <w:snapToGrid/>
        <w:spacing w:beforeAutospacing="0" w:afterAutospacing="0" w:line="600" w:lineRule="atLeast"/>
        <w:ind w:right="0" w:rightChars="0" w:firstLine="643" w:firstLineChars="200"/>
        <w:jc w:val="left"/>
        <w:textAlignment w:val="auto"/>
        <w:rPr>
          <w:rFonts w:hint="eastAsia" w:eastAsia="仿宋_GB2312"/>
          <w:b w:val="0"/>
          <w:bCs w:val="0"/>
          <w:color w:val="auto"/>
          <w:sz w:val="32"/>
          <w:szCs w:val="28"/>
          <w:lang w:val="en-US" w:eastAsia="zh-CN"/>
        </w:rPr>
      </w:pPr>
      <w:r>
        <w:rPr>
          <w:rFonts w:hint="eastAsia" w:eastAsia="仿宋_GB2312"/>
          <w:b/>
          <w:bCs/>
          <w:color w:val="auto"/>
          <w:sz w:val="32"/>
          <w:szCs w:val="28"/>
          <w:lang w:val="en-US" w:eastAsia="zh-CN"/>
        </w:rPr>
        <w:t>超预算采购。</w:t>
      </w:r>
      <w:r>
        <w:rPr>
          <w:rFonts w:hint="eastAsia" w:eastAsia="仿宋_GB2312"/>
          <w:b w:val="0"/>
          <w:bCs w:val="0"/>
          <w:color w:val="auto"/>
          <w:sz w:val="32"/>
          <w:szCs w:val="28"/>
          <w:lang w:val="en-US" w:eastAsia="zh-CN"/>
        </w:rPr>
        <w:t>根据益阳市赫山区人民政府办公室《2020年第四次区长办公会议纪要》（2020）4号，同意赫山区财政安排2020年餐厨剩余物收集处理工作经费200万元，但2020年6月16日采购中标金额为210万元</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autoSpaceDE/>
        <w:autoSpaceDN/>
        <w:bidi w:val="0"/>
        <w:adjustRightInd/>
        <w:snapToGrid/>
        <w:spacing w:beforeAutospacing="0" w:afterAutospacing="0" w:line="600" w:lineRule="atLeast"/>
        <w:ind w:right="0" w:rightChars="0" w:firstLine="640" w:firstLineChars="200"/>
        <w:jc w:val="left"/>
        <w:textAlignment w:val="auto"/>
        <w:rPr>
          <w:rFonts w:hint="eastAsia" w:ascii="仿宋_GB2312" w:eastAsia="仿宋_GB2312"/>
          <w:b/>
          <w:bCs w:val="0"/>
          <w:color w:val="333333"/>
          <w:sz w:val="32"/>
          <w:szCs w:val="32"/>
          <w:lang w:val="en-US" w:eastAsia="zh-CN"/>
        </w:rPr>
      </w:pPr>
      <w:r>
        <w:rPr>
          <w:rFonts w:hint="eastAsia" w:ascii="仿宋_GB2312" w:hAnsi="微软雅黑" w:eastAsia="仿宋_GB2312" w:cs="仿宋_GB2312"/>
          <w:kern w:val="2"/>
          <w:sz w:val="32"/>
          <w:szCs w:val="32"/>
          <w:shd w:val="clear" w:color="auto" w:fill="FFFFFF"/>
          <w:lang w:val="en-US" w:eastAsia="zh-CN" w:bidi="ar"/>
        </w:rPr>
        <w:t>3.</w:t>
      </w:r>
      <w:r>
        <w:rPr>
          <w:rFonts w:hint="eastAsia" w:ascii="仿宋_GB2312" w:hAnsi="微软雅黑" w:eastAsia="仿宋_GB2312" w:cs="仿宋_GB2312"/>
          <w:b/>
          <w:bCs/>
          <w:kern w:val="2"/>
          <w:sz w:val="32"/>
          <w:szCs w:val="32"/>
          <w:shd w:val="clear" w:color="auto" w:fill="FFFFFF"/>
          <w:lang w:val="en-US" w:eastAsia="zh-CN" w:bidi="ar"/>
        </w:rPr>
        <w:t>未按合同约定</w:t>
      </w:r>
      <w:r>
        <w:rPr>
          <w:rFonts w:hint="eastAsia" w:ascii="仿宋_GB2312" w:hAnsi="微软雅黑" w:eastAsia="仿宋_GB2312" w:cs="仿宋_GB2312"/>
          <w:kern w:val="2"/>
          <w:sz w:val="32"/>
          <w:szCs w:val="32"/>
          <w:shd w:val="clear" w:color="auto" w:fill="FFFFFF"/>
          <w:lang w:val="en-US" w:eastAsia="zh-CN" w:bidi="ar"/>
        </w:rPr>
        <w:t>。2020年6月16日</w:t>
      </w:r>
      <w:r>
        <w:rPr>
          <w:rFonts w:hint="eastAsia" w:eastAsia="仿宋_GB2312"/>
          <w:color w:val="auto"/>
          <w:sz w:val="32"/>
          <w:szCs w:val="28"/>
          <w:lang w:val="en-US" w:eastAsia="zh-CN"/>
        </w:rPr>
        <w:t>湖南益环环境集团有限公司中标2020年赫山区城区餐厨垃圾收集运输服务项目，于2020年6月18日与益阳市赫山区环境卫生服务中心签订合同，合同约定支付方式为益阳市赫山区环境卫生服务中心按《城市市容和环境卫生管理条例》、《城市市容环境卫生质量标准》、《益阳市城市市容环境卫生考核办法》、《益阳市城市市容环境卫生考核细则》、《赫山区餐厨垃圾收集与清运考核方案》检查后向湖南益环环境集团有限公司支付服务费。现场绩效评价时，益阳市赫山区环境卫生服务中心未对检查结果进行记录。</w:t>
      </w:r>
    </w:p>
    <w:p>
      <w:pPr>
        <w:snapToGrid w:val="0"/>
        <w:spacing w:line="600" w:lineRule="exact"/>
        <w:ind w:firstLine="640" w:firstLineChars="200"/>
        <w:rPr>
          <w:rFonts w:eastAsia="黑体"/>
          <w:bCs/>
          <w:color w:val="auto"/>
          <w:sz w:val="32"/>
        </w:rPr>
      </w:pPr>
      <w:r>
        <w:rPr>
          <w:rFonts w:hint="eastAsia" w:eastAsia="黑体"/>
          <w:bCs/>
          <w:color w:val="auto"/>
          <w:sz w:val="32"/>
          <w:lang w:eastAsia="zh-CN"/>
        </w:rPr>
        <w:t>六</w:t>
      </w:r>
      <w:r>
        <w:rPr>
          <w:rFonts w:eastAsia="黑体"/>
          <w:bCs/>
          <w:color w:val="auto"/>
          <w:sz w:val="32"/>
        </w:rPr>
        <w:t>、有关建议</w:t>
      </w:r>
    </w:p>
    <w:p>
      <w:pPr>
        <w:snapToGrid w:val="0"/>
        <w:spacing w:line="600" w:lineRule="exact"/>
        <w:ind w:firstLine="643" w:firstLineChars="200"/>
        <w:rPr>
          <w:rFonts w:hint="eastAsia" w:ascii="仿宋_GB2312" w:eastAsia="仿宋_GB2312"/>
          <w:color w:val="000000"/>
          <w:sz w:val="32"/>
          <w:szCs w:val="32"/>
          <w:lang w:val="en-US" w:eastAsia="zh-CN"/>
        </w:rPr>
      </w:pPr>
      <w:r>
        <w:rPr>
          <w:rFonts w:hint="eastAsia" w:ascii="仿宋_GB2312" w:hAnsi="宋体" w:eastAsia="仿宋_GB2312" w:cs="宋体"/>
          <w:b/>
          <w:color w:val="000000"/>
          <w:kern w:val="0"/>
          <w:sz w:val="32"/>
          <w:szCs w:val="32"/>
          <w:lang w:val="en-US" w:eastAsia="zh-CN" w:bidi="ar-SA"/>
        </w:rPr>
        <w:t>1.严格按照采购程序。</w:t>
      </w:r>
      <w:r>
        <w:rPr>
          <w:rFonts w:hint="eastAsia" w:ascii="仿宋_GB2312" w:eastAsia="仿宋_GB2312"/>
          <w:color w:val="000000"/>
          <w:sz w:val="32"/>
          <w:szCs w:val="32"/>
          <w:lang w:val="en-US" w:eastAsia="zh-CN"/>
        </w:rPr>
        <w:t>项目资金支出按照严格按照项目内容列支，款项直接支付给定点服务单位。</w:t>
      </w:r>
    </w:p>
    <w:p>
      <w:pPr>
        <w:snapToGrid w:val="0"/>
        <w:spacing w:line="600" w:lineRule="exact"/>
        <w:ind w:firstLine="640" w:firstLineChars="200"/>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2.</w:t>
      </w:r>
      <w:r>
        <w:rPr>
          <w:rFonts w:hint="eastAsia" w:ascii="仿宋_GB2312" w:eastAsia="仿宋_GB2312"/>
          <w:b/>
          <w:bCs/>
          <w:color w:val="000000"/>
          <w:sz w:val="32"/>
          <w:szCs w:val="32"/>
          <w:lang w:val="en-US" w:eastAsia="zh-CN"/>
        </w:rPr>
        <w:t>强化预算管理。</w:t>
      </w:r>
      <w:r>
        <w:rPr>
          <w:rFonts w:hint="eastAsia" w:ascii="仿宋_GB2312" w:eastAsia="仿宋_GB2312"/>
          <w:color w:val="000000"/>
          <w:sz w:val="32"/>
          <w:szCs w:val="32"/>
          <w:lang w:val="en-US" w:eastAsia="zh-CN"/>
        </w:rPr>
        <w:t>采购人应严格按照批复的政府采购预算执行并依法对执行结果负责。</w:t>
      </w:r>
    </w:p>
    <w:p>
      <w:pPr>
        <w:snapToGrid w:val="0"/>
        <w:spacing w:line="600" w:lineRule="exact"/>
        <w:ind w:firstLine="643" w:firstLineChars="200"/>
        <w:rPr>
          <w:rFonts w:hint="default" w:ascii="仿宋_GB2312" w:hAnsi="宋体" w:eastAsia="仿宋_GB2312" w:cs="宋体"/>
          <w:b/>
          <w:color w:val="000000"/>
          <w:kern w:val="0"/>
          <w:sz w:val="32"/>
          <w:szCs w:val="32"/>
          <w:lang w:val="en-US" w:eastAsia="zh-CN" w:bidi="ar-SA"/>
        </w:rPr>
      </w:pPr>
      <w:r>
        <w:rPr>
          <w:rFonts w:hint="eastAsia" w:ascii="仿宋_GB2312" w:hAnsi="宋体" w:eastAsia="仿宋_GB2312" w:cs="宋体"/>
          <w:b/>
          <w:color w:val="000000"/>
          <w:kern w:val="0"/>
          <w:sz w:val="32"/>
          <w:szCs w:val="32"/>
          <w:lang w:val="en-US" w:eastAsia="zh-CN" w:bidi="ar-SA"/>
        </w:rPr>
        <w:t>3.加强项目管理。</w:t>
      </w:r>
      <w:r>
        <w:rPr>
          <w:rFonts w:hint="eastAsia" w:eastAsia="仿宋_GB2312"/>
          <w:color w:val="auto"/>
          <w:sz w:val="32"/>
          <w:szCs w:val="28"/>
          <w:lang w:val="en-US" w:eastAsia="zh-CN"/>
        </w:rPr>
        <w:t>加强项目管理，严格按照合同要求，每月对项目进行监督，并记录在案。</w:t>
      </w:r>
    </w:p>
    <w:p>
      <w:pPr>
        <w:pStyle w:val="8"/>
        <w:widowControl w:val="0"/>
        <w:snapToGrid w:val="0"/>
        <w:spacing w:before="0" w:beforeAutospacing="0" w:after="0" w:afterAutospacing="0" w:line="600" w:lineRule="exact"/>
        <w:jc w:val="both"/>
        <w:rPr>
          <w:rFonts w:hint="eastAsia" w:ascii="Times New Roman" w:hAnsi="Times New Roman" w:eastAsia="仿宋_GB2312" w:cs="Times New Roman"/>
          <w:color w:val="auto"/>
          <w:kern w:val="2"/>
          <w:sz w:val="32"/>
          <w:szCs w:val="28"/>
          <w:lang w:val="en-US" w:eastAsia="zh-CN" w:bidi="ar-SA"/>
        </w:rPr>
        <w:sectPr>
          <w:footerReference r:id="rId3" w:type="default"/>
          <w:pgSz w:w="11905" w:h="16837"/>
          <w:pgMar w:top="1418" w:right="1588" w:bottom="1418" w:left="1588" w:header="720" w:footer="1701" w:gutter="0"/>
          <w:pgBorders>
            <w:top w:val="none" w:sz="0" w:space="0"/>
            <w:left w:val="none" w:sz="0" w:space="0"/>
            <w:bottom w:val="none" w:sz="0" w:space="0"/>
            <w:right w:val="none" w:sz="0" w:space="0"/>
          </w:pgBorders>
          <w:pgNumType w:fmt="numberInDash" w:start="1"/>
          <w:cols w:space="720" w:num="1"/>
          <w:titlePg/>
          <w:docGrid w:linePitch="636" w:charSpace="20838"/>
        </w:sectPr>
      </w:pPr>
    </w:p>
    <w:p>
      <w:pPr>
        <w:pStyle w:val="8"/>
        <w:widowControl w:val="0"/>
        <w:snapToGrid w:val="0"/>
        <w:spacing w:before="0" w:beforeAutospacing="0" w:after="0" w:afterAutospacing="0" w:line="600" w:lineRule="exact"/>
        <w:ind w:firstLine="640" w:firstLineChars="200"/>
        <w:jc w:val="center"/>
        <w:rPr>
          <w:rFonts w:hint="eastAsia" w:ascii="宋体" w:hAnsi="宋体" w:eastAsia="宋体" w:cs="宋体"/>
          <w:i w:val="0"/>
          <w:color w:val="000000"/>
          <w:kern w:val="0"/>
          <w:sz w:val="32"/>
          <w:szCs w:val="32"/>
          <w:u w:val="none"/>
          <w:lang w:val="en-US" w:eastAsia="zh-CN" w:bidi="ar"/>
        </w:rPr>
      </w:pPr>
      <w:r>
        <w:rPr>
          <w:rFonts w:hint="eastAsia" w:ascii="宋体" w:hAnsi="宋体" w:cs="宋体"/>
          <w:i w:val="0"/>
          <w:color w:val="000000"/>
          <w:kern w:val="0"/>
          <w:sz w:val="32"/>
          <w:szCs w:val="32"/>
          <w:u w:val="none"/>
          <w:lang w:val="en-US" w:eastAsia="zh-CN" w:bidi="ar"/>
        </w:rPr>
        <w:t>2020</w:t>
      </w:r>
      <w:r>
        <w:rPr>
          <w:rFonts w:hint="eastAsia" w:ascii="宋体" w:hAnsi="宋体" w:eastAsia="宋体" w:cs="宋体"/>
          <w:i w:val="0"/>
          <w:color w:val="000000"/>
          <w:kern w:val="0"/>
          <w:sz w:val="32"/>
          <w:szCs w:val="32"/>
          <w:u w:val="none"/>
          <w:lang w:val="en-US" w:eastAsia="zh-CN" w:bidi="ar"/>
        </w:rPr>
        <w:t>年</w:t>
      </w:r>
      <w:r>
        <w:rPr>
          <w:rFonts w:hint="eastAsia" w:cs="宋体"/>
          <w:i w:val="0"/>
          <w:color w:val="000000"/>
          <w:kern w:val="0"/>
          <w:sz w:val="32"/>
          <w:szCs w:val="32"/>
          <w:u w:val="none"/>
          <w:lang w:val="en-US" w:eastAsia="zh-CN" w:bidi="ar"/>
        </w:rPr>
        <w:t>政府购买服务</w:t>
      </w:r>
      <w:r>
        <w:rPr>
          <w:rFonts w:hint="eastAsia" w:ascii="宋体" w:hAnsi="宋体" w:eastAsia="宋体" w:cs="宋体"/>
          <w:i w:val="0"/>
          <w:color w:val="000000"/>
          <w:kern w:val="0"/>
          <w:sz w:val="32"/>
          <w:szCs w:val="32"/>
          <w:u w:val="none"/>
          <w:lang w:val="en-US" w:eastAsia="zh-CN" w:bidi="ar"/>
        </w:rPr>
        <w:t>项目绩效评价指标计分表</w:t>
      </w:r>
    </w:p>
    <w:tbl>
      <w:tblPr>
        <w:tblStyle w:val="9"/>
        <w:tblW w:w="14401" w:type="dxa"/>
        <w:tblInd w:w="96" w:type="dxa"/>
        <w:shd w:val="clear" w:color="auto" w:fill="auto"/>
        <w:tblLayout w:type="fixed"/>
        <w:tblCellMar>
          <w:top w:w="0" w:type="dxa"/>
          <w:left w:w="108" w:type="dxa"/>
          <w:bottom w:w="0" w:type="dxa"/>
          <w:right w:w="108" w:type="dxa"/>
        </w:tblCellMar>
      </w:tblPr>
      <w:tblGrid>
        <w:gridCol w:w="1055"/>
        <w:gridCol w:w="1020"/>
        <w:gridCol w:w="1284"/>
        <w:gridCol w:w="816"/>
        <w:gridCol w:w="4440"/>
        <w:gridCol w:w="5064"/>
        <w:gridCol w:w="722"/>
      </w:tblGrid>
      <w:tr>
        <w:tblPrEx>
          <w:shd w:val="clear" w:color="auto" w:fill="auto"/>
          <w:tblCellMar>
            <w:top w:w="0" w:type="dxa"/>
            <w:left w:w="108" w:type="dxa"/>
            <w:bottom w:w="0" w:type="dxa"/>
            <w:right w:w="108" w:type="dxa"/>
          </w:tblCellMar>
        </w:tblPrEx>
        <w:trPr>
          <w:trHeight w:val="420" w:hRule="atLeast"/>
        </w:trPr>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评分要点</w:t>
            </w:r>
          </w:p>
        </w:tc>
        <w:tc>
          <w:tcPr>
            <w:tcW w:w="5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计分</w:t>
            </w:r>
          </w:p>
        </w:tc>
      </w:tr>
      <w:tr>
        <w:tblPrEx>
          <w:shd w:val="clear" w:color="auto" w:fill="auto"/>
          <w:tblCellMar>
            <w:top w:w="0" w:type="dxa"/>
            <w:left w:w="108" w:type="dxa"/>
            <w:bottom w:w="0" w:type="dxa"/>
            <w:right w:w="108" w:type="dxa"/>
          </w:tblCellMar>
        </w:tblPrEx>
        <w:trPr>
          <w:trHeight w:val="1574" w:hRule="atLeast"/>
        </w:trPr>
        <w:tc>
          <w:tcPr>
            <w:tcW w:w="10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项目决策（20分）</w:t>
            </w: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项目申报（7分）</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项目申报</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①项目是否按照规定的程序申请设立；②项目是否列入规划或工作计划：③事前是否已经过必要的可行性研究、专家论证、风险评估、集体决策等。</w:t>
            </w:r>
          </w:p>
        </w:tc>
        <w:tc>
          <w:tcPr>
            <w:tcW w:w="5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按照规定的程序设立，计0.4分；②列入部门工作计划，计0.4分；③事前已经过必要的可行性研究、专家论证、风险评估、集体决策等，计0.4分；④符合本市国民经济和社会发展的总体规划，符合专项资金支持的方向、重点和范围，计0.4分。⑤申报前中，经党委会局务集体研究，计0.4分。否则，酌情扣分。</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r>
      <w:tr>
        <w:tblPrEx>
          <w:shd w:val="clear" w:color="auto" w:fill="auto"/>
          <w:tblCellMar>
            <w:top w:w="0" w:type="dxa"/>
            <w:left w:w="108" w:type="dxa"/>
            <w:bottom w:w="0" w:type="dxa"/>
            <w:right w:w="108" w:type="dxa"/>
          </w:tblCellMar>
        </w:tblPrEx>
        <w:trPr>
          <w:trHeight w:val="1680"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绩效目标</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是否将项目绩效目标细化分解为具体的绩效指标；②是否通过清晰、可衡量的指标值予以体现：③是否与项目年度任务数或计划数相对应；④是否与预算确定的项目投资额或资金量相匹配。⑤遵循科学性、重要性、经济性、关联性原则。</w:t>
            </w:r>
          </w:p>
        </w:tc>
        <w:tc>
          <w:tcPr>
            <w:tcW w:w="5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有目标，计1分：②目标明确，细化量化良好，个性指标中量化指标超过3个，计2分，量化指标为2个，计1分，2个以下不计分；③目标与资金匹配良好，逻辑关系明确，计1分；④遵循四个原则，计1分。否则，酌情扣分</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r>
      <w:tr>
        <w:tblPrEx>
          <w:shd w:val="clear" w:color="auto" w:fill="auto"/>
          <w:tblCellMar>
            <w:top w:w="0" w:type="dxa"/>
            <w:left w:w="108" w:type="dxa"/>
            <w:bottom w:w="0" w:type="dxa"/>
            <w:right w:w="108" w:type="dxa"/>
          </w:tblCellMar>
        </w:tblPrEx>
        <w:trPr>
          <w:trHeight w:val="720"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资金分配（3分）</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分配办法</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①分配办法是否健全、规范；②因素选择是否公平、合理。</w:t>
            </w:r>
          </w:p>
        </w:tc>
        <w:tc>
          <w:tcPr>
            <w:tcW w:w="5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①分配办法健全、规范，计0.5分，1例不符合扣0.1分；②因素选择全面、合理，计0.5分，1例不符合扣0.1分。</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tblPrEx>
          <w:shd w:val="clear" w:color="auto" w:fill="auto"/>
          <w:tblCellMar>
            <w:top w:w="0" w:type="dxa"/>
            <w:left w:w="108" w:type="dxa"/>
            <w:bottom w:w="0" w:type="dxa"/>
            <w:right w:w="108" w:type="dxa"/>
          </w:tblCellMar>
        </w:tblPrEx>
        <w:trPr>
          <w:trHeight w:val="480"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分配结果</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实际分配是否符合办法要求，结果是否公平、合理。</w:t>
            </w:r>
          </w:p>
        </w:tc>
        <w:tc>
          <w:tcPr>
            <w:tcW w:w="5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实际分配符合办法要求，结果公平、合理，计1分，1例不符合扣0.1分。</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1</w:t>
            </w:r>
          </w:p>
        </w:tc>
      </w:tr>
      <w:tr>
        <w:tblPrEx>
          <w:shd w:val="clear" w:color="auto" w:fill="auto"/>
          <w:tblCellMar>
            <w:top w:w="0" w:type="dxa"/>
            <w:left w:w="108" w:type="dxa"/>
            <w:bottom w:w="0" w:type="dxa"/>
            <w:right w:w="108" w:type="dxa"/>
          </w:tblCellMar>
        </w:tblPrEx>
        <w:trPr>
          <w:trHeight w:val="960"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结果公示</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①资金分配结果是都在公开渠道进行公示；②公示是否及时，公示期是否达到要求；③公示内容准确；④公示内容完整。</w:t>
            </w:r>
          </w:p>
        </w:tc>
        <w:tc>
          <w:tcPr>
            <w:tcW w:w="5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①资金分配结果在公开渠道进行公示，计0.5分；②公示及时，公示期达到要求，公示内容准确，公示内容完整，得0.5分。否则，酌情扣分。</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1</w:t>
            </w:r>
          </w:p>
        </w:tc>
      </w:tr>
      <w:tr>
        <w:tblPrEx>
          <w:shd w:val="clear" w:color="auto" w:fill="auto"/>
          <w:tblCellMar>
            <w:top w:w="0" w:type="dxa"/>
            <w:left w:w="108" w:type="dxa"/>
            <w:bottom w:w="0" w:type="dxa"/>
            <w:right w:w="108" w:type="dxa"/>
          </w:tblCellMar>
        </w:tblPrEx>
        <w:trPr>
          <w:trHeight w:val="960" w:hRule="atLeast"/>
        </w:trPr>
        <w:tc>
          <w:tcPr>
            <w:tcW w:w="10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项目管理（40分）</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预算执行（4分）</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执行进度</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预算执行进度=截止预算年度12月底已完成投资的预算项目资金/预算资金*100%</w:t>
            </w:r>
          </w:p>
        </w:tc>
        <w:tc>
          <w:tcPr>
            <w:tcW w:w="5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①11月底下达的、12月底前完成100%，计4分，每下降1%扣0.2分，扣完为止。②12月底前下达的，3月30日前完成100%，计4分，每下降1%扣0.2分，扣完为止。</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3</w:t>
            </w:r>
          </w:p>
        </w:tc>
      </w:tr>
      <w:tr>
        <w:tblPrEx>
          <w:shd w:val="clear" w:color="auto" w:fill="auto"/>
          <w:tblCellMar>
            <w:top w:w="0" w:type="dxa"/>
            <w:left w:w="108" w:type="dxa"/>
            <w:bottom w:w="0" w:type="dxa"/>
            <w:right w:w="108" w:type="dxa"/>
          </w:tblCellMar>
        </w:tblPrEx>
        <w:trPr>
          <w:trHeight w:val="480"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预算调整（4分）</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预算调整率</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预算调整率=预算调整金额/年初预算金额的</w:t>
            </w:r>
          </w:p>
        </w:tc>
        <w:tc>
          <w:tcPr>
            <w:tcW w:w="5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预算调整率低于5%得4分，按比例每上升1%扣0.2分。</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r>
      <w:tr>
        <w:tblPrEx>
          <w:shd w:val="clear" w:color="auto" w:fill="auto"/>
          <w:tblCellMar>
            <w:top w:w="0" w:type="dxa"/>
            <w:left w:w="108" w:type="dxa"/>
            <w:bottom w:w="0" w:type="dxa"/>
            <w:right w:w="108" w:type="dxa"/>
          </w:tblCellMar>
        </w:tblPrEx>
        <w:trPr>
          <w:trHeight w:val="720"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预算结转（3分）</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结余结转资金规模</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结余结转率=年末结余结转资金金额/年初预算金额</w:t>
            </w:r>
          </w:p>
        </w:tc>
        <w:tc>
          <w:tcPr>
            <w:tcW w:w="5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①结余结转率低于5%，得3分；②高于5%，按比例每上升1%，扣0.2分，扣完为止。</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0.5</w:t>
            </w:r>
          </w:p>
        </w:tc>
      </w:tr>
      <w:tr>
        <w:tblPrEx>
          <w:shd w:val="clear" w:color="auto" w:fill="auto"/>
          <w:tblCellMar>
            <w:top w:w="0" w:type="dxa"/>
            <w:left w:w="108" w:type="dxa"/>
            <w:bottom w:w="0" w:type="dxa"/>
            <w:right w:w="108" w:type="dxa"/>
          </w:tblCellMar>
        </w:tblPrEx>
        <w:trPr>
          <w:trHeight w:val="960"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组织管理（17分）</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政府采购</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①政府采购手续齐全；②应采尽采；③合同规范</w:t>
            </w:r>
          </w:p>
        </w:tc>
        <w:tc>
          <w:tcPr>
            <w:tcW w:w="5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①政府采购手续齐全1分；②应采尽采2分；③合同规范1分，按比例每下降1%扣0.1分；④有不良记录或被投诉属实，本项不得分。</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r>
      <w:tr>
        <w:tblPrEx>
          <w:shd w:val="clear" w:color="auto" w:fill="auto"/>
          <w:tblCellMar>
            <w:top w:w="0" w:type="dxa"/>
            <w:left w:w="108" w:type="dxa"/>
            <w:bottom w:w="0" w:type="dxa"/>
            <w:right w:w="108" w:type="dxa"/>
          </w:tblCellMar>
        </w:tblPrEx>
        <w:trPr>
          <w:trHeight w:val="480"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投资评审</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①标底评审：②结算评审：③决算评</w:t>
            </w:r>
          </w:p>
        </w:tc>
        <w:tc>
          <w:tcPr>
            <w:tcW w:w="5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①标底评审0.5分：②结算评审3分；③决算评审0.5分，按比例每下降1%扣0.2分</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r>
      <w:tr>
        <w:tblPrEx>
          <w:shd w:val="clear" w:color="auto" w:fill="auto"/>
          <w:tblCellMar>
            <w:top w:w="0" w:type="dxa"/>
            <w:left w:w="108" w:type="dxa"/>
            <w:bottom w:w="0" w:type="dxa"/>
            <w:right w:w="108" w:type="dxa"/>
          </w:tblCellMar>
        </w:tblPrEx>
        <w:trPr>
          <w:trHeight w:val="1358"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管理制度</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①是否制定业务管理的相关制度；②是否制定项目资金管理办法；③相关管理制度是否合法、合规、完整；④是否按项目管理制度执行；⑤是否对分项目进行中期检查与汇报，是否进行项目的跟踪、监督、整改。</w:t>
            </w:r>
          </w:p>
        </w:tc>
        <w:tc>
          <w:tcPr>
            <w:tcW w:w="5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①、②、③、④、⑤各0.8分。否则，酌情扣分。</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r>
      <w:tr>
        <w:tblPrEx>
          <w:shd w:val="clear" w:color="auto" w:fill="auto"/>
          <w:tblCellMar>
            <w:top w:w="0" w:type="dxa"/>
            <w:left w:w="108" w:type="dxa"/>
            <w:bottom w:w="0" w:type="dxa"/>
            <w:right w:w="108" w:type="dxa"/>
          </w:tblCellMar>
        </w:tblPrEx>
        <w:trPr>
          <w:trHeight w:val="1322"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绩效自评</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是否按要求开展绩效自评工作；②绩效自评报告报送及时；③绩效自评报告的评审等级；④绩效自评报是否完整，数据是否全面、真实、准确，绩效指标是否细化量化和科学合理，绩效自评反映的问题是否具体，意见是否可行。</w:t>
            </w:r>
          </w:p>
        </w:tc>
        <w:tc>
          <w:tcPr>
            <w:tcW w:w="5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评审为优，得5分：评审为良，得4分：评审为中，得2.5分；评审为低，得1分；评审为差，得0分。</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1310"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财务管理（12分）</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资产管理</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①资产是否保存完整、使用合规、配置合理；②资产是否处置规范、收入及时上缴。</w:t>
            </w:r>
          </w:p>
        </w:tc>
        <w:tc>
          <w:tcPr>
            <w:tcW w:w="5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资产配置合理、保管完整，账实相符的，得1分；②资产有偿使用及处置收入及时足额上缴，得1分；③有明确的资产配置预算入或计划，报批手续完整，得0.5分；④不超资产配置标准，得1分，发现一例超过标准的，本项不得分。</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r>
      <w:tr>
        <w:tblPrEx>
          <w:shd w:val="clear" w:color="auto" w:fill="auto"/>
          <w:tblCellMar>
            <w:top w:w="0" w:type="dxa"/>
            <w:left w:w="108" w:type="dxa"/>
            <w:bottom w:w="0" w:type="dxa"/>
            <w:right w:w="108" w:type="dxa"/>
          </w:tblCellMar>
        </w:tblPrEx>
        <w:trPr>
          <w:trHeight w:val="2090"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资金使用</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是否符合国家财经法规和财务管理制度以及有关专项资金管理办法的规定；②资金的支付是否有完整的审批程序和手续；③项目的重大开支是否1经过评估认证；④是否符合项目预算批复或合同规定的用途；⑤是否存在成留、挤占、挪用、虚列支出等情况；⑥是否存在重复申报项目、虚报冒领资金。</w:t>
            </w:r>
          </w:p>
        </w:tc>
        <w:tc>
          <w:tcPr>
            <w:tcW w:w="5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符合国家财经法规和财务管理制度以及有关专项资金管理办法的规定，资金的支付有完整的审批程序和手续，计1分，1例不符合扣0.2分；②项目的重大开支经过评估认证，计1分，1例不符合扣0.2分；③符合车项目预算批复或合同规定的用途，计1分，1例不符合扣0.2分；④不存在截留、挤占领挪用、虚列支出等情况，不存在重复申报项日、虚报冒领资金，计1分，1例不符合全扣；⑤违规情况严重的在总分上加扣10分。</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r>
      <w:tr>
        <w:tblPrEx>
          <w:shd w:val="clear" w:color="auto" w:fill="auto"/>
          <w:tblCellMar>
            <w:top w:w="0" w:type="dxa"/>
            <w:left w:w="108" w:type="dxa"/>
            <w:bottom w:w="0" w:type="dxa"/>
            <w:right w:w="108" w:type="dxa"/>
          </w:tblCellMar>
        </w:tblPrEx>
        <w:trPr>
          <w:trHeight w:val="2030"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会计信息</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真实性：项目实际发生支出的会计核算是否真实；②完整性：项目资金投入、支出、资产等会计核算资料的完整性；③及时性：各类会计核算资1料提供的及时性，已完成项目是否及时进行决算与审计，项目形成的固定资产是否及时登记入账等情况；④准确性：项目实际发生支出的会计核算是否准确规范。</w:t>
            </w:r>
          </w:p>
        </w:tc>
        <w:tc>
          <w:tcPr>
            <w:tcW w:w="5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项目实际发生支出的会计核算真实、准确论和规范，计1分，1例不符合扣0.2分；②的项目金投入，支出，产等会计核算资料或的完整性，计分，例不符合扣02分；③各类会计核算资料提供的及时性，已完成|项目及时进行决算与审计，项目形成的固定资产及时登记入账等情况，计1分，1例不|符合扣02分；④往来处理及时，得1分发现3年以上应收款1例倒扣0.2分，扣完为止。</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4</w:t>
            </w:r>
          </w:p>
        </w:tc>
      </w:tr>
      <w:tr>
        <w:tblPrEx>
          <w:shd w:val="clear" w:color="auto" w:fill="auto"/>
          <w:tblCellMar>
            <w:top w:w="0" w:type="dxa"/>
            <w:left w:w="108" w:type="dxa"/>
            <w:bottom w:w="0" w:type="dxa"/>
            <w:right w:w="108" w:type="dxa"/>
          </w:tblCellMar>
        </w:tblPrEx>
        <w:trPr>
          <w:trHeight w:val="1384" w:hRule="atLeast"/>
        </w:trPr>
        <w:tc>
          <w:tcPr>
            <w:tcW w:w="10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项目产出     （30分）</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产出数量（10分）</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实际完成率</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率=（实际产出数/计划产出数）×100%。实际产出数：一定时期（本年度或项目期）内项目实际产出的产品或提供的服务数量。计划产出：项目绩效目标确定的在一定时期（本年度或项目期）内计划产出的产品或提供的服务数量</w:t>
            </w:r>
          </w:p>
        </w:tc>
        <w:tc>
          <w:tcPr>
            <w:tcW w:w="5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达到100%的，计8分，每下降5%扣1分，扣完为止。</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10</w:t>
            </w:r>
          </w:p>
        </w:tc>
      </w:tr>
      <w:tr>
        <w:tblPrEx>
          <w:shd w:val="clear" w:color="auto" w:fill="auto"/>
          <w:tblCellMar>
            <w:top w:w="0" w:type="dxa"/>
            <w:left w:w="108" w:type="dxa"/>
            <w:bottom w:w="0" w:type="dxa"/>
            <w:right w:w="108" w:type="dxa"/>
          </w:tblCellMar>
        </w:tblPrEx>
        <w:trPr>
          <w:trHeight w:val="502"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产出质量（20分）</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项目完成时效性</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4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项目建设内容的质量是否合格</w:t>
            </w:r>
          </w:p>
        </w:tc>
        <w:tc>
          <w:tcPr>
            <w:tcW w:w="5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达到100%的，计10分，每下降5%扣1分，扣完为止。</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cs="宋体"/>
                <w:i w:val="0"/>
                <w:iCs w:val="0"/>
                <w:color w:val="000000"/>
                <w:kern w:val="0"/>
                <w:sz w:val="20"/>
                <w:szCs w:val="20"/>
                <w:u w:val="none"/>
                <w:lang w:val="en-US" w:eastAsia="zh-CN" w:bidi="ar"/>
              </w:rPr>
              <w:t>10</w:t>
            </w:r>
          </w:p>
        </w:tc>
      </w:tr>
      <w:tr>
        <w:tblPrEx>
          <w:shd w:val="clear" w:color="auto" w:fill="auto"/>
          <w:tblCellMar>
            <w:top w:w="0" w:type="dxa"/>
            <w:left w:w="108" w:type="dxa"/>
            <w:bottom w:w="0" w:type="dxa"/>
            <w:right w:w="108" w:type="dxa"/>
          </w:tblCellMar>
        </w:tblPrEx>
        <w:trPr>
          <w:trHeight w:val="702"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4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项目实际成本与工作内容的匹配程度及产出成本控制措施的有效性</w:t>
            </w:r>
          </w:p>
        </w:tc>
        <w:tc>
          <w:tcPr>
            <w:tcW w:w="5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实际成本与工作内容基本匹配计5分，匹配程度每下降5%扣1分，扣完为止。</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r>
      <w:tr>
        <w:tblPrEx>
          <w:shd w:val="clear" w:color="auto" w:fill="auto"/>
          <w:tblCellMar>
            <w:top w:w="0" w:type="dxa"/>
            <w:left w:w="108" w:type="dxa"/>
            <w:bottom w:w="0" w:type="dxa"/>
            <w:right w:w="108" w:type="dxa"/>
          </w:tblCellMar>
        </w:tblPrEx>
        <w:trPr>
          <w:trHeight w:val="660" w:hRule="atLeast"/>
        </w:trPr>
        <w:tc>
          <w:tcPr>
            <w:tcW w:w="10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项目效果（20分）</w:t>
            </w: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项目实施对社会发展所带来的直接或间接影响情况。</w:t>
            </w:r>
          </w:p>
        </w:tc>
        <w:tc>
          <w:tcPr>
            <w:tcW w:w="5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根据实际情况及调查问卷等酌情扣分</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r>
      <w:tr>
        <w:tblPrEx>
          <w:shd w:val="clear" w:color="auto" w:fill="auto"/>
          <w:tblCellMar>
            <w:top w:w="0" w:type="dxa"/>
            <w:left w:w="108" w:type="dxa"/>
            <w:bottom w:w="0" w:type="dxa"/>
            <w:right w:w="108" w:type="dxa"/>
          </w:tblCellMar>
        </w:tblPrEx>
        <w:trPr>
          <w:trHeight w:val="780"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经济效益</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项目实施对经济发展所带来的直接或间接影响情况。</w:t>
            </w:r>
          </w:p>
        </w:tc>
        <w:tc>
          <w:tcPr>
            <w:tcW w:w="5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根据实际情况及调查问卷等酌情扣分</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r>
      <w:tr>
        <w:tblPrEx>
          <w:shd w:val="clear" w:color="auto" w:fill="auto"/>
          <w:tblCellMar>
            <w:top w:w="0" w:type="dxa"/>
            <w:left w:w="108" w:type="dxa"/>
            <w:bottom w:w="0" w:type="dxa"/>
            <w:right w:w="108" w:type="dxa"/>
          </w:tblCellMar>
        </w:tblPrEx>
        <w:trPr>
          <w:trHeight w:val="780"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可持续影响</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项目后续运行及成效发挥的可持续影响情况。</w:t>
            </w:r>
          </w:p>
        </w:tc>
        <w:tc>
          <w:tcPr>
            <w:tcW w:w="5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根据实际情况及调查问卷等酌情扣分</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r>
      <w:tr>
        <w:tblPrEx>
          <w:shd w:val="clear" w:color="auto" w:fill="auto"/>
          <w:tblCellMar>
            <w:top w:w="0" w:type="dxa"/>
            <w:left w:w="108" w:type="dxa"/>
            <w:bottom w:w="0" w:type="dxa"/>
            <w:right w:w="108" w:type="dxa"/>
          </w:tblCellMar>
        </w:tblPrEx>
        <w:trPr>
          <w:trHeight w:val="780"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群众满意度</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4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社会公众或服务对象对项目实施效果的满意程度。</w:t>
            </w:r>
          </w:p>
        </w:tc>
        <w:tc>
          <w:tcPr>
            <w:tcW w:w="5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达85%以上得满分，每下降5%扣1分，扣完为止。</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5</w:t>
            </w:r>
          </w:p>
        </w:tc>
      </w:tr>
      <w:tr>
        <w:tblPrEx>
          <w:shd w:val="clear" w:color="auto" w:fill="auto"/>
          <w:tblCellMar>
            <w:top w:w="0" w:type="dxa"/>
            <w:left w:w="108" w:type="dxa"/>
            <w:bottom w:w="0" w:type="dxa"/>
            <w:right w:w="108" w:type="dxa"/>
          </w:tblCellMar>
        </w:tblPrEx>
        <w:trPr>
          <w:trHeight w:val="426" w:hRule="atLeast"/>
        </w:trPr>
        <w:tc>
          <w:tcPr>
            <w:tcW w:w="20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合计</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0"/>
                <w:szCs w:val="20"/>
                <w:u w:val="none"/>
              </w:rPr>
            </w:pP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100</w:t>
            </w:r>
          </w:p>
        </w:tc>
        <w:tc>
          <w:tcPr>
            <w:tcW w:w="4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0"/>
                <w:szCs w:val="20"/>
                <w:u w:val="none"/>
              </w:rPr>
            </w:pPr>
          </w:p>
        </w:tc>
        <w:tc>
          <w:tcPr>
            <w:tcW w:w="5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0"/>
                <w:szCs w:val="20"/>
                <w:u w:val="none"/>
              </w:rPr>
            </w:pPr>
          </w:p>
        </w:tc>
        <w:tc>
          <w:tcPr>
            <w:tcW w:w="7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b/>
                <w:bCs/>
                <w:i w:val="0"/>
                <w:iCs w:val="0"/>
                <w:color w:val="000000"/>
                <w:sz w:val="20"/>
                <w:szCs w:val="20"/>
                <w:u w:val="none"/>
                <w:lang w:val="en-US"/>
              </w:rPr>
            </w:pPr>
            <w:r>
              <w:rPr>
                <w:rFonts w:hint="eastAsia" w:ascii="宋体" w:hAnsi="宋体" w:cs="宋体"/>
                <w:b/>
                <w:bCs/>
                <w:i w:val="0"/>
                <w:iCs w:val="0"/>
                <w:color w:val="000000"/>
                <w:kern w:val="0"/>
                <w:sz w:val="20"/>
                <w:szCs w:val="20"/>
                <w:u w:val="none"/>
                <w:lang w:val="en-US" w:eastAsia="zh-CN" w:bidi="ar"/>
              </w:rPr>
              <w:t>88.5</w:t>
            </w:r>
          </w:p>
        </w:tc>
      </w:tr>
    </w:tbl>
    <w:p>
      <w:pPr>
        <w:pStyle w:val="8"/>
        <w:widowControl w:val="0"/>
        <w:snapToGrid w:val="0"/>
        <w:spacing w:before="0" w:beforeAutospacing="0" w:after="0" w:afterAutospacing="0" w:line="600" w:lineRule="exact"/>
        <w:jc w:val="both"/>
        <w:rPr>
          <w:rFonts w:hint="eastAsia" w:ascii="Times New Roman" w:hAnsi="Times New Roman" w:eastAsia="仿宋_GB2312" w:cs="Times New Roman"/>
          <w:color w:val="auto"/>
          <w:kern w:val="2"/>
          <w:sz w:val="32"/>
          <w:szCs w:val="28"/>
          <w:lang w:val="en-US" w:eastAsia="zh-CN" w:bidi="ar-SA"/>
        </w:rPr>
      </w:pPr>
    </w:p>
    <w:sectPr>
      <w:footerReference r:id="rId5" w:type="first"/>
      <w:footerReference r:id="rId4" w:type="default"/>
      <w:pgSz w:w="16837" w:h="11905" w:orient="landscape"/>
      <w:pgMar w:top="1587" w:right="1418" w:bottom="1587" w:left="1418" w:header="720" w:footer="1701" w:gutter="0"/>
      <w:pgBorders>
        <w:top w:val="none" w:sz="0" w:space="0"/>
        <w:left w:val="none" w:sz="0" w:space="0"/>
        <w:bottom w:val="none" w:sz="0" w:space="0"/>
        <w:right w:val="none" w:sz="0" w:space="0"/>
      </w:pgBorders>
      <w:pgNumType w:fmt="numberInDash"/>
      <w:cols w:space="0" w:num="1"/>
      <w:titlePg/>
      <w:rtlGutter w:val="0"/>
      <w:docGrid w:linePitch="63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right="360" w:firstLine="360"/>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Style w:val="13"/>
                              <w:sz w:val="28"/>
                              <w:szCs w:val="28"/>
                            </w:rPr>
                          </w:pPr>
                          <w:r>
                            <w:rPr>
                              <w:rStyle w:val="13"/>
                              <w:rFonts w:hint="eastAsia" w:cs="宋体"/>
                            </w:rPr>
                            <w:t>—</w:t>
                          </w:r>
                          <w:r>
                            <w:rPr>
                              <w:sz w:val="28"/>
                              <w:szCs w:val="28"/>
                            </w:rPr>
                            <w:fldChar w:fldCharType="begin"/>
                          </w:r>
                          <w:r>
                            <w:rPr>
                              <w:rStyle w:val="13"/>
                              <w:sz w:val="28"/>
                              <w:szCs w:val="28"/>
                            </w:rPr>
                            <w:instrText xml:space="preserve">PAGE  </w:instrText>
                          </w:r>
                          <w:r>
                            <w:rPr>
                              <w:sz w:val="28"/>
                              <w:szCs w:val="28"/>
                            </w:rPr>
                            <w:fldChar w:fldCharType="separate"/>
                          </w:r>
                          <w:r>
                            <w:rPr>
                              <w:rStyle w:val="13"/>
                              <w:sz w:val="28"/>
                              <w:szCs w:val="28"/>
                            </w:rPr>
                            <w:t>12</w:t>
                          </w:r>
                          <w:r>
                            <w:rPr>
                              <w:sz w:val="28"/>
                              <w:szCs w:val="28"/>
                            </w:rPr>
                            <w:fldChar w:fldCharType="end"/>
                          </w:r>
                          <w:r>
                            <w:rPr>
                              <w:rStyle w:val="13"/>
                              <w:rFonts w:hint="eastAsia" w:cs="宋体"/>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6"/>
                      <w:rPr>
                        <w:rStyle w:val="13"/>
                        <w:sz w:val="28"/>
                        <w:szCs w:val="28"/>
                      </w:rPr>
                    </w:pPr>
                    <w:r>
                      <w:rPr>
                        <w:rStyle w:val="13"/>
                        <w:rFonts w:hint="eastAsia" w:cs="宋体"/>
                      </w:rPr>
                      <w:t>—</w:t>
                    </w:r>
                    <w:r>
                      <w:rPr>
                        <w:sz w:val="28"/>
                        <w:szCs w:val="28"/>
                      </w:rPr>
                      <w:fldChar w:fldCharType="begin"/>
                    </w:r>
                    <w:r>
                      <w:rPr>
                        <w:rStyle w:val="13"/>
                        <w:sz w:val="28"/>
                        <w:szCs w:val="28"/>
                      </w:rPr>
                      <w:instrText xml:space="preserve">PAGE  </w:instrText>
                    </w:r>
                    <w:r>
                      <w:rPr>
                        <w:sz w:val="28"/>
                        <w:szCs w:val="28"/>
                      </w:rPr>
                      <w:fldChar w:fldCharType="separate"/>
                    </w:r>
                    <w:r>
                      <w:rPr>
                        <w:rStyle w:val="13"/>
                        <w:sz w:val="28"/>
                        <w:szCs w:val="28"/>
                      </w:rPr>
                      <w:t>12</w:t>
                    </w:r>
                    <w:r>
                      <w:rPr>
                        <w:sz w:val="28"/>
                        <w:szCs w:val="28"/>
                      </w:rPr>
                      <w:fldChar w:fldCharType="end"/>
                    </w:r>
                    <w:r>
                      <w:rPr>
                        <w:rStyle w:val="13"/>
                        <w:rFonts w:hint="eastAsia" w:cs="宋体"/>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right="360" w:firstLine="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Style w:val="13"/>
                              <w:sz w:val="28"/>
                              <w:szCs w:val="28"/>
                            </w:rPr>
                          </w:pPr>
                          <w:r>
                            <w:rPr>
                              <w:rStyle w:val="13"/>
                              <w:rFonts w:hint="eastAsia" w:cs="宋体"/>
                            </w:rPr>
                            <w:t>—</w:t>
                          </w:r>
                          <w:r>
                            <w:rPr>
                              <w:sz w:val="28"/>
                              <w:szCs w:val="28"/>
                            </w:rPr>
                            <w:fldChar w:fldCharType="begin"/>
                          </w:r>
                          <w:r>
                            <w:rPr>
                              <w:rStyle w:val="13"/>
                              <w:sz w:val="28"/>
                              <w:szCs w:val="28"/>
                            </w:rPr>
                            <w:instrText xml:space="preserve">PAGE  </w:instrText>
                          </w:r>
                          <w:r>
                            <w:rPr>
                              <w:sz w:val="28"/>
                              <w:szCs w:val="28"/>
                            </w:rPr>
                            <w:fldChar w:fldCharType="separate"/>
                          </w:r>
                          <w:r>
                            <w:rPr>
                              <w:rStyle w:val="13"/>
                              <w:sz w:val="28"/>
                              <w:szCs w:val="28"/>
                            </w:rPr>
                            <w:t>12</w:t>
                          </w:r>
                          <w:r>
                            <w:rPr>
                              <w:sz w:val="28"/>
                              <w:szCs w:val="28"/>
                            </w:rPr>
                            <w:fldChar w:fldCharType="end"/>
                          </w:r>
                          <w:r>
                            <w:rPr>
                              <w:rStyle w:val="13"/>
                              <w:rFonts w:hint="eastAsia" w:cs="宋体"/>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6"/>
                      <w:rPr>
                        <w:rStyle w:val="13"/>
                        <w:sz w:val="28"/>
                        <w:szCs w:val="28"/>
                      </w:rPr>
                    </w:pPr>
                    <w:r>
                      <w:rPr>
                        <w:rStyle w:val="13"/>
                        <w:rFonts w:hint="eastAsia" w:cs="宋体"/>
                      </w:rPr>
                      <w:t>—</w:t>
                    </w:r>
                    <w:r>
                      <w:rPr>
                        <w:sz w:val="28"/>
                        <w:szCs w:val="28"/>
                      </w:rPr>
                      <w:fldChar w:fldCharType="begin"/>
                    </w:r>
                    <w:r>
                      <w:rPr>
                        <w:rStyle w:val="13"/>
                        <w:sz w:val="28"/>
                        <w:szCs w:val="28"/>
                      </w:rPr>
                      <w:instrText xml:space="preserve">PAGE  </w:instrText>
                    </w:r>
                    <w:r>
                      <w:rPr>
                        <w:sz w:val="28"/>
                        <w:szCs w:val="28"/>
                      </w:rPr>
                      <w:fldChar w:fldCharType="separate"/>
                    </w:r>
                    <w:r>
                      <w:rPr>
                        <w:rStyle w:val="13"/>
                        <w:sz w:val="28"/>
                        <w:szCs w:val="28"/>
                      </w:rPr>
                      <w:t>12</w:t>
                    </w:r>
                    <w:r>
                      <w:rPr>
                        <w:sz w:val="28"/>
                        <w:szCs w:val="28"/>
                      </w:rPr>
                      <w:fldChar w:fldCharType="end"/>
                    </w:r>
                    <w:r>
                      <w:rPr>
                        <w:rStyle w:val="13"/>
                        <w:rFonts w:hint="eastAsia" w:cs="宋体"/>
                      </w:rPr>
                      <w:t>—</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hint="eastAsia" w:eastAsia="宋体"/>
                              <w:sz w:val="28"/>
                              <w:szCs w:val="2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6"/>
                      <w:rPr>
                        <w:rFonts w:hint="eastAsia" w:eastAsia="宋体"/>
                        <w:sz w:val="28"/>
                        <w:szCs w:val="2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7D987A"/>
    <w:multiLevelType w:val="singleLevel"/>
    <w:tmpl w:val="B77D987A"/>
    <w:lvl w:ilvl="0" w:tentative="0">
      <w:start w:val="4"/>
      <w:numFmt w:val="chineseCounting"/>
      <w:suff w:val="nothing"/>
      <w:lvlText w:val="%1、"/>
      <w:lvlJc w:val="left"/>
      <w:rPr>
        <w:rFonts w:hint="eastAsia"/>
      </w:rPr>
    </w:lvl>
  </w:abstractNum>
  <w:abstractNum w:abstractNumId="1">
    <w:nsid w:val="F5DB7E1F"/>
    <w:multiLevelType w:val="singleLevel"/>
    <w:tmpl w:val="F5DB7E1F"/>
    <w:lvl w:ilvl="0" w:tentative="0">
      <w:start w:val="5"/>
      <w:numFmt w:val="chineseCounting"/>
      <w:suff w:val="nothing"/>
      <w:lvlText w:val="%1、"/>
      <w:lvlJc w:val="left"/>
      <w:rPr>
        <w:rFonts w:hint="eastAsia"/>
      </w:rPr>
    </w:lvl>
  </w:abstractNum>
  <w:abstractNum w:abstractNumId="2">
    <w:nsid w:val="026DE729"/>
    <w:multiLevelType w:val="singleLevel"/>
    <w:tmpl w:val="026DE729"/>
    <w:lvl w:ilvl="0" w:tentative="0">
      <w:start w:val="1"/>
      <w:numFmt w:val="decimal"/>
      <w:lvlText w:val="%1."/>
      <w:lvlJc w:val="left"/>
      <w:pPr>
        <w:tabs>
          <w:tab w:val="left" w:pos="312"/>
        </w:tabs>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7A4F"/>
    <w:rsid w:val="0005666E"/>
    <w:rsid w:val="00072F6E"/>
    <w:rsid w:val="00090961"/>
    <w:rsid w:val="000B2023"/>
    <w:rsid w:val="000B5652"/>
    <w:rsid w:val="000F6AC6"/>
    <w:rsid w:val="0012260D"/>
    <w:rsid w:val="001255D3"/>
    <w:rsid w:val="00130FD0"/>
    <w:rsid w:val="0016358A"/>
    <w:rsid w:val="001964C7"/>
    <w:rsid w:val="001C2944"/>
    <w:rsid w:val="001C5BFA"/>
    <w:rsid w:val="00211E67"/>
    <w:rsid w:val="00213606"/>
    <w:rsid w:val="00215BB0"/>
    <w:rsid w:val="00216881"/>
    <w:rsid w:val="00282F2A"/>
    <w:rsid w:val="002B3C42"/>
    <w:rsid w:val="002E5284"/>
    <w:rsid w:val="002F204F"/>
    <w:rsid w:val="0032232F"/>
    <w:rsid w:val="00350B45"/>
    <w:rsid w:val="00376ADD"/>
    <w:rsid w:val="00397920"/>
    <w:rsid w:val="003A35D5"/>
    <w:rsid w:val="00416329"/>
    <w:rsid w:val="00430447"/>
    <w:rsid w:val="004351AB"/>
    <w:rsid w:val="00446A96"/>
    <w:rsid w:val="00463D86"/>
    <w:rsid w:val="004649C2"/>
    <w:rsid w:val="004D1C2E"/>
    <w:rsid w:val="0050257A"/>
    <w:rsid w:val="005713F7"/>
    <w:rsid w:val="005A685D"/>
    <w:rsid w:val="005B5E48"/>
    <w:rsid w:val="00606D0F"/>
    <w:rsid w:val="006118DC"/>
    <w:rsid w:val="006618D2"/>
    <w:rsid w:val="006814E0"/>
    <w:rsid w:val="0070055B"/>
    <w:rsid w:val="007420AB"/>
    <w:rsid w:val="007905EB"/>
    <w:rsid w:val="007A5691"/>
    <w:rsid w:val="007A79D3"/>
    <w:rsid w:val="007B3586"/>
    <w:rsid w:val="007D1112"/>
    <w:rsid w:val="007D294F"/>
    <w:rsid w:val="007F384D"/>
    <w:rsid w:val="00800821"/>
    <w:rsid w:val="00806F46"/>
    <w:rsid w:val="008410C2"/>
    <w:rsid w:val="00884359"/>
    <w:rsid w:val="008B6614"/>
    <w:rsid w:val="008D5E16"/>
    <w:rsid w:val="00A33E94"/>
    <w:rsid w:val="00A3691C"/>
    <w:rsid w:val="00A60F19"/>
    <w:rsid w:val="00A70B95"/>
    <w:rsid w:val="00A72832"/>
    <w:rsid w:val="00AA4080"/>
    <w:rsid w:val="00AB346F"/>
    <w:rsid w:val="00AC1446"/>
    <w:rsid w:val="00AC4F72"/>
    <w:rsid w:val="00AD4967"/>
    <w:rsid w:val="00AF2A1B"/>
    <w:rsid w:val="00B11908"/>
    <w:rsid w:val="00B9578C"/>
    <w:rsid w:val="00BC5002"/>
    <w:rsid w:val="00BE0537"/>
    <w:rsid w:val="00C10BB9"/>
    <w:rsid w:val="00C55204"/>
    <w:rsid w:val="00C93BD6"/>
    <w:rsid w:val="00CB10B6"/>
    <w:rsid w:val="00D22D74"/>
    <w:rsid w:val="00D571CF"/>
    <w:rsid w:val="00D725E8"/>
    <w:rsid w:val="00D9050F"/>
    <w:rsid w:val="00DD1D33"/>
    <w:rsid w:val="00DD3D20"/>
    <w:rsid w:val="00DF5A01"/>
    <w:rsid w:val="00E25540"/>
    <w:rsid w:val="00E353BB"/>
    <w:rsid w:val="00E649F5"/>
    <w:rsid w:val="00EF4F83"/>
    <w:rsid w:val="00F25D30"/>
    <w:rsid w:val="00F25E17"/>
    <w:rsid w:val="00F37E71"/>
    <w:rsid w:val="00F47E9E"/>
    <w:rsid w:val="00F55464"/>
    <w:rsid w:val="00F97DF7"/>
    <w:rsid w:val="00FB3F1F"/>
    <w:rsid w:val="00FC5366"/>
    <w:rsid w:val="00FD53FE"/>
    <w:rsid w:val="01950D71"/>
    <w:rsid w:val="039B4B56"/>
    <w:rsid w:val="05365C01"/>
    <w:rsid w:val="064D15C2"/>
    <w:rsid w:val="06CD0C8E"/>
    <w:rsid w:val="081C04E7"/>
    <w:rsid w:val="090947CC"/>
    <w:rsid w:val="09E31FEC"/>
    <w:rsid w:val="0B082A86"/>
    <w:rsid w:val="0C835F2D"/>
    <w:rsid w:val="0D0B5453"/>
    <w:rsid w:val="0E6E3B5B"/>
    <w:rsid w:val="11766EB1"/>
    <w:rsid w:val="15201E8D"/>
    <w:rsid w:val="1627416B"/>
    <w:rsid w:val="1A8C1080"/>
    <w:rsid w:val="1A9421A0"/>
    <w:rsid w:val="1AF03CB1"/>
    <w:rsid w:val="1BD11DD0"/>
    <w:rsid w:val="22D84DCD"/>
    <w:rsid w:val="259713E2"/>
    <w:rsid w:val="26F625AE"/>
    <w:rsid w:val="274855DB"/>
    <w:rsid w:val="294B5ECD"/>
    <w:rsid w:val="2B7046A0"/>
    <w:rsid w:val="2B983633"/>
    <w:rsid w:val="2D2A7FE9"/>
    <w:rsid w:val="2DA707C4"/>
    <w:rsid w:val="2F696D62"/>
    <w:rsid w:val="2FE35CC5"/>
    <w:rsid w:val="318D3AB5"/>
    <w:rsid w:val="32287C50"/>
    <w:rsid w:val="32FA68E8"/>
    <w:rsid w:val="34BF7E2B"/>
    <w:rsid w:val="34D2562A"/>
    <w:rsid w:val="35502267"/>
    <w:rsid w:val="36D63F7F"/>
    <w:rsid w:val="379924DE"/>
    <w:rsid w:val="384B5888"/>
    <w:rsid w:val="3A740D8E"/>
    <w:rsid w:val="3C3101F1"/>
    <w:rsid w:val="3EE0133F"/>
    <w:rsid w:val="3F045013"/>
    <w:rsid w:val="3FA17CCA"/>
    <w:rsid w:val="40480B80"/>
    <w:rsid w:val="46787771"/>
    <w:rsid w:val="469F3FCF"/>
    <w:rsid w:val="474C76B5"/>
    <w:rsid w:val="487A5598"/>
    <w:rsid w:val="499E56A8"/>
    <w:rsid w:val="4EC536F3"/>
    <w:rsid w:val="507204EE"/>
    <w:rsid w:val="50C45B6C"/>
    <w:rsid w:val="5132574A"/>
    <w:rsid w:val="539C59FF"/>
    <w:rsid w:val="544F1D76"/>
    <w:rsid w:val="54B07031"/>
    <w:rsid w:val="55E53BAE"/>
    <w:rsid w:val="570B4ABF"/>
    <w:rsid w:val="574B467E"/>
    <w:rsid w:val="58094559"/>
    <w:rsid w:val="58C33216"/>
    <w:rsid w:val="58DE61E2"/>
    <w:rsid w:val="59722975"/>
    <w:rsid w:val="5A331E92"/>
    <w:rsid w:val="5A9C1EE7"/>
    <w:rsid w:val="5BDC2B66"/>
    <w:rsid w:val="5D884182"/>
    <w:rsid w:val="5E203EBD"/>
    <w:rsid w:val="60126B58"/>
    <w:rsid w:val="607871C1"/>
    <w:rsid w:val="60A70D77"/>
    <w:rsid w:val="623861A9"/>
    <w:rsid w:val="65325260"/>
    <w:rsid w:val="65551596"/>
    <w:rsid w:val="65F648B2"/>
    <w:rsid w:val="67AC1B7A"/>
    <w:rsid w:val="718A0165"/>
    <w:rsid w:val="738C100A"/>
    <w:rsid w:val="75AA6F0F"/>
    <w:rsid w:val="794628B9"/>
    <w:rsid w:val="7961697C"/>
    <w:rsid w:val="7D463756"/>
    <w:rsid w:val="7D522BB8"/>
    <w:rsid w:val="7E3A5395"/>
    <w:rsid w:val="7F3D468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6" w:lineRule="auto"/>
      <w:outlineLvl w:val="1"/>
    </w:pPr>
    <w:rPr>
      <w:rFonts w:ascii="Calibri" w:hAnsi="Calibri" w:eastAsia="黑体"/>
      <w:b/>
      <w:bCs/>
      <w:sz w:val="32"/>
      <w:szCs w:val="32"/>
    </w:rPr>
  </w:style>
  <w:style w:type="character" w:default="1" w:styleId="11">
    <w:name w:val="Default Paragraph Font"/>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after="120" w:afterLines="0"/>
    </w:pPr>
  </w:style>
  <w:style w:type="paragraph" w:styleId="4">
    <w:name w:val="Date"/>
    <w:basedOn w:val="1"/>
    <w:next w:val="1"/>
    <w:qFormat/>
    <w:uiPriority w:val="0"/>
    <w:pPr>
      <w:ind w:left="100" w:leftChars="2500"/>
    </w:pPr>
  </w:style>
  <w:style w:type="paragraph" w:styleId="5">
    <w:name w:val="Balloon Text"/>
    <w:basedOn w:val="1"/>
    <w:semiHidden/>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10">
    <w:name w:val="Table Grid"/>
    <w:basedOn w:val="9"/>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0"/>
    <w:rPr>
      <w:b/>
      <w:sz w:val="24"/>
      <w:szCs w:val="24"/>
      <w:vertAlign w:val="baseline"/>
    </w:rPr>
  </w:style>
  <w:style w:type="character" w:styleId="13">
    <w:name w:val="page number"/>
    <w:basedOn w:val="11"/>
    <w:qFormat/>
    <w:uiPriority w:val="0"/>
  </w:style>
  <w:style w:type="character" w:styleId="14">
    <w:name w:val="FollowedHyperlink"/>
    <w:basedOn w:val="11"/>
    <w:qFormat/>
    <w:uiPriority w:val="0"/>
    <w:rPr>
      <w:color w:val="007BC4"/>
      <w:sz w:val="24"/>
      <w:szCs w:val="24"/>
      <w:u w:val="none"/>
      <w:vertAlign w:val="baseline"/>
    </w:rPr>
  </w:style>
  <w:style w:type="character" w:styleId="15">
    <w:name w:val="Emphasis"/>
    <w:basedOn w:val="11"/>
    <w:qFormat/>
    <w:uiPriority w:val="0"/>
    <w:rPr>
      <w:i/>
      <w:sz w:val="24"/>
      <w:szCs w:val="24"/>
      <w:vertAlign w:val="baseline"/>
    </w:rPr>
  </w:style>
  <w:style w:type="character" w:styleId="16">
    <w:name w:val="HTML Definition"/>
    <w:basedOn w:val="11"/>
    <w:qFormat/>
    <w:uiPriority w:val="0"/>
  </w:style>
  <w:style w:type="character" w:styleId="17">
    <w:name w:val="HTML Acronym"/>
    <w:basedOn w:val="11"/>
    <w:qFormat/>
    <w:uiPriority w:val="0"/>
  </w:style>
  <w:style w:type="character" w:styleId="18">
    <w:name w:val="HTML Variable"/>
    <w:basedOn w:val="11"/>
    <w:qFormat/>
    <w:uiPriority w:val="0"/>
  </w:style>
  <w:style w:type="character" w:styleId="19">
    <w:name w:val="Hyperlink"/>
    <w:basedOn w:val="11"/>
    <w:qFormat/>
    <w:uiPriority w:val="0"/>
    <w:rPr>
      <w:color w:val="007BC4"/>
      <w:sz w:val="24"/>
      <w:szCs w:val="24"/>
      <w:u w:val="none"/>
      <w:vertAlign w:val="baseline"/>
    </w:rPr>
  </w:style>
  <w:style w:type="character" w:styleId="20">
    <w:name w:val="HTML Code"/>
    <w:basedOn w:val="11"/>
    <w:qFormat/>
    <w:uiPriority w:val="0"/>
    <w:rPr>
      <w:rFonts w:ascii="Courier New" w:hAnsi="Courier New"/>
      <w:sz w:val="24"/>
      <w:szCs w:val="24"/>
      <w:vertAlign w:val="baseline"/>
    </w:rPr>
  </w:style>
  <w:style w:type="character" w:styleId="21">
    <w:name w:val="HTML Cite"/>
    <w:basedOn w:val="11"/>
    <w:qFormat/>
    <w:uiPriority w:val="0"/>
  </w:style>
  <w:style w:type="paragraph" w:customStyle="1" w:styleId="22">
    <w:name w:val="表格内容"/>
    <w:basedOn w:val="3"/>
    <w:qFormat/>
    <w:uiPriority w:val="0"/>
    <w:pPr>
      <w:suppressLineNumbers/>
      <w:suppressAutoHyphens/>
      <w:jc w:val="left"/>
    </w:pPr>
    <w:rPr>
      <w:rFonts w:cs="Tahoma"/>
      <w:kern w:val="0"/>
      <w:sz w:val="24"/>
    </w:rPr>
  </w:style>
  <w:style w:type="character" w:customStyle="1" w:styleId="23">
    <w:name w:val="prev_disabled"/>
    <w:basedOn w:val="11"/>
    <w:qFormat/>
    <w:uiPriority w:val="0"/>
    <w:rPr>
      <w:rFonts w:ascii="宋体" w:hAnsi="宋体" w:eastAsia="宋体" w:cs="宋体"/>
      <w:b/>
      <w:color w:val="CCCCCC"/>
      <w:u w:val="none"/>
      <w:bdr w:val="single" w:color="EDEDED" w:sz="6" w:space="0"/>
    </w:rPr>
  </w:style>
  <w:style w:type="character" w:customStyle="1" w:styleId="24">
    <w:name w:val="current"/>
    <w:basedOn w:val="11"/>
    <w:qFormat/>
    <w:uiPriority w:val="0"/>
    <w:rPr>
      <w:b/>
      <w:color w:val="FFFFFF"/>
      <w:shd w:val="clear" w:color="auto" w:fill="2A5DBB"/>
    </w:rPr>
  </w:style>
  <w:style w:type="character" w:customStyle="1" w:styleId="25">
    <w:name w:val="wx-space"/>
    <w:basedOn w:val="11"/>
    <w:qFormat/>
    <w:uiPriority w:val="0"/>
  </w:style>
  <w:style w:type="character" w:customStyle="1" w:styleId="26">
    <w:name w:val="wx-space1"/>
    <w:basedOn w:val="11"/>
    <w:qFormat/>
    <w:uiPriority w:val="0"/>
  </w:style>
  <w:style w:type="character" w:customStyle="1" w:styleId="27">
    <w:name w:val="hover"/>
    <w:basedOn w:val="11"/>
    <w:qFormat/>
    <w:uiPriority w:val="0"/>
    <w:rPr>
      <w:color w:val="000000"/>
      <w:shd w:val="clear" w:fill="FFFFFF"/>
    </w:rPr>
  </w:style>
  <w:style w:type="character" w:customStyle="1" w:styleId="28">
    <w:name w:val="active1"/>
    <w:basedOn w:val="11"/>
    <w:qFormat/>
    <w:uiPriority w:val="0"/>
  </w:style>
  <w:style w:type="character" w:customStyle="1" w:styleId="29">
    <w:name w:val="font61"/>
    <w:basedOn w:val="11"/>
    <w:qFormat/>
    <w:uiPriority w:val="0"/>
    <w:rPr>
      <w:rFonts w:hint="eastAsia" w:ascii="宋体" w:hAnsi="宋体" w:eastAsia="宋体" w:cs="宋体"/>
      <w:color w:val="000000"/>
      <w:sz w:val="20"/>
      <w:szCs w:val="20"/>
      <w:u w:val="none"/>
    </w:rPr>
  </w:style>
  <w:style w:type="character" w:customStyle="1" w:styleId="30">
    <w:name w:val="font21"/>
    <w:basedOn w:val="11"/>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13</Pages>
  <Words>945</Words>
  <Characters>5392</Characters>
  <Lines>44</Lines>
  <Paragraphs>12</Paragraphs>
  <TotalTime>1</TotalTime>
  <ScaleCrop>false</ScaleCrop>
  <LinksUpToDate>false</LinksUpToDate>
  <CharactersWithSpaces>6325</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2017-04-19T03:10:00Z</dcterms:created>
  <dc:creator>Administrator</dc:creator>
  <cp:lastModifiedBy>LENOVO</cp:lastModifiedBy>
  <cp:lastPrinted>2020-04-21T08:14:00Z</cp:lastPrinted>
  <dcterms:modified xsi:type="dcterms:W3CDTF">2021-12-08T16:03:39Z</dcterms:modified>
  <dc:title>湖南省财政厅发文（指标、函）稿</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1357827D5CB14FFF85BFE54EEE78E19C</vt:lpwstr>
  </property>
</Properties>
</file>