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方正小标宋简体" w:hAnsi="方正小标宋简体" w:eastAsia="方正小标宋简体" w:cs="方正小标宋简体"/>
          <w:color w:val="auto"/>
          <w:sz w:val="56"/>
          <w:szCs w:val="56"/>
        </w:rPr>
      </w:pPr>
      <w:r>
        <w:rPr>
          <w:rFonts w:hint="eastAsia" w:ascii="方正小标宋简体" w:hAnsi="方正小标宋简体" w:eastAsia="方正小标宋简体" w:cs="方正小标宋简体"/>
          <w:color w:val="auto"/>
          <w:sz w:val="56"/>
          <w:szCs w:val="56"/>
          <w:lang w:eastAsia="zh-CN"/>
        </w:rPr>
        <w:t>赫山区</w:t>
      </w:r>
      <w:r>
        <w:rPr>
          <w:rFonts w:hint="eastAsia" w:ascii="方正小标宋简体" w:hAnsi="方正小标宋简体" w:eastAsia="方正小标宋简体" w:cs="方正小标宋简体"/>
          <w:color w:val="auto"/>
          <w:sz w:val="56"/>
          <w:szCs w:val="56"/>
        </w:rPr>
        <w:t>突发重大停电事件应急预案</w:t>
      </w:r>
    </w:p>
    <w:p>
      <w:pPr>
        <w:rPr>
          <w:color w:val="auto"/>
        </w:rPr>
        <w:sectPr>
          <w:footerReference r:id="rId5" w:type="default"/>
          <w:pgSz w:w="11440" w:h="16840"/>
          <w:pgMar w:top="1067" w:right="1470" w:bottom="1707" w:left="979" w:header="0" w:footer="1569" w:gutter="0"/>
          <w:pgNumType w:fmt="decimal"/>
          <w:cols w:equalWidth="0" w:num="1">
            <w:col w:w="8991"/>
          </w:cols>
        </w:sectPr>
      </w:pPr>
    </w:p>
    <w:p>
      <w:pPr>
        <w:keepNext w:val="0"/>
        <w:keepLines w:val="0"/>
        <w:pageBreakBefore w:val="0"/>
        <w:widowControl w:val="0"/>
        <w:tabs>
          <w:tab w:val="right" w:leader="middleDot" w:pos="7980"/>
        </w:tabs>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2"/>
          <w:szCs w:val="42"/>
        </w:rPr>
      </w:pPr>
      <w:r>
        <w:rPr>
          <w:rFonts w:hint="eastAsia" w:ascii="方正小标宋简体" w:hAnsi="方正小标宋简体" w:eastAsia="方正小标宋简体" w:cs="方正小标宋简体"/>
          <w:color w:val="auto"/>
          <w:sz w:val="42"/>
          <w:szCs w:val="42"/>
        </w:rPr>
        <w:t>目     录</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color w:val="auto"/>
        </w:rPr>
      </w:pP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color w:val="auto"/>
          <w:sz w:val="32"/>
          <w:szCs w:val="32"/>
          <w:lang w:eastAsia="zh-CN"/>
        </w:rPr>
      </w:pPr>
      <w:r>
        <w:rPr>
          <w:rFonts w:hint="eastAsia" w:ascii="黑体" w:hAnsi="黑体" w:eastAsia="黑体" w:cs="黑体"/>
          <w:color w:val="auto"/>
          <w:sz w:val="32"/>
          <w:szCs w:val="32"/>
        </w:rPr>
        <w:t>1.总则</w:t>
      </w:r>
      <w:r>
        <w:rPr>
          <w:rFonts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1.1  编制目的</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1.2  编制依据</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1.3  适用范围</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1.4  工作原则</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1.5  事件分级</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color w:val="auto"/>
          <w:sz w:val="32"/>
          <w:szCs w:val="32"/>
          <w:lang w:eastAsia="zh-CN"/>
        </w:rPr>
      </w:pPr>
      <w:r>
        <w:rPr>
          <w:rFonts w:ascii="黑体" w:hAnsi="黑体" w:eastAsia="黑体" w:cs="黑体"/>
          <w:color w:val="auto"/>
          <w:sz w:val="32"/>
          <w:szCs w:val="32"/>
        </w:rPr>
        <w:t>2.组织指挥体系及职责</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2.1  市级应急指挥机构</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2.2  区县（市）应急指挥机构</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lang w:val="en-US" w:eastAsia="zh-CN"/>
        </w:rPr>
        <w:t>9</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2.3  现场应急指挥机构</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val="en-US" w:eastAsia="zh-CN"/>
        </w:rPr>
        <w:t>0</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2.4  电力企业</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val="en-US" w:eastAsia="zh-CN"/>
        </w:rPr>
        <w:t>0</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Times New Roman" w:hAnsi="Times New Roman" w:eastAsia="方正仿宋简体" w:cs="Times New Roman"/>
          <w:color w:val="auto"/>
          <w:sz w:val="32"/>
          <w:szCs w:val="32"/>
        </w:rPr>
        <w:t>2.5  专家组</w:t>
      </w:r>
      <w:r>
        <w:rPr>
          <w:rFonts w:hint="eastAsia" w:ascii="Times New Roman" w:hAnsi="Times New Roman" w:eastAsia="方正仿宋简体" w:cs="Times New Roman"/>
          <w:color w:val="auto"/>
          <w:sz w:val="32"/>
          <w:szCs w:val="32"/>
        </w:rPr>
        <w:tab/>
      </w:r>
      <w:r>
        <w:rPr>
          <w:rFonts w:hint="eastAsia"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val="en-US" w:eastAsia="zh-CN"/>
        </w:rPr>
        <w:t>0</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黑体" w:hAnsi="黑体" w:eastAsia="黑体" w:cs="黑体"/>
          <w:color w:val="auto"/>
          <w:sz w:val="32"/>
          <w:szCs w:val="32"/>
        </w:rPr>
        <w:t>3.风险分析和监测预警</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3.1  风险分析</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1</w:t>
      </w:r>
      <w:r>
        <w:rPr>
          <w:rFonts w:hint="eastAsia" w:ascii="Times New Roman" w:hAnsi="Times New Roman" w:eastAsia="方正仿宋简体" w:cs="Times New Roman"/>
          <w:color w:val="auto"/>
          <w:kern w:val="0"/>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3.2  监测</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1</w:t>
      </w:r>
      <w:r>
        <w:rPr>
          <w:rFonts w:hint="eastAsia" w:ascii="Times New Roman" w:hAnsi="Times New Roman" w:eastAsia="方正仿宋简体" w:cs="Times New Roman"/>
          <w:color w:val="auto"/>
          <w:kern w:val="0"/>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3.3  预警</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13</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lang w:val="en-US" w:eastAsia="zh-CN"/>
        </w:rPr>
      </w:pPr>
      <w:r>
        <w:rPr>
          <w:rFonts w:ascii="黑体" w:hAnsi="黑体" w:eastAsia="黑体" w:cs="黑体"/>
          <w:color w:val="auto"/>
          <w:sz w:val="32"/>
          <w:szCs w:val="32"/>
        </w:rPr>
        <w:t>4.信息报告</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14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kern w:val="0"/>
          <w:sz w:val="32"/>
          <w:szCs w:val="32"/>
          <w:lang w:val="en-US" w:eastAsia="zh-CN"/>
        </w:rPr>
      </w:pPr>
      <w:r>
        <w:rPr>
          <w:rFonts w:ascii="黑体" w:hAnsi="黑体" w:eastAsia="黑体" w:cs="黑体"/>
          <w:color w:val="auto"/>
          <w:sz w:val="32"/>
          <w:szCs w:val="32"/>
        </w:rPr>
        <w:t>5.应急响应</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15</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5.1  响应分级</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15</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5.2  启动响应</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16</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5.3  应急指挥</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16</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ascii="Times New Roman" w:hAnsi="Times New Roman" w:eastAsia="方正仿宋简体" w:cs="Times New Roman"/>
          <w:color w:val="auto"/>
          <w:kern w:val="0"/>
          <w:sz w:val="32"/>
          <w:szCs w:val="32"/>
        </w:rPr>
        <w:sectPr>
          <w:footerReference r:id="rId6" w:type="default"/>
          <w:pgSz w:w="11906" w:h="16838"/>
          <w:pgMar w:top="1701" w:right="1418" w:bottom="1701" w:left="1418" w:header="851" w:footer="1474" w:gutter="0"/>
          <w:pgNumType w:fmt="decimal" w:start="1"/>
          <w:cols w:space="425" w:num="1"/>
          <w:docGrid w:type="lines" w:linePitch="312" w:charSpace="0"/>
        </w:sectPr>
      </w:pP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5.4  响应措施</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18</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5.5  响应终止</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0</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黑体" w:hAnsi="黑体" w:eastAsia="黑体" w:cs="黑体"/>
          <w:color w:val="auto"/>
          <w:sz w:val="32"/>
          <w:szCs w:val="32"/>
        </w:rPr>
        <w:t>6.后期处置</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rPr>
        <w:t>2</w:t>
      </w:r>
      <w:r>
        <w:rPr>
          <w:rFonts w:hint="eastAsia" w:ascii="Times New Roman" w:hAnsi="Times New Roman" w:eastAsia="方正仿宋简体" w:cs="Times New Roman"/>
          <w:color w:val="auto"/>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6.1  处置评估</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6.2  事件调查</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6.3  善后处置</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1</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6.4  恢复重建</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sz w:val="32"/>
          <w:szCs w:val="32"/>
          <w:lang w:eastAsia="zh-CN"/>
        </w:rPr>
      </w:pPr>
      <w:r>
        <w:rPr>
          <w:rFonts w:ascii="黑体" w:hAnsi="黑体" w:eastAsia="黑体" w:cs="黑体"/>
          <w:color w:val="auto"/>
          <w:sz w:val="32"/>
          <w:szCs w:val="32"/>
        </w:rPr>
        <w:t>7.保障措施</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rPr>
        <w:t>2</w:t>
      </w:r>
      <w:r>
        <w:rPr>
          <w:rFonts w:hint="eastAsia" w:ascii="Times New Roman" w:hAnsi="Times New Roman" w:eastAsia="方正仿宋简体" w:cs="Times New Roman"/>
          <w:color w:val="auto"/>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7.1  队伍保障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7.2  装备物资保障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2</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7.3  技术保障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3</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7.4  应急电源保障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3</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color w:val="auto"/>
          <w:kern w:val="0"/>
          <w:sz w:val="32"/>
          <w:szCs w:val="32"/>
          <w:lang w:eastAsia="zh-CN"/>
        </w:rPr>
      </w:pPr>
      <w:r>
        <w:rPr>
          <w:rFonts w:ascii="Times New Roman" w:hAnsi="Times New Roman" w:eastAsia="方正仿宋简体" w:cs="Times New Roman"/>
          <w:color w:val="auto"/>
          <w:kern w:val="0"/>
          <w:sz w:val="32"/>
          <w:szCs w:val="32"/>
        </w:rPr>
        <w:t>7.5  通信、交通与运输保障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rPr>
        <w:t>2</w:t>
      </w:r>
      <w:r>
        <w:rPr>
          <w:rFonts w:hint="eastAsia" w:ascii="Times New Roman" w:hAnsi="Times New Roman" w:eastAsia="方正仿宋简体" w:cs="Times New Roman"/>
          <w:color w:val="auto"/>
          <w:kern w:val="0"/>
          <w:sz w:val="32"/>
          <w:szCs w:val="32"/>
          <w:lang w:val="en-US" w:eastAsia="zh-CN"/>
        </w:rPr>
        <w:t>3</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7.6  医疗卫生保障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7.7  资金保障</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黑体" w:hAnsi="黑体" w:eastAsia="黑体" w:cs="黑体"/>
          <w:color w:val="auto"/>
          <w:sz w:val="32"/>
          <w:szCs w:val="32"/>
        </w:rPr>
        <w:t>8.奖惩</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lang w:val="en-US" w:eastAsia="zh-CN"/>
        </w:rPr>
      </w:pPr>
      <w:r>
        <w:rPr>
          <w:rFonts w:ascii="黑体" w:hAnsi="黑体" w:eastAsia="黑体" w:cs="黑体"/>
          <w:color w:val="auto"/>
          <w:sz w:val="32"/>
          <w:szCs w:val="32"/>
        </w:rPr>
        <w:t>9.附则</w:t>
      </w:r>
      <w:r>
        <w:rPr>
          <w:rFonts w:hint="eastAsia" w:ascii="Times New Roman" w:hAnsi="Times New Roman" w:eastAsia="黑体" w:cs="Times New Roman"/>
          <w:color w:val="auto"/>
          <w:sz w:val="32"/>
          <w:szCs w:val="32"/>
        </w:rPr>
        <w:tab/>
      </w:r>
      <w:r>
        <w:rPr>
          <w:rFonts w:hint="eastAsia" w:ascii="Times New Roman" w:hAnsi="Times New Roman" w:eastAsia="方正仿宋简体" w:cs="Times New Roman"/>
          <w:color w:val="auto"/>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9.1  预案编制与审批</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9.2  预案修订与更新</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24</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9.3  预案培训与演练</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25</w:t>
      </w:r>
    </w:p>
    <w:p>
      <w:pPr>
        <w:keepNext w:val="0"/>
        <w:keepLines w:val="0"/>
        <w:pageBreakBefore w:val="0"/>
        <w:widowControl w:val="0"/>
        <w:tabs>
          <w:tab w:val="right" w:leader="middleDot" w:pos="8820"/>
        </w:tabs>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kern w:val="0"/>
          <w:sz w:val="32"/>
          <w:szCs w:val="32"/>
          <w:lang w:val="en-US" w:eastAsia="zh-CN"/>
        </w:rPr>
      </w:pPr>
      <w:r>
        <w:rPr>
          <w:rFonts w:ascii="Times New Roman" w:hAnsi="Times New Roman" w:eastAsia="方正仿宋简体" w:cs="Times New Roman"/>
          <w:color w:val="auto"/>
          <w:kern w:val="0"/>
          <w:sz w:val="32"/>
          <w:szCs w:val="32"/>
        </w:rPr>
        <w:t>9.4  预案实施时间</w:t>
      </w:r>
      <w:r>
        <w:rPr>
          <w:rFonts w:hint="eastAsia" w:ascii="Times New Roman" w:hAnsi="Times New Roman" w:eastAsia="方正仿宋简体" w:cs="Times New Roman"/>
          <w:color w:val="auto"/>
          <w:kern w:val="0"/>
          <w:sz w:val="32"/>
          <w:szCs w:val="32"/>
        </w:rPr>
        <w:tab/>
      </w:r>
      <w:r>
        <w:rPr>
          <w:rFonts w:hint="eastAsia" w:ascii="Times New Roman" w:hAnsi="Times New Roman" w:eastAsia="方正仿宋简体" w:cs="Times New Roman"/>
          <w:color w:val="auto"/>
          <w:kern w:val="0"/>
          <w:sz w:val="32"/>
          <w:szCs w:val="32"/>
          <w:lang w:val="en-US" w:eastAsia="zh-CN"/>
        </w:rPr>
        <w:t>25</w:t>
      </w:r>
    </w:p>
    <w:p>
      <w:pPr>
        <w:spacing w:before="143" w:line="219" w:lineRule="auto"/>
        <w:ind w:firstLine="864" w:firstLineChars="200"/>
        <w:jc w:val="both"/>
        <w:rPr>
          <w:rFonts w:hint="eastAsia" w:ascii="宋体" w:hAnsi="宋体" w:eastAsia="宋体" w:cs="宋体"/>
          <w:color w:val="auto"/>
          <w:spacing w:val="-4"/>
          <w:sz w:val="44"/>
          <w:szCs w:val="44"/>
          <w:lang w:eastAsia="zh-CN"/>
          <w14:textOutline w14:w="7988" w14:cap="flat" w14:cmpd="sng">
            <w14:solidFill>
              <w14:srgbClr w14:val="000000"/>
            </w14:solidFill>
            <w14:prstDash w14:val="solid"/>
            <w14:miter w14:val="0"/>
          </w14:textOutline>
        </w:rPr>
        <w:sectPr>
          <w:footerReference r:id="rId7" w:type="default"/>
          <w:pgSz w:w="11150" w:h="16840"/>
          <w:pgMar w:top="1431" w:right="640" w:bottom="400" w:left="1380" w:header="0" w:footer="0" w:gutter="0"/>
          <w:pgNumType w:fmt="decimal"/>
          <w:cols w:equalWidth="0" w:num="1">
            <w:col w:w="9130"/>
          </w:cols>
        </w:sectPr>
      </w:pPr>
    </w:p>
    <w:p>
      <w:pPr>
        <w:spacing w:before="143" w:line="219" w:lineRule="auto"/>
        <w:ind w:firstLine="864" w:firstLineChars="200"/>
        <w:jc w:val="both"/>
        <w:rPr>
          <w:rFonts w:ascii="宋体" w:hAnsi="宋体" w:eastAsia="宋体" w:cs="宋体"/>
          <w:color w:val="auto"/>
          <w:sz w:val="44"/>
          <w:szCs w:val="44"/>
        </w:rPr>
      </w:pPr>
      <w:r>
        <w:rPr>
          <w:rFonts w:hint="eastAsia" w:ascii="宋体" w:hAnsi="宋体" w:eastAsia="宋体" w:cs="宋体"/>
          <w:color w:val="auto"/>
          <w:spacing w:val="-4"/>
          <w:sz w:val="44"/>
          <w:szCs w:val="44"/>
          <w:lang w:eastAsia="zh-CN"/>
          <w14:textOutline w14:w="7988" w14:cap="flat" w14:cmpd="sng">
            <w14:solidFill>
              <w14:srgbClr w14:val="000000"/>
            </w14:solidFill>
            <w14:prstDash w14:val="solid"/>
            <w14:miter w14:val="0"/>
          </w14:textOutline>
        </w:rPr>
        <w:t>赫山区</w:t>
      </w:r>
      <w:r>
        <w:rPr>
          <w:rFonts w:ascii="宋体" w:hAnsi="宋体" w:eastAsia="宋体" w:cs="宋体"/>
          <w:color w:val="auto"/>
          <w:spacing w:val="-4"/>
          <w:sz w:val="44"/>
          <w:szCs w:val="44"/>
          <w14:textOutline w14:w="7988" w14:cap="flat" w14:cmpd="sng">
            <w14:solidFill>
              <w14:srgbClr w14:val="000000"/>
            </w14:solidFill>
            <w14:prstDash w14:val="solid"/>
            <w14:miter w14:val="0"/>
          </w14:textOutline>
        </w:rPr>
        <w:t>突发重大停电事件应急预案</w:t>
      </w:r>
    </w:p>
    <w:p>
      <w:pPr>
        <w:spacing w:line="311" w:lineRule="auto"/>
        <w:rPr>
          <w:rFonts w:ascii="Arial"/>
          <w:color w:val="auto"/>
          <w:sz w:val="21"/>
        </w:rPr>
      </w:pPr>
    </w:p>
    <w:p>
      <w:pPr>
        <w:spacing w:line="312"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1.总则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1.1编制目的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进一步健全</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突发重大停电事件应对工作机制,正确、 高效、有序、快速处置突发重大停电事件，最大程度减少影响和损失,保障电网安全稳定运行和可靠供电,维护社会稳定和人民群众生命财产安全。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1.2编制依据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中华人民共和国突发事件应对法》(2007年中华人民共和国主席令第69号)、《中华人民共和国电力法》(2018年中华人民共和国主席令第23号)、《中华人民共和国安全生产法》(2021年中华人民共和国主席令第88号)、《生产安全事故应急条例》(2019年中华人民共和国国务院令第708号)、《生产安全事故报告和调查处理条例》(2007年中华人民共和国国务院令第493号)、《电力安全事故应急处置和调查处理条例》(2011年中华人民共和国国务院令第599号)、《国家大面积停电事件应急预案》(国办函〔2015〕134号)、《大面积停电事件省级应急预案编制指南》(国能综安全〔2016〕490号)、《湖南省突发重大停电事件应急预案》(湘政办发〔2021〕46号)等法律法规和有关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1.3适用范围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本预案适用于</w:t>
      </w:r>
      <w:r>
        <w:rPr>
          <w:rFonts w:hint="eastAsia" w:ascii="仿宋" w:hAnsi="仿宋" w:eastAsia="仿宋" w:cs="仿宋"/>
          <w:color w:val="auto"/>
          <w:spacing w:val="1"/>
          <w:sz w:val="32"/>
          <w:szCs w:val="32"/>
          <w:lang w:eastAsia="zh-CN"/>
        </w:rPr>
        <w:t>益阳市赫山区行政区域内突发重大</w:t>
      </w:r>
      <w:r>
        <w:rPr>
          <w:rFonts w:hint="eastAsia" w:ascii="仿宋" w:hAnsi="仿宋" w:eastAsia="仿宋" w:cs="仿宋"/>
          <w:color w:val="auto"/>
          <w:spacing w:val="1"/>
          <w:sz w:val="32"/>
          <w:szCs w:val="32"/>
        </w:rPr>
        <w:t>停电事件</w:t>
      </w:r>
      <w:r>
        <w:rPr>
          <w:rFonts w:hint="eastAsia" w:ascii="仿宋" w:hAnsi="仿宋" w:eastAsia="仿宋" w:cs="仿宋"/>
          <w:color w:val="auto"/>
          <w:spacing w:val="1"/>
          <w:sz w:val="32"/>
          <w:szCs w:val="32"/>
          <w:lang w:eastAsia="zh-CN"/>
        </w:rPr>
        <w:t>的防范和应对处置工作</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本预案中的突发重大停电事件是指由于自然灾害、电力安全事故和外力破坏等原因造成益阳电网大量减供负荷,对公共安全、社会稳定以及人民群众生产生活造成影响和威胁的停电事件。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1.4工作原则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应对工作坚持统一领导、分级负责、属地为主、快速反应、保障民生、维护安全、全社会共同参与的原则。突发重大停电事件发生后,各级政府、有关部门和单位应立即按照职责分工和相关预案开展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1.5事件分级</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按照事件严重性和受影响程度,突发重大停电事件由高到低 分为一级、二级、三级、四级。</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1.5.1一级突发重大停电事件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湖南电网: 负荷20000兆瓦以上时减供负荷30%以上;负荷 50</w:t>
      </w:r>
      <w:r>
        <w:rPr>
          <w:rFonts w:hint="eastAsia" w:ascii="仿宋" w:hAnsi="仿宋" w:eastAsia="仿宋" w:cs="仿宋"/>
          <w:color w:val="auto"/>
          <w:spacing w:val="1"/>
          <w:sz w:val="32"/>
          <w:szCs w:val="32"/>
        </w:rPr>
        <w:t>00兆瓦以上20000兆瓦以下时减供负荷40%以上,停电范围涉 及益阳电网的。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1.5.2二级突发重大停电事件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(1)湖南电网: 负荷200</w:t>
      </w:r>
      <w:r>
        <w:rPr>
          <w:rFonts w:hint="eastAsia" w:ascii="仿宋" w:hAnsi="仿宋" w:eastAsia="仿宋" w:cs="仿宋"/>
          <w:color w:val="auto"/>
          <w:spacing w:val="1"/>
          <w:sz w:val="32"/>
          <w:szCs w:val="32"/>
          <w:lang w:val="en-US" w:eastAsia="zh-CN"/>
        </w:rPr>
        <w:t>00</w:t>
      </w:r>
      <w:r>
        <w:rPr>
          <w:rFonts w:hint="eastAsia" w:ascii="仿宋" w:hAnsi="仿宋" w:eastAsia="仿宋" w:cs="仿宋"/>
          <w:color w:val="auto"/>
          <w:spacing w:val="1"/>
          <w:sz w:val="32"/>
          <w:szCs w:val="32"/>
        </w:rPr>
        <w:t>兆瓦以上时减供负荷13%以上30</w:t>
      </w:r>
      <w:r>
        <w:rPr>
          <w:rFonts w:hint="eastAsia" w:ascii="仿宋" w:hAnsi="仿宋" w:eastAsia="仿宋" w:cs="仿宋"/>
          <w:color w:val="auto"/>
          <w:spacing w:val="1"/>
          <w:sz w:val="32"/>
          <w:szCs w:val="32"/>
          <w:lang w:val="en-US" w:eastAsia="zh-CN"/>
        </w:rPr>
        <w:t>%</w:t>
      </w:r>
      <w:r>
        <w:rPr>
          <w:rFonts w:hint="eastAsia" w:ascii="仿宋" w:hAnsi="仿宋" w:eastAsia="仿宋" w:cs="仿宋"/>
          <w:color w:val="auto"/>
          <w:spacing w:val="1"/>
          <w:sz w:val="32"/>
          <w:szCs w:val="32"/>
        </w:rPr>
        <w:t>以下;负荷5000兆瓦以上20000兆瓦以下时减供负荷16%以上40%以下;负荷1000兆瓦以上5000兆瓦以下时减供负荷50%以上,停电范 围涉及益阳电网的。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(2)益阳电网: 负荷600兆瓦以上时减供负荷60%以上,或 70%以上供电用户停电。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1.5.3三级突发重大停电事件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(1)湖南电网: 负荷2000</w:t>
      </w:r>
      <w:r>
        <w:rPr>
          <w:rFonts w:hint="eastAsia" w:ascii="仿宋" w:hAnsi="仿宋" w:eastAsia="仿宋" w:cs="仿宋"/>
          <w:color w:val="auto"/>
          <w:spacing w:val="1"/>
          <w:sz w:val="32"/>
          <w:szCs w:val="32"/>
          <w:lang w:val="en-US" w:eastAsia="zh-CN"/>
        </w:rPr>
        <w:t>0</w:t>
      </w:r>
      <w:r>
        <w:rPr>
          <w:rFonts w:hint="eastAsia" w:ascii="仿宋" w:hAnsi="仿宋" w:eastAsia="仿宋" w:cs="仿宋"/>
          <w:color w:val="auto"/>
          <w:spacing w:val="1"/>
          <w:sz w:val="32"/>
          <w:szCs w:val="32"/>
        </w:rPr>
        <w:t>兆瓦以上时减供负荷10%以上13% 以下;负荷5000兆瓦以上2000</w:t>
      </w:r>
      <w:r>
        <w:rPr>
          <w:rFonts w:hint="eastAsia" w:ascii="仿宋" w:hAnsi="仿宋" w:eastAsia="仿宋" w:cs="仿宋"/>
          <w:color w:val="auto"/>
          <w:spacing w:val="1"/>
          <w:sz w:val="32"/>
          <w:szCs w:val="32"/>
          <w:lang w:val="en-US" w:eastAsia="zh-CN"/>
        </w:rPr>
        <w:t>0</w:t>
      </w:r>
      <w:r>
        <w:rPr>
          <w:rFonts w:hint="eastAsia" w:ascii="仿宋" w:hAnsi="仿宋" w:eastAsia="仿宋" w:cs="仿宋"/>
          <w:color w:val="auto"/>
          <w:spacing w:val="1"/>
          <w:sz w:val="32"/>
          <w:szCs w:val="32"/>
        </w:rPr>
        <w:t>兆瓦以下时减供负荷12%以上16% 以下;负荷100</w:t>
      </w:r>
      <w:r>
        <w:rPr>
          <w:rFonts w:hint="eastAsia" w:ascii="仿宋" w:hAnsi="仿宋" w:eastAsia="仿宋" w:cs="仿宋"/>
          <w:color w:val="auto"/>
          <w:spacing w:val="1"/>
          <w:sz w:val="32"/>
          <w:szCs w:val="32"/>
          <w:lang w:val="en-US" w:eastAsia="zh-CN"/>
        </w:rPr>
        <w:t>0</w:t>
      </w:r>
      <w:r>
        <w:rPr>
          <w:rFonts w:hint="eastAsia" w:ascii="仿宋" w:hAnsi="仿宋" w:eastAsia="仿宋" w:cs="仿宋"/>
          <w:color w:val="auto"/>
          <w:spacing w:val="1"/>
          <w:sz w:val="32"/>
          <w:szCs w:val="32"/>
        </w:rPr>
        <w:t>兆瓦以上5000兆瓦以下时减供负荷20%以上50%以下;负荷1000兆瓦以下时减供负荷40%以上,停电范围涉及益阳电网的。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(2)益阳电网: 负荷600兆瓦以上时减供负荷40%以上60%以下,或50%以上70%以下供电用户停电;负荷600兆瓦以下时减供负荷40%以上,或50%以上供电用户停电。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电网: 负荷150兆瓦以上时减供负荷60%以上,或70%以上供电用户停电。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1.5.4四级突发重大停电事件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(1)湖南电网:负荷2000</w:t>
      </w:r>
      <w:r>
        <w:rPr>
          <w:rFonts w:hint="eastAsia" w:ascii="仿宋" w:hAnsi="仿宋" w:eastAsia="仿宋" w:cs="仿宋"/>
          <w:color w:val="auto"/>
          <w:spacing w:val="1"/>
          <w:sz w:val="32"/>
          <w:szCs w:val="32"/>
          <w:lang w:val="en-US" w:eastAsia="zh-CN"/>
        </w:rPr>
        <w:t>0</w:t>
      </w:r>
      <w:r>
        <w:rPr>
          <w:rFonts w:hint="eastAsia" w:ascii="仿宋" w:hAnsi="仿宋" w:eastAsia="仿宋" w:cs="仿宋"/>
          <w:color w:val="auto"/>
          <w:spacing w:val="1"/>
          <w:sz w:val="32"/>
          <w:szCs w:val="32"/>
        </w:rPr>
        <w:t>兆瓦以上时减供负荷5%以上10%以下;负荷5000兆瓦以上20000兆瓦以下时减供负荷6%以上12%以下;负荷1000兆瓦以上5000兆瓦以下时减供负荷10%以上20%以下;负荷1000兆瓦以下时减供负荷25%以上40%以下,停电范围涉及益阳电网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(2)益阳电网: 减供负荷20%以上40%以下,或30%以上50%以下供电用户停电。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电网: 负荷150兆瓦以上时减供负荷40%以上60%以下,或50%以上70%以下供电用户停电;负荷150兆瓦以下时减供负荷40%以上,或50%以上供电用户停电。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上述分级标准有关数量的表述中,</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以上</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含本数,</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以下</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 xml:space="preserve"> 不含本数。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2.组织指挥体系及职责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2.1</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级应急指挥机构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人民政府成立突发重大停电事件应急指挥部，在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应急救援总指挥部领导下负责全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突发重大停电事件应对工作,研究决定启动应急响应、部署应急处置等重大问题。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当发生一级、二级突发重大停电事件时,</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 件应急指挥部在</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突发重大停电事件应急指挥部统一领导、组织和指挥下开展突发重大停电事件应对工作。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当发生三级、四级突发重大停电事件时,</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 件应急指挥部负责指挥、协调本行政区域内突发重大停电事件应对工作。超出</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处置能力时,按程序报</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突发重大停电事件应急指挥部,请求统一领导、组织和指挥突发重大停电事件应对工作。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2.1.1</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突发重大停电事件应急指挥部及职责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突发重大停电事件应急指挥部具体组成如下: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 xml:space="preserve">指挥长:  </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人民政府分管副</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长</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 xml:space="preserve">副指挥长: </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人民政府</w:t>
      </w:r>
      <w:r>
        <w:rPr>
          <w:rFonts w:hint="eastAsia" w:ascii="仿宋" w:hAnsi="仿宋" w:eastAsia="仿宋" w:cs="仿宋"/>
          <w:color w:val="auto"/>
          <w:spacing w:val="1"/>
          <w:sz w:val="32"/>
          <w:szCs w:val="32"/>
          <w:lang w:eastAsia="zh-CN"/>
        </w:rPr>
        <w:t>办公室协</w:t>
      </w:r>
      <w:r>
        <w:rPr>
          <w:rFonts w:hint="eastAsia" w:ascii="仿宋" w:hAnsi="仿宋" w:eastAsia="仿宋" w:cs="仿宋"/>
          <w:color w:val="auto"/>
          <w:spacing w:val="1"/>
          <w:sz w:val="32"/>
          <w:szCs w:val="32"/>
        </w:rPr>
        <w:t>管</w:t>
      </w:r>
      <w:r>
        <w:rPr>
          <w:rFonts w:hint="eastAsia" w:ascii="仿宋" w:hAnsi="仿宋" w:eastAsia="仿宋" w:cs="仿宋"/>
          <w:color w:val="auto"/>
          <w:spacing w:val="1"/>
          <w:sz w:val="32"/>
          <w:szCs w:val="32"/>
          <w:lang w:eastAsia="zh-CN"/>
        </w:rPr>
        <w:t>负责人</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lang w:val="en-US" w:eastAsia="zh-CN"/>
        </w:rPr>
        <w:t>工业和信息化</w:t>
      </w:r>
      <w:r>
        <w:rPr>
          <w:rFonts w:hint="eastAsia" w:ascii="仿宋" w:hAnsi="仿宋" w:eastAsia="仿宋" w:cs="仿宋"/>
          <w:color w:val="auto"/>
          <w:spacing w:val="1"/>
          <w:sz w:val="32"/>
          <w:szCs w:val="32"/>
        </w:rPr>
        <w:t>局</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长、</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应急</w:t>
      </w:r>
      <w:r>
        <w:rPr>
          <w:rFonts w:hint="eastAsia" w:ascii="仿宋" w:hAnsi="仿宋" w:eastAsia="仿宋" w:cs="仿宋"/>
          <w:color w:val="auto"/>
          <w:spacing w:val="1"/>
          <w:sz w:val="32"/>
          <w:szCs w:val="32"/>
          <w:lang w:val="en-US"/>
        </w:rPr>
        <w:t>管理</w:t>
      </w:r>
      <w:r>
        <w:rPr>
          <w:rFonts w:hint="eastAsia" w:ascii="仿宋" w:hAnsi="仿宋" w:eastAsia="仿宋" w:cs="仿宋"/>
          <w:color w:val="auto"/>
          <w:spacing w:val="1"/>
          <w:sz w:val="32"/>
          <w:szCs w:val="32"/>
        </w:rPr>
        <w:t>局局长、国网</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供电公司总经理</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 xml:space="preserve">成    员: </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委宣传部、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委网信办、</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发展</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改革</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教育局、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公安</w:t>
      </w:r>
      <w:r>
        <w:rPr>
          <w:rFonts w:hint="eastAsia" w:ascii="仿宋" w:hAnsi="仿宋" w:eastAsia="仿宋" w:cs="仿宋"/>
          <w:color w:val="auto"/>
          <w:spacing w:val="1"/>
          <w:sz w:val="32"/>
          <w:szCs w:val="32"/>
          <w:lang w:eastAsia="zh-CN"/>
        </w:rPr>
        <w:t>分</w:t>
      </w:r>
      <w:r>
        <w:rPr>
          <w:rFonts w:hint="eastAsia" w:ascii="仿宋" w:hAnsi="仿宋" w:eastAsia="仿宋" w:cs="仿宋"/>
          <w:color w:val="auto"/>
          <w:spacing w:val="1"/>
          <w:sz w:val="32"/>
          <w:szCs w:val="32"/>
        </w:rPr>
        <w:t>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民政局、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财政局、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自然资源局、</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生态环境</w:t>
      </w:r>
      <w:r>
        <w:rPr>
          <w:rFonts w:hint="eastAsia" w:ascii="仿宋" w:hAnsi="仿宋" w:eastAsia="仿宋" w:cs="仿宋"/>
          <w:color w:val="auto"/>
          <w:spacing w:val="1"/>
          <w:sz w:val="32"/>
          <w:szCs w:val="32"/>
          <w:lang w:eastAsia="zh-CN"/>
        </w:rPr>
        <w:t>分</w:t>
      </w:r>
      <w:r>
        <w:rPr>
          <w:rFonts w:hint="eastAsia" w:ascii="仿宋" w:hAnsi="仿宋" w:eastAsia="仿宋" w:cs="仿宋"/>
          <w:color w:val="auto"/>
          <w:spacing w:val="1"/>
          <w:sz w:val="32"/>
          <w:szCs w:val="32"/>
        </w:rPr>
        <w:t>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住房</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城乡建设局、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交通运输局、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水利局、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商务局、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文旅广体局、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卫生健康</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 xml:space="preserve">、 </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应急</w:t>
      </w:r>
      <w:r>
        <w:rPr>
          <w:rFonts w:hint="eastAsia" w:ascii="仿宋" w:hAnsi="仿宋" w:eastAsia="仿宋" w:cs="仿宋"/>
          <w:color w:val="auto"/>
          <w:spacing w:val="1"/>
          <w:sz w:val="32"/>
          <w:szCs w:val="32"/>
          <w:lang w:eastAsia="zh-CN"/>
        </w:rPr>
        <w:t>管理</w:t>
      </w:r>
      <w:r>
        <w:rPr>
          <w:rFonts w:hint="eastAsia" w:ascii="仿宋" w:hAnsi="仿宋" w:eastAsia="仿宋" w:cs="仿宋"/>
          <w:color w:val="auto"/>
          <w:spacing w:val="1"/>
          <w:sz w:val="32"/>
          <w:szCs w:val="32"/>
        </w:rPr>
        <w:t>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林业局、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市场监管局、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信访局、</w:t>
      </w:r>
      <w:r>
        <w:rPr>
          <w:rFonts w:hint="eastAsia" w:ascii="仿宋" w:hAnsi="仿宋" w:eastAsia="仿宋" w:cs="仿宋"/>
          <w:color w:val="auto"/>
          <w:spacing w:val="1"/>
          <w:sz w:val="32"/>
          <w:szCs w:val="32"/>
          <w:lang w:eastAsia="zh-CN"/>
        </w:rPr>
        <w:t>区金融办</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气象局、</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消防</w:t>
      </w:r>
      <w:r>
        <w:rPr>
          <w:rFonts w:hint="eastAsia" w:ascii="仿宋" w:hAnsi="仿宋" w:eastAsia="仿宋" w:cs="仿宋"/>
          <w:color w:val="auto"/>
          <w:spacing w:val="1"/>
          <w:sz w:val="32"/>
          <w:szCs w:val="32"/>
          <w:lang w:eastAsia="zh-CN"/>
        </w:rPr>
        <w:t>救援大队</w:t>
      </w:r>
      <w:r>
        <w:rPr>
          <w:rFonts w:hint="eastAsia" w:ascii="仿宋" w:hAnsi="仿宋" w:eastAsia="仿宋" w:cs="仿宋"/>
          <w:color w:val="auto"/>
          <w:spacing w:val="1"/>
          <w:sz w:val="32"/>
          <w:szCs w:val="32"/>
        </w:rPr>
        <w:t>、国网</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供电公司等单位负责人组成,根据应对工作需要,可增加有关</w:t>
      </w:r>
      <w:r>
        <w:rPr>
          <w:rFonts w:hint="eastAsia" w:ascii="仿宋" w:hAnsi="仿宋" w:eastAsia="仿宋" w:cs="仿宋"/>
          <w:color w:val="auto"/>
          <w:spacing w:val="1"/>
          <w:sz w:val="32"/>
          <w:szCs w:val="32"/>
          <w:lang w:eastAsia="zh-CN"/>
        </w:rPr>
        <w:t>乡镇人民</w:t>
      </w:r>
      <w:r>
        <w:rPr>
          <w:rFonts w:hint="eastAsia" w:ascii="仿宋" w:hAnsi="仿宋" w:eastAsia="仿宋" w:cs="仿宋"/>
          <w:color w:val="auto"/>
          <w:spacing w:val="1"/>
          <w:sz w:val="32"/>
          <w:szCs w:val="32"/>
        </w:rPr>
        <w:t>政府、</w:t>
      </w:r>
      <w:r>
        <w:rPr>
          <w:rFonts w:hint="eastAsia" w:ascii="仿宋" w:hAnsi="仿宋" w:eastAsia="仿宋" w:cs="仿宋"/>
          <w:color w:val="auto"/>
          <w:spacing w:val="1"/>
          <w:sz w:val="32"/>
          <w:szCs w:val="32"/>
          <w:lang w:eastAsia="zh-CN"/>
        </w:rPr>
        <w:t>街道办事处、龙岭产业开发区、</w:t>
      </w:r>
      <w:r>
        <w:rPr>
          <w:rFonts w:hint="eastAsia" w:ascii="仿宋" w:hAnsi="仿宋" w:eastAsia="仿宋" w:cs="仿宋"/>
          <w:color w:val="auto"/>
          <w:spacing w:val="1"/>
          <w:sz w:val="32"/>
          <w:szCs w:val="32"/>
        </w:rPr>
        <w:t>其他有关部门和相关电力企业</w:t>
      </w:r>
      <w:r>
        <w:rPr>
          <w:rFonts w:hint="eastAsia" w:ascii="仿宋" w:hAnsi="仿宋" w:eastAsia="仿宋" w:cs="仿宋"/>
          <w:color w:val="auto"/>
          <w:spacing w:val="1"/>
          <w:sz w:val="32"/>
          <w:szCs w:val="32"/>
          <w:lang w:eastAsia="zh-CN"/>
        </w:rPr>
        <w:t>的负责人</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主要职责: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(1)贯彻落实</w:t>
      </w:r>
      <w:r>
        <w:rPr>
          <w:rFonts w:hint="eastAsia" w:ascii="仿宋" w:hAnsi="仿宋" w:eastAsia="仿宋" w:cs="仿宋"/>
          <w:color w:val="auto"/>
          <w:spacing w:val="1"/>
          <w:sz w:val="32"/>
          <w:szCs w:val="32"/>
          <w:lang w:eastAsia="zh-CN"/>
        </w:rPr>
        <w:t>区委、区</w:t>
      </w:r>
      <w:r>
        <w:rPr>
          <w:rFonts w:hint="eastAsia" w:ascii="仿宋" w:hAnsi="仿宋" w:eastAsia="仿宋" w:cs="仿宋"/>
          <w:color w:val="auto"/>
          <w:spacing w:val="1"/>
          <w:sz w:val="32"/>
          <w:szCs w:val="32"/>
        </w:rPr>
        <w:t>政府决策部署,统一领导和指挥全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突发重大停电事件应对工作。负责应急救援重大事项决策，开展应急联动,解决应急处置与应急救援重大问题;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(2)下达应急指令,适时启动应急响应和应急终止命令;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(3)及时向</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突发重大停电事件应急指挥部报告相关情况, 视情况提出协调支援请求;</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(4)统一组织信息发布和舆论引导工作;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(5)组织开展应急处置工作评估与总结;</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(6)督促各</w:t>
      </w: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制定、完善相关应急</w:t>
      </w:r>
      <w:r>
        <w:rPr>
          <w:rFonts w:hint="eastAsia" w:ascii="仿宋" w:hAnsi="仿宋" w:eastAsia="仿宋" w:cs="仿宋"/>
          <w:color w:val="auto"/>
          <w:spacing w:val="1"/>
          <w:sz w:val="32"/>
          <w:szCs w:val="32"/>
          <w:lang w:eastAsia="zh-CN"/>
        </w:rPr>
        <w:t>预案</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2.1.2</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突发重大停电事件应急指挥部办公室及职责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突发重大停电事件应急指挥部办公室设</w:t>
      </w:r>
      <w:r>
        <w:rPr>
          <w:rFonts w:hint="eastAsia" w:ascii="仿宋" w:hAnsi="仿宋" w:eastAsia="仿宋" w:cs="仿宋"/>
          <w:color w:val="auto"/>
          <w:spacing w:val="1"/>
          <w:sz w:val="32"/>
          <w:szCs w:val="32"/>
          <w:lang w:eastAsia="zh-CN"/>
        </w:rPr>
        <w:t>在区</w:t>
      </w:r>
      <w:r>
        <w:rPr>
          <w:rFonts w:hint="eastAsia" w:ascii="仿宋" w:hAnsi="仿宋" w:eastAsia="仿宋" w:cs="仿宋"/>
          <w:color w:val="auto"/>
          <w:spacing w:val="1"/>
          <w:sz w:val="32"/>
          <w:szCs w:val="32"/>
        </w:rPr>
        <w:t>工业和信息化局,由</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工业和信息化局分管负责人兼任办公室主任,负责指挥部的日常工作。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主要职责: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(1)督促落实</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突发重大停电事件应急指挥部部署的各项任</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务和下达的各项指令;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(2)密切跟踪事态,及时掌握并报告应急处置和供电恢复情</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(3)协调</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突发重大停电事件应急指挥部各成员单位开展应 对处置工作;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(4)按照授权协助做好信息发布、舆论引导和舆情分析应对工作;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(5)提请</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突发重大停电事件应急指挥部启动或终止应急响 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(6)督促</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突发重大停电事件应急指挥部各成员单位制定、 完善相关应急预案;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(7)根据应急救援工作需要抽调有关专家,对应急救援工作 进行技术指导。</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2.1.3</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突发重大停电事件应急指挥部主要成员单位及职责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委宣传部:统筹协调开展信息发布和舆论引导工作,及时组织舆情会商研判,协调有关方面解惑释疑、澄清事实、批驳谣言,确保社会舆论平稳、正向。</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委网信办:负责监测网络舆情,会同有关部门开展网络舆情引导,及时澄清网络谣言。</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发展</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改革</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:统筹协调电煤的运行调节和应急保障工作。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教育局:负责教育系统的安全与稳定工作。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工业和信息化局:组织协调相关部门和电力企业开展突发重大停电事件应急处置与应急救援工作,负责应急工作中的通信和无线电通信频率保障,负责</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突发重大停电事件应急指挥部日常工作。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公安</w:t>
      </w:r>
      <w:r>
        <w:rPr>
          <w:rFonts w:hint="eastAsia" w:ascii="仿宋" w:hAnsi="仿宋" w:eastAsia="仿宋" w:cs="仿宋"/>
          <w:color w:val="auto"/>
          <w:spacing w:val="1"/>
          <w:sz w:val="32"/>
          <w:szCs w:val="32"/>
          <w:lang w:eastAsia="zh-CN"/>
        </w:rPr>
        <w:t>分</w:t>
      </w:r>
      <w:r>
        <w:rPr>
          <w:rFonts w:hint="eastAsia" w:ascii="仿宋" w:hAnsi="仿宋" w:eastAsia="仿宋" w:cs="仿宋"/>
          <w:color w:val="auto"/>
          <w:spacing w:val="1"/>
          <w:sz w:val="32"/>
          <w:szCs w:val="32"/>
        </w:rPr>
        <w:t>局:负责会同相关部门和单位保障应急情况下重点部位、突发事件现场的安全保卫、治安管理等工作;负责维护事故现场抢险的外部治安秩序,疏散处于危险地段的人员,防范治安事件;负责保障救援物资及人员运输的道路交通安全畅通,必要时实施交通管制;配合做好善后社会稳定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民政局:经应急期救助和过渡期救助后,受灾群众基本</w:t>
      </w:r>
      <w:r>
        <w:rPr>
          <w:rFonts w:hint="eastAsia" w:ascii="仿宋" w:hAnsi="仿宋" w:eastAsia="仿宋" w:cs="仿宋"/>
          <w:color w:val="auto"/>
          <w:spacing w:val="1"/>
          <w:sz w:val="32"/>
          <w:szCs w:val="32"/>
          <w:lang w:eastAsia="zh-CN"/>
        </w:rPr>
        <w:t>生</w:t>
      </w:r>
      <w:r>
        <w:rPr>
          <w:rFonts w:hint="eastAsia" w:ascii="仿宋" w:hAnsi="仿宋" w:eastAsia="仿宋" w:cs="仿宋"/>
          <w:color w:val="auto"/>
          <w:spacing w:val="1"/>
          <w:sz w:val="32"/>
          <w:szCs w:val="32"/>
        </w:rPr>
        <w:t>活仍存在较大困难的,符合救助条件的按程序及时纳入社会救助保障范围,配合做好伤亡人员的善后处理工作。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财政局:负责协调落实应急救灾资金,对电力应急能力建设和突发重大停电事件处置工作提供必要的资金保障。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自然资源</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:负责提供测绘地理信息数据和卫星综合定位基准服务,提供停电区域地图资料和基础测绘成果,提供空间定位技术和电子地图服务,提供各类遥感和无人机影像监测数据等服务。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生态环</w:t>
      </w:r>
      <w:r>
        <w:rPr>
          <w:rFonts w:hint="eastAsia" w:ascii="仿宋" w:hAnsi="仿宋" w:eastAsia="仿宋" w:cs="仿宋"/>
          <w:color w:val="auto"/>
          <w:spacing w:val="1"/>
          <w:sz w:val="32"/>
          <w:szCs w:val="32"/>
          <w:lang w:eastAsia="zh-CN"/>
        </w:rPr>
        <w:t>保分</w:t>
      </w:r>
      <w:r>
        <w:rPr>
          <w:rFonts w:hint="eastAsia" w:ascii="仿宋" w:hAnsi="仿宋" w:eastAsia="仿宋" w:cs="仿宋"/>
          <w:color w:val="auto"/>
          <w:spacing w:val="1"/>
          <w:sz w:val="32"/>
          <w:szCs w:val="32"/>
        </w:rPr>
        <w:t>局:负责事故现场周围环境污染的应急监测，组织对污染造成的环境影响和损害进行评估。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住房</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城乡建设局: 负责协调和指导各地城市供水、供气、污水垃圾处理等公用设施正常运行,保障居民基本生活需要。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交通运输局:负责落实应急所需物资的运输保障。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水利局:负责指导和督促各地做好农村生活用水和水利工程供水的应急处置工作。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商务局:负责组织调运应急生活必需品,加强粮、油、肉、蛋、菜等重要生活必需品市场监测。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文旅广体局:负责突发重大停电事件</w:t>
      </w:r>
      <w:r>
        <w:rPr>
          <w:rFonts w:hint="eastAsia" w:ascii="仿宋" w:hAnsi="仿宋" w:eastAsia="仿宋" w:cs="仿宋"/>
          <w:color w:val="auto"/>
          <w:spacing w:val="1"/>
          <w:sz w:val="32"/>
          <w:szCs w:val="32"/>
          <w:lang w:eastAsia="zh-CN"/>
        </w:rPr>
        <w:t>发生时影剧院、宾馆、酒店、网吧以及</w:t>
      </w:r>
      <w:r>
        <w:rPr>
          <w:rFonts w:hint="eastAsia" w:ascii="仿宋" w:hAnsi="仿宋" w:eastAsia="仿宋" w:cs="仿宋"/>
          <w:color w:val="auto"/>
          <w:spacing w:val="1"/>
          <w:sz w:val="32"/>
          <w:szCs w:val="32"/>
        </w:rPr>
        <w:t>大型游乐场</w:t>
      </w:r>
      <w:r>
        <w:rPr>
          <w:rFonts w:hint="eastAsia" w:ascii="仿宋" w:hAnsi="仿宋" w:eastAsia="仿宋" w:cs="仿宋"/>
          <w:color w:val="auto"/>
          <w:spacing w:val="1"/>
          <w:sz w:val="32"/>
          <w:szCs w:val="32"/>
          <w:lang w:eastAsia="zh-CN"/>
        </w:rPr>
        <w:t>的疏散安全保障工作</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卫生健康</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:负责组织协调应急医疗救援和卫生防疫工作。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应急</w:t>
      </w:r>
      <w:r>
        <w:rPr>
          <w:rFonts w:hint="eastAsia" w:ascii="仿宋" w:hAnsi="仿宋" w:eastAsia="仿宋" w:cs="仿宋"/>
          <w:color w:val="auto"/>
          <w:spacing w:val="1"/>
          <w:sz w:val="32"/>
          <w:szCs w:val="32"/>
          <w:lang w:eastAsia="zh-CN"/>
        </w:rPr>
        <w:t>管理</w:t>
      </w:r>
      <w:r>
        <w:rPr>
          <w:rFonts w:hint="eastAsia" w:ascii="仿宋" w:hAnsi="仿宋" w:eastAsia="仿宋" w:cs="仿宋"/>
          <w:color w:val="auto"/>
          <w:spacing w:val="1"/>
          <w:sz w:val="32"/>
          <w:szCs w:val="32"/>
        </w:rPr>
        <w:t>局:负责组织协调相关应急队伍参与电力企业重、特大生产安全事故应急处置工作。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林业局:依法对电力线路保护区内种植危及电力设施安全林木的行为进行监管,负责指导事故区域内树木处置工</w:t>
      </w:r>
      <w:r>
        <w:rPr>
          <w:rFonts w:hint="eastAsia" w:ascii="仿宋" w:hAnsi="仿宋" w:eastAsia="仿宋" w:cs="仿宋"/>
          <w:color w:val="auto"/>
          <w:spacing w:val="1"/>
          <w:sz w:val="32"/>
          <w:szCs w:val="32"/>
          <w:lang w:eastAsia="zh-CN"/>
        </w:rPr>
        <w:t>作</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市场监管局:负责监督管理市场秩序,维护突发重大停电事件期间的市场秩序。</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信访局:负责突发重大停电事件期间来访接待及劝返的组织协调工作。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气象局:负责天气监测、预测、预报,及时提供气象信息服务,开展因气象灾害引发的事故灾害调查、评估及气象分析</w:t>
      </w:r>
      <w:r>
        <w:rPr>
          <w:rFonts w:hint="eastAsia" w:ascii="仿宋" w:hAnsi="仿宋" w:eastAsia="仿宋" w:cs="仿宋"/>
          <w:color w:val="auto"/>
          <w:spacing w:val="1"/>
          <w:sz w:val="32"/>
          <w:szCs w:val="32"/>
          <w:lang w:eastAsia="zh-CN"/>
        </w:rPr>
        <w:t>等</w:t>
      </w:r>
      <w:r>
        <w:rPr>
          <w:rFonts w:hint="eastAsia" w:ascii="仿宋" w:hAnsi="仿宋" w:eastAsia="仿宋" w:cs="仿宋"/>
          <w:color w:val="auto"/>
          <w:spacing w:val="1"/>
          <w:sz w:val="32"/>
          <w:szCs w:val="32"/>
        </w:rPr>
        <w:t>工作。</w:t>
      </w:r>
    </w:p>
    <w:p>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4" w:firstLineChars="200"/>
        <w:textAlignment w:val="baseline"/>
        <w:rPr>
          <w:rFonts w:hint="eastAsia" w:ascii="仿宋" w:hAnsi="仿宋" w:eastAsia="仿宋" w:cs="仿宋"/>
          <w:b w:val="0"/>
          <w:bCs w:val="0"/>
          <w:color w:val="auto"/>
          <w:spacing w:val="1"/>
          <w:sz w:val="32"/>
          <w:szCs w:val="32"/>
          <w:lang w:eastAsia="zh-CN"/>
        </w:rPr>
      </w:pPr>
      <w:r>
        <w:rPr>
          <w:rFonts w:hint="eastAsia" w:ascii="仿宋" w:hAnsi="仿宋" w:eastAsia="仿宋" w:cs="仿宋"/>
          <w:b w:val="0"/>
          <w:bCs w:val="0"/>
          <w:color w:val="auto"/>
          <w:spacing w:val="1"/>
          <w:sz w:val="32"/>
          <w:szCs w:val="32"/>
          <w:lang w:eastAsia="zh-CN"/>
        </w:rPr>
        <w:t>区金融办：负责组织、督促保险公司开展应急保险推介和理赔工作；负责组织、协调各银行机构保障辖区央行支付清算系统及征信系统稳定运行，开展金融基础数据统计及突发重大停电事件对全区经济金融的影响调查、评估及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b w:val="0"/>
          <w:bCs w:val="0"/>
          <w:snapToGrid w:val="0"/>
          <w:color w:val="auto"/>
          <w:spacing w:val="1"/>
          <w:kern w:val="0"/>
          <w:sz w:val="32"/>
          <w:szCs w:val="32"/>
          <w:lang w:eastAsia="zh-CN"/>
        </w:rPr>
      </w:pPr>
      <w:bookmarkStart w:id="0" w:name="_GoBack"/>
      <w:bookmarkEnd w:id="0"/>
      <w:r>
        <w:rPr>
          <w:rFonts w:hint="eastAsia" w:ascii="仿宋" w:hAnsi="仿宋" w:eastAsia="仿宋" w:cs="仿宋"/>
          <w:b w:val="0"/>
          <w:bCs w:val="0"/>
          <w:snapToGrid w:val="0"/>
          <w:color w:val="auto"/>
          <w:spacing w:val="1"/>
          <w:kern w:val="0"/>
          <w:sz w:val="32"/>
          <w:szCs w:val="32"/>
          <w:lang w:eastAsia="zh-CN"/>
        </w:rPr>
        <w:t>赫山消防救援大队:负责消防救助、控制和消除火灾险情等专业工作。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国网</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供电公司、相关供电企业:负责电网运行状态监控，故障分析与研判;指挥电网事故处理,控制事故范围,防止事故进一步扩大;保障重点地区、重要负荷</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重要客户的电力供应; 组织电力抢修队伍,调集电力应急物资,开展电网应急抢修,尽快恢复电力供应,及时报告电网突发重大停电事件有关情况。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lang w:val="en-US" w:eastAsia="zh-CN"/>
        </w:rPr>
      </w:pPr>
      <w:r>
        <w:rPr>
          <w:rFonts w:hint="eastAsia" w:ascii="仿宋" w:hAnsi="仿宋" w:eastAsia="仿宋" w:cs="仿宋"/>
          <w:color w:val="auto"/>
          <w:spacing w:val="1"/>
          <w:sz w:val="32"/>
          <w:szCs w:val="32"/>
        </w:rPr>
        <w:t>相关发电企业:负责本单位在应急情况下的生产调度和应急处置,确保机组的启动能力和运行安全。发生突发重大停电事件后,做好应急物资供应,及时恢复机组并网运行和调整出力,为 地区电网恢复供电与稳定运行提供保障</w:t>
      </w:r>
      <w:r>
        <w:rPr>
          <w:rFonts w:hint="eastAsia" w:ascii="仿宋" w:hAnsi="仿宋" w:eastAsia="仿宋" w:cs="仿宋"/>
          <w:color w:val="auto"/>
          <w:spacing w:val="1"/>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w:t>
      </w:r>
      <w:r>
        <w:rPr>
          <w:rFonts w:hint="eastAsia" w:ascii="仿宋" w:hAnsi="仿宋" w:eastAsia="仿宋" w:cs="仿宋"/>
          <w:color w:val="auto"/>
          <w:spacing w:val="1"/>
          <w:sz w:val="32"/>
          <w:szCs w:val="32"/>
          <w:lang w:val="en-US" w:eastAsia="zh-CN"/>
        </w:rPr>
        <w:t>2</w:t>
      </w:r>
      <w:r>
        <w:rPr>
          <w:rFonts w:hint="eastAsia" w:ascii="仿宋" w:hAnsi="仿宋" w:eastAsia="仿宋" w:cs="仿宋"/>
          <w:color w:val="auto"/>
          <w:spacing w:val="1"/>
          <w:sz w:val="32"/>
          <w:szCs w:val="32"/>
        </w:rPr>
        <w:t>现场应急指挥机构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发生突发重大停电事件时,区</w:t>
      </w:r>
      <w:r>
        <w:rPr>
          <w:rFonts w:hint="eastAsia" w:ascii="仿宋" w:hAnsi="仿宋" w:eastAsia="仿宋" w:cs="仿宋"/>
          <w:color w:val="auto"/>
          <w:spacing w:val="1"/>
          <w:sz w:val="32"/>
          <w:szCs w:val="32"/>
          <w:lang w:eastAsia="zh-CN"/>
        </w:rPr>
        <w:t>人民</w:t>
      </w:r>
      <w:r>
        <w:rPr>
          <w:rFonts w:hint="eastAsia" w:ascii="仿宋" w:hAnsi="仿宋" w:eastAsia="仿宋" w:cs="仿宋"/>
          <w:color w:val="auto"/>
          <w:spacing w:val="1"/>
          <w:sz w:val="32"/>
          <w:szCs w:val="32"/>
        </w:rPr>
        <w:t>政府根据上级要求或实际需要成立现场应急指挥部,在市突发重大停电事件应急指挥部或其派出工作组的指挥或指导下负责现场应急处置工作,协调各成员单位按照应急预案开展人员疏散、电网恢复、保障民生、维护稳定、舆情处置等工作,并向各级应急指挥部汇报现场应急处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w:t>
      </w:r>
      <w:r>
        <w:rPr>
          <w:rFonts w:hint="eastAsia" w:ascii="仿宋" w:hAnsi="仿宋" w:eastAsia="仿宋" w:cs="仿宋"/>
          <w:color w:val="auto"/>
          <w:spacing w:val="1"/>
          <w:sz w:val="32"/>
          <w:szCs w:val="32"/>
          <w:lang w:val="en-US" w:eastAsia="zh-CN"/>
        </w:rPr>
        <w:t>3</w:t>
      </w:r>
      <w:r>
        <w:rPr>
          <w:rFonts w:hint="eastAsia" w:ascii="仿宋" w:hAnsi="仿宋" w:eastAsia="仿宋" w:cs="仿宋"/>
          <w:color w:val="auto"/>
          <w:spacing w:val="1"/>
          <w:sz w:val="32"/>
          <w:szCs w:val="32"/>
        </w:rPr>
        <w:t>电力企业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电力企业应建立健全应急指挥机构,在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 应急指挥部领导下开展突发重大停电事件应对工作。电网调度工作按照《电网调度管理条例》及相关规程执行。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w:t>
      </w:r>
      <w:r>
        <w:rPr>
          <w:rFonts w:hint="eastAsia" w:ascii="仿宋" w:hAnsi="仿宋" w:eastAsia="仿宋" w:cs="仿宋"/>
          <w:color w:val="auto"/>
          <w:spacing w:val="1"/>
          <w:sz w:val="32"/>
          <w:szCs w:val="32"/>
          <w:lang w:val="en-US" w:eastAsia="zh-CN"/>
        </w:rPr>
        <w:t>4</w:t>
      </w:r>
      <w:r>
        <w:rPr>
          <w:rFonts w:hint="eastAsia" w:ascii="仿宋" w:hAnsi="仿宋" w:eastAsia="仿宋" w:cs="仿宋"/>
          <w:color w:val="auto"/>
          <w:spacing w:val="1"/>
          <w:sz w:val="32"/>
          <w:szCs w:val="32"/>
        </w:rPr>
        <w:t>专家组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突发重大停电事件应急指挥部应成立应急专家组,成员 由电力、气象、地质、水文等领域相关专家组成,对突发重大停 电事件应对工作提供技术指导和建议,根据工作需要参与突发重 大停电事件应急处置工作。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3.风险分析和监测预警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3.1风险分析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3.1.1风险源分析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可能导致突发重大停电事件的主要风险源包括以下几个方面: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属大陆性亚热带季风湿润气候,冬寒冷而夏酷热, 春夏多雨,供电区域内各类自然灾害(例如: 暴雨洪涝、雨雪冰  冻、雷电、强对流大风、森林火灾、山体滑坡、泥石流等)多有发生,可能造成电网设施设备大范围损毁,引发重大停电事件;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(2)因各种原因造成的发电企业发电出力大规模减少,特别 是在高温、冰冻、重负荷等特殊时段,容易引起供需平衡破坏, 可能引发重大停电事件;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(3)遇恐怖袭击、重大冲突、非法侵入、火灾爆炸以及野蛮 施工、电力设施被盗等外力破坏或重大社会安全事件造成电网设施损毁,电网工控系统遭受网络攻击,可能引发重大停电事件;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(4)新能源大规模发展,风能、太阳能发电开发,分布式电 源大量接入,使大电网运行控制难度和安全稳定运行风险明显增 大,可能引发重大停电事件;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(5)电网基建、技改项目停电跨越以及新设备接入造成电网 非正常方式运行,重要发、输、变电设备、自动化系统故障,电 网运行、操作和检修中,人员误操作、误整定、误调度或处置不 当,可能引发重大停电事件;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(6)其他可能引发重大停电事件的情况。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3.1.2社会风险分析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突发重大停电事件对关系国计民生的重要基础设施将造成巨大影响,可能导致交通、通信瘫痪,水、气、煤、油等供应中断,严重影响人民生产生活,甚至对国家安全 和社会稳定造成极大威胁。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(1)供水、排水、供气、供暖、通信等公用设施电力供应中 断,影响居民正常生活和社会稳定;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(2)城市交通拥堵甚至瘫痪,车站电力供应中断;</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(3)大型商场、广场、影剧院、住宅小区、医院、学校、大型游乐场等高密度人口聚集点基础设施电力供应中断，引发群众慌,严重影响社会秩序;</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（4）化工、冶金、非煤矿山等高危用户及污染防治设施的电力供应中断,引发生产运营事故及次生衍生灾害;</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(5)政府部门、武警、消防等重要机构电力供应中断,无法 正常运转,影响国家安全和社会稳定;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(6)突发重大停电事件在当前新媒体时代极易成为社会舆论 的热点,在公众不明真相的情况下,若有错误舆论,可能造成公众恐慌情绪,影响社会稳定。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3.2监测</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供电企业应开展电网运行、重要电力设施设备运行、电力供需平衡、自然灾害等情况的日常监测,同时与发展改革、气象、水利、林业、公安、交通运输、自然资源、应急、住房</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城乡建设、工业和信息化等部门建立信息共享机制,及时分析各类情况对电力运行可能造成的影响,预估可能影响的范围和程度。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发电企业应开展燃料供应、发电设备运行、自然灾害等情况的日常监测,并及时报电网调度机构。发展改革、气象、水利、 林业、公安、交通运输、自然资源、应急、住房</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城乡建设</w:t>
      </w:r>
      <w:r>
        <w:rPr>
          <w:rFonts w:hint="eastAsia" w:ascii="仿宋" w:hAnsi="仿宋" w:eastAsia="仿宋" w:cs="仿宋"/>
          <w:color w:val="auto"/>
          <w:spacing w:val="1"/>
          <w:sz w:val="32"/>
          <w:szCs w:val="32"/>
          <w:lang w:eastAsia="zh-CN"/>
        </w:rPr>
        <w:t>、通信</w:t>
      </w:r>
      <w:r>
        <w:rPr>
          <w:rFonts w:hint="eastAsia" w:ascii="仿宋" w:hAnsi="仿宋" w:eastAsia="仿宋" w:cs="仿宋"/>
          <w:color w:val="auto"/>
          <w:spacing w:val="1"/>
          <w:sz w:val="32"/>
          <w:szCs w:val="32"/>
        </w:rPr>
        <w:t>、工业和信息化等部门</w:t>
      </w:r>
      <w:r>
        <w:rPr>
          <w:rFonts w:hint="eastAsia" w:ascii="仿宋" w:hAnsi="仿宋" w:eastAsia="仿宋" w:cs="仿宋"/>
          <w:color w:val="auto"/>
          <w:spacing w:val="1"/>
          <w:sz w:val="32"/>
          <w:szCs w:val="32"/>
          <w:lang w:eastAsia="zh-CN"/>
        </w:rPr>
        <w:t>单位</w:t>
      </w:r>
      <w:r>
        <w:rPr>
          <w:rFonts w:hint="eastAsia" w:ascii="仿宋" w:hAnsi="仿宋" w:eastAsia="仿宋" w:cs="仿宋"/>
          <w:color w:val="auto"/>
          <w:spacing w:val="1"/>
          <w:sz w:val="32"/>
          <w:szCs w:val="32"/>
        </w:rPr>
        <w:t>应密切关注并收集可能影响电力运行的信息, 及时通报相关发电企业并协助开展风险分析。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相关部门和单位应通过舆情监测、互联网感知、民众报告等渠道获取预警信息。同时,应设立接待室、热线电话等方便接收民众报告。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3.3预警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3.3.1预警信息发布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(1)供电企业预判可能发生突发重大停电事件时,要及时将  有关情况报告受影响区域电力运行主管部门和上一级供电企业、 当地消防救援机构指挥中心和值班室,提出预警信息发布建议, 并视情况通知重要电力用户。</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(2)电力运行主管部门应及时组织研判,必要时报请当地政府批准后向社会公众发布预警,并通报同级其他相关部门和单位。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(3)突发重大停电事件预警信息包括风险提示、预警级别、 预警期、可能影响范围、警示事项、应采取的措施等。</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(4)预警信息由突发重大停电事件应急指挥部及时通过政府 网站和突发事件预警信息发布系统予以发布,以及利用广播、电 视、报刊、互联网、手机短信、微信公众号、电子显示屏、有线广播等通信手段和传播媒介进行发布。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3.3.2预警行动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预警信息发布后,电力企业和重要电力用户应立即开展相关预警行动。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电力企业要组织开展设备巡查检修和运行监测,采取有效措 施控制事态发展。组织相关应急救援队伍和人员进入待命状态，并做好应急所需物资、装备和设备等应急保障准备工作。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重要电力用户做好自备应急电源启用准备。</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启动应急联动机制,组织有关部门和单位做好维持人员安全、公共秩序、供水供气供热、商品供应、交通物流等方面的应急准备。加强相关舆情监测，主动回应社会公众关注的热点问题,及时澄清谣言传言,做好舆论引导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3.3.3预警解除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根据事态发展,经研判不会发生突发重大停电事件时,按照 "谁发布、谁解除"的原则,由发布单位宣布解除预警,适时终止相关预警措施。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4.信息报告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突发重大停电事件发生后,各级政府及其电力运行主管部门、相关电力企业需按照以下程序报告。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(1)相关电力企业必须第一时间按规定如实向当地电力运行 主管部门报告,同时逐级向上级电力企业报告。国网</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供电公司接到突发重大停电事件信息报告后应立即向</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44"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(2)区电力运行主管部门接到突发重大停电事件信息报告或者监测到相关信息后,应立即进行核实,对突发重大停电事件的性质和类别作出初步认定,按照规定如实向</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人民政府、上级电力运行主管部门报告,最迟不得超过1小时,同时通报同级其他相关部门和单位。对于仍在处置过程中的三级及以上突发重大停电事件,每30分钟续报一次该事件的处置进展、发展趋势等情况,直到处置基本结束。</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w:t>
      </w: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及</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电力运行主管部门应当按照有关规定逐级上报,必要时可越级上报。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(4)对初判为二级及以上的突发重大停电事件,</w:t>
      </w:r>
      <w:r>
        <w:rPr>
          <w:rFonts w:hint="eastAsia" w:ascii="仿宋" w:hAnsi="仿宋" w:eastAsia="仿宋" w:cs="仿宋"/>
          <w:color w:val="auto"/>
          <w:spacing w:val="1"/>
          <w:sz w:val="32"/>
          <w:szCs w:val="32"/>
          <w:lang w:eastAsia="zh-CN"/>
        </w:rPr>
        <w:t>区人民政府应</w:t>
      </w:r>
      <w:r>
        <w:rPr>
          <w:rFonts w:hint="eastAsia" w:ascii="仿宋" w:hAnsi="仿宋" w:eastAsia="仿宋" w:cs="仿宋"/>
          <w:color w:val="auto"/>
          <w:spacing w:val="1"/>
          <w:sz w:val="32"/>
          <w:szCs w:val="32"/>
          <w:lang w:eastAsia="zh-CN"/>
        </w:rPr>
        <w:t>立即报告</w:t>
      </w:r>
      <w:r>
        <w:rPr>
          <w:rFonts w:hint="eastAsia" w:ascii="仿宋" w:hAnsi="仿宋" w:eastAsia="仿宋" w:cs="仿宋"/>
          <w:color w:val="auto"/>
          <w:spacing w:val="1"/>
          <w:sz w:val="32"/>
          <w:szCs w:val="32"/>
        </w:rPr>
        <w:t>市人民政府</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在2小时内按程序向省人民政府、省突发重大停电事件应急指挥部报告。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5.应急响应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5.1响应分级</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根据突发重大停电事件的严重程度和发展态势,将应急响应 设定为I级、Ⅱ级、Ⅲ级和Ⅳ级四个等级。应急响应启动后，</w:t>
      </w:r>
      <w:r>
        <w:rPr>
          <w:rFonts w:hint="eastAsia" w:ascii="仿宋" w:hAnsi="仿宋" w:eastAsia="仿宋" w:cs="仿宋"/>
          <w:color w:val="auto"/>
          <w:spacing w:val="1"/>
          <w:sz w:val="32"/>
          <w:szCs w:val="32"/>
          <w:lang w:eastAsia="zh-CN"/>
        </w:rPr>
        <w:t>可</w:t>
      </w:r>
      <w:r>
        <w:rPr>
          <w:rFonts w:hint="eastAsia" w:ascii="仿宋" w:hAnsi="仿宋" w:eastAsia="仿宋" w:cs="仿宋"/>
          <w:color w:val="auto"/>
          <w:spacing w:val="1"/>
          <w:sz w:val="32"/>
          <w:szCs w:val="32"/>
        </w:rPr>
        <w:t>视事件造成损失情况及其发展趋势调整响应级别，避免响应不足或响应过度。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5.2启动响应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(1)发生或初判发生一级突发重大停电事件时,由</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突发重大停电事件应急指挥部报请市</w:t>
      </w:r>
      <w:r>
        <w:rPr>
          <w:rFonts w:hint="eastAsia" w:ascii="仿宋" w:hAnsi="仿宋" w:eastAsia="仿宋" w:cs="仿宋"/>
          <w:color w:val="auto"/>
          <w:spacing w:val="1"/>
          <w:sz w:val="32"/>
          <w:szCs w:val="32"/>
          <w:lang w:eastAsia="zh-CN"/>
        </w:rPr>
        <w:t>人民</w:t>
      </w:r>
      <w:r>
        <w:rPr>
          <w:rFonts w:hint="eastAsia" w:ascii="仿宋" w:hAnsi="仿宋" w:eastAsia="仿宋" w:cs="仿宋"/>
          <w:color w:val="auto"/>
          <w:spacing w:val="1"/>
          <w:sz w:val="32"/>
          <w:szCs w:val="32"/>
        </w:rPr>
        <w:t>政府启动I级应急响应,组织开展先期处置工作。立即按规定将突发重大停电事件报省突发重大停电事件应急指挥部,并报省政府,在省突发重大停电事件应急指挥部的统一领导、组织和指挥下,开展突发重大停电事件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(2)发生或初判发生二级突发重大停电事件时,由</w:t>
      </w:r>
      <w:r>
        <w:rPr>
          <w:rFonts w:hint="eastAsia" w:ascii="仿宋" w:hAnsi="仿宋" w:eastAsia="仿宋" w:cs="仿宋"/>
          <w:color w:val="auto"/>
          <w:spacing w:val="1"/>
          <w:sz w:val="32"/>
          <w:szCs w:val="32"/>
          <w:lang w:eastAsia="zh-CN"/>
        </w:rPr>
        <w:t>区人民政府报市</w:t>
      </w:r>
      <w:r>
        <w:rPr>
          <w:rFonts w:hint="eastAsia" w:ascii="仿宋" w:hAnsi="仿宋" w:eastAsia="仿宋" w:cs="仿宋"/>
          <w:color w:val="auto"/>
          <w:spacing w:val="1"/>
          <w:sz w:val="32"/>
          <w:szCs w:val="32"/>
        </w:rPr>
        <w:t>突发重大停电事件应急指挥部启动Ⅱ级应急响应,并报省突发重大停电事件应急指挥部,在省突发重大停电事件应急指挥部统一领导、组织和指挥下,开展应急处置工作。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(3)发生或初判发生三级、四级突发重大停电事件时,由</w:t>
      </w:r>
      <w:r>
        <w:rPr>
          <w:rFonts w:hint="eastAsia" w:ascii="仿宋" w:hAnsi="仿宋" w:eastAsia="仿宋" w:cs="仿宋"/>
          <w:color w:val="auto"/>
          <w:spacing w:val="1"/>
          <w:sz w:val="32"/>
          <w:szCs w:val="32"/>
          <w:lang w:eastAsia="zh-CN"/>
        </w:rPr>
        <w:t>区人民政府报市</w:t>
      </w:r>
      <w:r>
        <w:rPr>
          <w:rFonts w:hint="eastAsia" w:ascii="仿宋" w:hAnsi="仿宋" w:eastAsia="仿宋" w:cs="仿宋"/>
          <w:color w:val="auto"/>
          <w:spacing w:val="1"/>
          <w:sz w:val="32"/>
          <w:szCs w:val="32"/>
        </w:rPr>
        <w:t>突发重大停电事件应急指挥部</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分别启动Ⅲ级、Ⅳ级应急响应，根据事件影响范围,由</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突发重大停电事件应急指挥部负责组织、指挥应对工作,</w:t>
      </w:r>
      <w:r>
        <w:rPr>
          <w:rFonts w:hint="eastAsia" w:ascii="仿宋" w:hAnsi="仿宋" w:eastAsia="仿宋" w:cs="仿宋"/>
          <w:color w:val="auto"/>
          <w:spacing w:val="1"/>
          <w:sz w:val="32"/>
          <w:szCs w:val="32"/>
          <w:lang w:eastAsia="zh-CN"/>
        </w:rPr>
        <w:t>经市</w:t>
      </w:r>
      <w:r>
        <w:rPr>
          <w:rFonts w:hint="eastAsia" w:ascii="仿宋" w:hAnsi="仿宋" w:eastAsia="仿宋" w:cs="仿宋"/>
          <w:color w:val="auto"/>
          <w:spacing w:val="1"/>
          <w:sz w:val="32"/>
          <w:szCs w:val="32"/>
        </w:rPr>
        <w:t>突发重大停电事件应急指挥部报备省突发重大停电事件应急指挥部。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(4)对于尚未达到四级突发重大停电事件标准,但对社会产 生较大影响的其他停电事件,</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突发重大停电事件应急指挥部结合实际情况启动应急响应。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5.3应急指挥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(1)启动I级应急响应后,</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突发重大停电事件应急指挥部主要做好以下工作: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lang w:val="en-US" w:eastAsia="zh-CN"/>
        </w:rPr>
      </w:pPr>
      <w:r>
        <w:rPr>
          <w:rFonts w:hint="eastAsia" w:ascii="仿宋" w:hAnsi="仿宋" w:eastAsia="仿宋" w:cs="仿宋"/>
          <w:color w:val="auto"/>
          <w:spacing w:val="1"/>
          <w:sz w:val="32"/>
          <w:szCs w:val="32"/>
        </w:rPr>
        <w:t>①传达省、市领导指示精神,并督促</w:t>
      </w:r>
      <w:r>
        <w:rPr>
          <w:rFonts w:hint="eastAsia" w:ascii="仿宋" w:hAnsi="仿宋" w:eastAsia="仿宋" w:cs="仿宋"/>
          <w:color w:val="auto"/>
          <w:spacing w:val="1"/>
          <w:sz w:val="32"/>
          <w:szCs w:val="32"/>
          <w:lang w:eastAsia="zh-CN"/>
        </w:rPr>
        <w:t>乡镇、街道、园区和区</w:t>
      </w:r>
      <w:r>
        <w:rPr>
          <w:rFonts w:hint="eastAsia" w:ascii="仿宋" w:hAnsi="仿宋" w:eastAsia="仿宋" w:cs="仿宋"/>
          <w:color w:val="auto"/>
          <w:spacing w:val="1"/>
          <w:sz w:val="32"/>
          <w:szCs w:val="32"/>
        </w:rPr>
        <w:t>突发重大停电事件应急指挥部成员单位和电力企业贯彻落实;</w:t>
      </w:r>
      <w:r>
        <w:rPr>
          <w:rFonts w:hint="eastAsia" w:ascii="仿宋" w:hAnsi="仿宋" w:eastAsia="仿宋" w:cs="仿宋"/>
          <w:color w:val="auto"/>
          <w:spacing w:val="1"/>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②掌握事件基本情况、造成的损失和影响、应对进展及需求等,组织有关部门和单位、专家组进行会商,研究分析事态,部署应急处置工作;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③根据</w:t>
      </w:r>
      <w:r>
        <w:rPr>
          <w:rFonts w:hint="eastAsia" w:ascii="仿宋" w:hAnsi="仿宋" w:eastAsia="仿宋" w:cs="仿宋"/>
          <w:color w:val="auto"/>
          <w:spacing w:val="1"/>
          <w:sz w:val="32"/>
          <w:szCs w:val="32"/>
          <w:lang w:eastAsia="zh-CN"/>
        </w:rPr>
        <w:t>在赫</w:t>
      </w:r>
      <w:r>
        <w:rPr>
          <w:rFonts w:hint="eastAsia" w:ascii="仿宋" w:hAnsi="仿宋" w:eastAsia="仿宋" w:cs="仿宋"/>
          <w:color w:val="auto"/>
          <w:spacing w:val="1"/>
          <w:sz w:val="32"/>
          <w:szCs w:val="32"/>
        </w:rPr>
        <w:t>电力企业请求,协调有关方面派出应急队伍、调运应急物资和装备、安排专家和技术人员等,为应对工作提供支援和技术支持;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④随时向</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突发重大停电事件应急指挥部报告先期处置情况;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⑤立即按规定将突发重大停电事件报</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突发重大停电事件应急指挥部,并报</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政府,在</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突发重大停电事件应急指挥部的统一领导、组织指挥下,开展突发重大停电事件应对工作;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⑥协调指导突发重大停电事件宣传报道工作。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(2)启动Ⅱ级应急响应后,</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 做好以下工作: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①传达落实市委、市政府</w:t>
      </w:r>
      <w:r>
        <w:rPr>
          <w:rFonts w:hint="eastAsia" w:ascii="仿宋" w:hAnsi="仿宋" w:eastAsia="仿宋" w:cs="仿宋"/>
          <w:color w:val="auto"/>
          <w:spacing w:val="1"/>
          <w:sz w:val="32"/>
          <w:szCs w:val="32"/>
          <w:lang w:eastAsia="zh-CN"/>
        </w:rPr>
        <w:t>和区委、区政府</w:t>
      </w:r>
      <w:r>
        <w:rPr>
          <w:rFonts w:hint="eastAsia" w:ascii="仿宋" w:hAnsi="仿宋" w:eastAsia="仿宋" w:cs="仿宋"/>
          <w:color w:val="auto"/>
          <w:spacing w:val="1"/>
          <w:sz w:val="32"/>
          <w:szCs w:val="32"/>
        </w:rPr>
        <w:t>领导指示精神,组织有关部门和单 位、专家组进行会商,研究分析事态,部署应对工作;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②对跨</w:t>
      </w:r>
      <w:r>
        <w:rPr>
          <w:rFonts w:hint="eastAsia" w:ascii="仿宋" w:hAnsi="仿宋" w:eastAsia="仿宋" w:cs="仿宋"/>
          <w:color w:val="auto"/>
          <w:spacing w:val="1"/>
          <w:sz w:val="32"/>
          <w:szCs w:val="32"/>
          <w:lang w:eastAsia="zh-CN"/>
        </w:rPr>
        <w:t>区域</w:t>
      </w:r>
      <w:r>
        <w:rPr>
          <w:rFonts w:hint="eastAsia" w:ascii="仿宋" w:hAnsi="仿宋" w:eastAsia="仿宋" w:cs="仿宋"/>
          <w:color w:val="auto"/>
          <w:spacing w:val="1"/>
          <w:sz w:val="32"/>
          <w:szCs w:val="32"/>
        </w:rPr>
        <w:t>突发重大停电事件</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应对工作进行协调,并根据需要派出工作组赴事发现场,协助开展应对工作;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③研究决定</w:t>
      </w: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、有关部门和电力企业提出的请求事项,协调有关方面派出应急队伍、调运应急物资和装备、安排专家和技术人员等,为应对工作提供支援和技术支持;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④将突发重大停电事件报</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  在</w:t>
      </w:r>
      <w:r>
        <w:rPr>
          <w:rFonts w:hint="eastAsia" w:ascii="仿宋" w:hAnsi="仿宋" w:eastAsia="仿宋" w:cs="仿宋"/>
          <w:color w:val="auto"/>
          <w:spacing w:val="1"/>
          <w:sz w:val="32"/>
          <w:szCs w:val="32"/>
          <w:lang w:eastAsia="zh-CN"/>
        </w:rPr>
        <w:t>市及以上</w:t>
      </w:r>
      <w:r>
        <w:rPr>
          <w:rFonts w:hint="eastAsia" w:ascii="仿宋" w:hAnsi="仿宋" w:eastAsia="仿宋" w:cs="仿宋"/>
          <w:color w:val="auto"/>
          <w:spacing w:val="1"/>
          <w:sz w:val="32"/>
          <w:szCs w:val="32"/>
        </w:rPr>
        <w:t>突发重大停电事件应急指挥部统一领导、组织指挥下,开展应急处置工作;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⑤协调指导信息发布和舆论引导工作。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(3)启动Ⅲ级、Ⅳ级应急响应后,</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指挥部做好以下工作: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①督促相关电力企业迅速开展抢修恢复供电等工作,及时掌握应急处置进展和供电恢复情况;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②</w:t>
      </w:r>
      <w:r>
        <w:rPr>
          <w:rFonts w:hint="eastAsia" w:ascii="仿宋" w:hAnsi="仿宋" w:eastAsia="仿宋" w:cs="仿宋"/>
          <w:color w:val="auto"/>
          <w:spacing w:val="1"/>
          <w:sz w:val="32"/>
          <w:szCs w:val="32"/>
          <w:lang w:eastAsia="zh-CN"/>
        </w:rPr>
        <w:t>督促事发地乡镇、街道、园区做好应对工作，视情况派出工作组赴现场指导协调事件应对等工作</w:t>
      </w:r>
      <w:r>
        <w:rPr>
          <w:rFonts w:hint="eastAsia" w:ascii="仿宋" w:hAnsi="仿宋" w:eastAsia="仿宋" w:cs="仿宋"/>
          <w:color w:val="auto"/>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③根据</w:t>
      </w: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和电力企业请求,协调有关方面为应对工作提供支援和技术支持;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④指导事发地</w:t>
      </w: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做好舆情应对和信息发布工作;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⑤超出</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级处置能力时，向</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突发重大停电事件应急指挥部申请支援,由</w:t>
      </w:r>
      <w:r>
        <w:rPr>
          <w:rFonts w:hint="eastAsia" w:ascii="仿宋" w:hAnsi="仿宋" w:eastAsia="仿宋" w:cs="仿宋"/>
          <w:color w:val="auto"/>
          <w:spacing w:val="1"/>
          <w:sz w:val="32"/>
          <w:szCs w:val="32"/>
          <w:lang w:eastAsia="zh-CN"/>
        </w:rPr>
        <w:t>市</w:t>
      </w:r>
      <w:r>
        <w:rPr>
          <w:rFonts w:hint="eastAsia" w:ascii="仿宋" w:hAnsi="仿宋" w:eastAsia="仿宋" w:cs="仿宋"/>
          <w:color w:val="auto"/>
          <w:spacing w:val="1"/>
          <w:sz w:val="32"/>
          <w:szCs w:val="32"/>
        </w:rPr>
        <w:t>突发重大停电事件应急指挥部统一领导、组织指挥突发重大停电事件应对工作。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5.4响应措施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突发重大停电事件发生后,相关电力企业和重要电力用户要 立即实施先期处置,全力控制事件发展态势,减少损失。各部门 和单位应根据职责和应对工作需要,组织采取以下措施。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5.4.1抢修电网并恢复运行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工业和信息化局组织电网调度机构和有关供电企业、发电企业尽快恢复电网运行和电力供应。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电网调度机构合理安排运行方式,控制停电范围,尽快恢复重要输变电设备、电力主干网架运行。在条件具备时,优先恢复医院、气象局、学校、银行、</w:t>
      </w:r>
      <w:r>
        <w:rPr>
          <w:rFonts w:hint="eastAsia" w:ascii="仿宋" w:hAnsi="仿宋" w:eastAsia="仿宋" w:cs="仿宋"/>
          <w:color w:val="auto"/>
          <w:spacing w:val="1"/>
          <w:sz w:val="32"/>
          <w:szCs w:val="32"/>
          <w:lang w:eastAsia="zh-CN"/>
        </w:rPr>
        <w:t>武警、</w:t>
      </w:r>
      <w:r>
        <w:rPr>
          <w:rFonts w:hint="eastAsia" w:ascii="仿宋" w:hAnsi="仿宋" w:eastAsia="仿宋" w:cs="仿宋"/>
          <w:color w:val="auto"/>
          <w:spacing w:val="1"/>
          <w:sz w:val="32"/>
          <w:szCs w:val="32"/>
        </w:rPr>
        <w:t>消防</w:t>
      </w:r>
      <w:r>
        <w:rPr>
          <w:rFonts w:hint="eastAsia" w:ascii="仿宋" w:hAnsi="仿宋" w:eastAsia="仿宋" w:cs="仿宋"/>
          <w:color w:val="auto"/>
          <w:spacing w:val="1"/>
          <w:sz w:val="32"/>
          <w:szCs w:val="32"/>
          <w:lang w:eastAsia="zh-CN"/>
        </w:rPr>
        <w:t>大</w:t>
      </w:r>
      <w:r>
        <w:rPr>
          <w:rFonts w:hint="eastAsia" w:ascii="仿宋" w:hAnsi="仿宋" w:eastAsia="仿宋" w:cs="仿宋"/>
          <w:color w:val="auto"/>
          <w:spacing w:val="1"/>
          <w:sz w:val="32"/>
          <w:szCs w:val="32"/>
        </w:rPr>
        <w:t>队等重要电力用户和重点地区的电力供应。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供电企业迅速组织力量抢修受损电网设备设施,根据突发重 大停电事件应急指挥部要求,向重要电力用户及重要设施提供必 要的电力支援。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发电企业保证设备安全,抢修受损设备,做好发电机组并网运行准备,按照电力调度指令恢复运行。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5.4.2防范次生衍生事故</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区</w:t>
      </w:r>
      <w:r>
        <w:rPr>
          <w:rFonts w:hint="eastAsia" w:ascii="仿宋" w:hAnsi="仿宋" w:eastAsia="仿宋" w:cs="仿宋"/>
          <w:color w:val="auto"/>
          <w:spacing w:val="1"/>
          <w:sz w:val="32"/>
          <w:szCs w:val="32"/>
          <w:lang w:eastAsia="zh-CN"/>
        </w:rPr>
        <w:t>人民政府</w:t>
      </w:r>
      <w:r>
        <w:rPr>
          <w:rFonts w:hint="eastAsia" w:ascii="仿宋" w:hAnsi="仿宋" w:eastAsia="仿宋" w:cs="仿宋"/>
          <w:color w:val="auto"/>
          <w:spacing w:val="1"/>
          <w:sz w:val="32"/>
          <w:szCs w:val="32"/>
        </w:rPr>
        <w:t>牵头组织相关部门和单位, 及时采取防范措施,防止次生衍生事故发生。重要电力用户按照有关技术要求迅速启动自备应急电源。相关电力企业加强重大危险源、重要目标、重大关键基础设施隐患排查与监测预警。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5.4.3保障居民基本生活</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住房</w:t>
      </w:r>
      <w:r>
        <w:rPr>
          <w:rFonts w:hint="eastAsia" w:ascii="仿宋" w:hAnsi="仿宋" w:eastAsia="仿宋" w:cs="仿宋"/>
          <w:color w:val="auto"/>
          <w:spacing w:val="1"/>
          <w:sz w:val="32"/>
          <w:szCs w:val="32"/>
          <w:lang w:eastAsia="zh-CN"/>
        </w:rPr>
        <w:t>和</w:t>
      </w:r>
      <w:r>
        <w:rPr>
          <w:rFonts w:hint="eastAsia" w:ascii="仿宋" w:hAnsi="仿宋" w:eastAsia="仿宋" w:cs="仿宋"/>
          <w:color w:val="auto"/>
          <w:spacing w:val="1"/>
          <w:sz w:val="32"/>
          <w:szCs w:val="32"/>
        </w:rPr>
        <w:t>城乡建设局组织相关部门和单位,启动应急供水、供气等措施,保障居民用水、用气等需求;</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商务局加强生活必需品的应急调配和运输,保障停电期间居民基本生活需要。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5.4.4维护社会稳定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公安</w:t>
      </w:r>
      <w:r>
        <w:rPr>
          <w:rFonts w:hint="eastAsia" w:ascii="仿宋" w:hAnsi="仿宋" w:eastAsia="仿宋" w:cs="仿宋"/>
          <w:color w:val="auto"/>
          <w:spacing w:val="1"/>
          <w:sz w:val="32"/>
          <w:szCs w:val="32"/>
          <w:lang w:eastAsia="zh-CN"/>
        </w:rPr>
        <w:t>分</w:t>
      </w:r>
      <w:r>
        <w:rPr>
          <w:rFonts w:hint="eastAsia" w:ascii="仿宋" w:hAnsi="仿宋" w:eastAsia="仿宋" w:cs="仿宋"/>
          <w:color w:val="auto"/>
          <w:spacing w:val="1"/>
          <w:sz w:val="32"/>
          <w:szCs w:val="32"/>
        </w:rPr>
        <w:t>局会同相关部门和单位,加强涉及国家安全和公共安全的重点单位安全保卫工作,严密防范和严厉打击违法犯罪活动; 加强对停电区域内繁华街区、大型居民区、大型商场、学校、医院、金融机构、车站、码头及其他重要生产经营场所等重点地区、重点部位、人员密集场所的治安巡逻,及时疏散人员,解救被困人员,防范治安事件;加强交通疏导,维护道路交通秩序;尽快恢复企业生产经营活动;严厉打击造谣惑众、囤积居奇、哄抬物价等各种违法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5.4.5加强信息发布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委宣传部、</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委网信办组织相关部门和单位,按照及时准 确、公开透明、客观统一的原则,加强信息发布和舆论引导,主 动向社会发布停电相关信息和应对工作情况,提示相关注意事项 和安保措施;指导、组织相关单位加强舆情收集分析,及时回应 社会关切,澄清不实信息,正确引导社会舆论,稳定公众情绪。</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5.4.6组织事态评估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工业和信息化局组织相关部门和单位,对突发重大停电事 件影响范围、影响程度、发展趋势及恢复进度进行评估，为进一步做好应对工作提供依据。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5.5响应终止</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同时满足以下条件时,由启动响应的各级突发重大停电事件 应急指挥部终止应急响应: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lang w:val="en-US" w:eastAsia="zh-CN"/>
        </w:rPr>
        <w:t>1</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电网主干网架基本恢复正常,电网运行参数保持在稳定限额之内,主要发电厂机组运行稳定;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lang w:val="en-US" w:eastAsia="zh-CN"/>
        </w:rPr>
        <w:t>2</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减供负荷恢复80%以上,受停电影响的重点地区负荷恢 复90%以上;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(3)造成突发重大停电事件的隐患基本消除;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(4)突发重大停电事件造成的重特大次生衍生事故基本处置 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6.后期处置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6.1处置评估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突发重大停电事件应急响应终止后,按照属地管理原则,</w:t>
      </w:r>
      <w:r>
        <w:rPr>
          <w:rFonts w:hint="eastAsia" w:ascii="仿宋" w:hAnsi="仿宋" w:eastAsia="仿宋" w:cs="仿宋"/>
          <w:color w:val="auto"/>
          <w:spacing w:val="1"/>
          <w:sz w:val="32"/>
          <w:szCs w:val="32"/>
          <w:lang w:eastAsia="zh-CN"/>
        </w:rPr>
        <w:t>各乡镇、街道、园区要</w:t>
      </w:r>
      <w:r>
        <w:rPr>
          <w:rFonts w:hint="eastAsia" w:ascii="仿宋" w:hAnsi="仿宋" w:eastAsia="仿宋" w:cs="仿宋"/>
          <w:color w:val="auto"/>
          <w:spacing w:val="1"/>
          <w:sz w:val="32"/>
          <w:szCs w:val="32"/>
        </w:rPr>
        <w:t>及时收集应急处置全过程资料,组织对事件处置工作进行评估,总结经验教训,分析查找问题,提出改进措施,形成处置评估报告,报</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6.2事件调查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突发重大停电事件发生后,根据事件引发情形,由</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 信息化局、</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公安</w:t>
      </w:r>
      <w:r>
        <w:rPr>
          <w:rFonts w:hint="eastAsia" w:ascii="仿宋" w:hAnsi="仿宋" w:eastAsia="仿宋" w:cs="仿宋"/>
          <w:color w:val="auto"/>
          <w:spacing w:val="1"/>
          <w:sz w:val="32"/>
          <w:szCs w:val="32"/>
          <w:lang w:eastAsia="zh-CN"/>
        </w:rPr>
        <w:t>分</w:t>
      </w:r>
      <w:r>
        <w:rPr>
          <w:rFonts w:hint="eastAsia" w:ascii="仿宋" w:hAnsi="仿宋" w:eastAsia="仿宋" w:cs="仿宋"/>
          <w:color w:val="auto"/>
          <w:spacing w:val="1"/>
          <w:sz w:val="32"/>
          <w:szCs w:val="32"/>
        </w:rPr>
        <w:t>局、</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应急</w:t>
      </w:r>
      <w:r>
        <w:rPr>
          <w:rFonts w:hint="eastAsia" w:ascii="仿宋" w:hAnsi="仿宋" w:eastAsia="仿宋" w:cs="仿宋"/>
          <w:color w:val="auto"/>
          <w:spacing w:val="1"/>
          <w:sz w:val="32"/>
          <w:szCs w:val="32"/>
          <w:lang w:eastAsia="zh-CN"/>
        </w:rPr>
        <w:t>管理</w:t>
      </w:r>
      <w:r>
        <w:rPr>
          <w:rFonts w:hint="eastAsia" w:ascii="仿宋" w:hAnsi="仿宋" w:eastAsia="仿宋" w:cs="仿宋"/>
          <w:color w:val="auto"/>
          <w:spacing w:val="1"/>
          <w:sz w:val="32"/>
          <w:szCs w:val="32"/>
        </w:rPr>
        <w:t>局根据有关规定成立调查组,查明事件原因、性质、影响范围、经济损失等情况,提出防范、整改措施和处理处置建议。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6.3善后处置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要及时制定善后工作方案并组织实施,开展应急医疗救援、卫生防疫、基本生活救助等工作。电力企业应尽快修复和重建重要设备设施。保险机构要第一时间对突发事件造成的损失进行评估、审核和确认,及时开展相关理赔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6.4恢复重建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突发重大停电事件应急响应终止后,需对电网网架结构和设备设施进行修复或重建的,</w:t>
      </w: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根据实际工作需要组织编制恢复重建规划。相关电力企业和受影响区域各级政府应当根据规划,做好受损电力系统恢复重建工作。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7.保障措施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7.1队伍保障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电力企业应建立健全应急队伍保障体系，组建专门的应急抢修队伍,建立应急专家库,规范应急队伍管理,做到专业齐全、人员精干、装备精良、反应快速,持续提高突发重大停电事件应急处置能力。</w:t>
      </w: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根据需要,组织动员其他专业应急队伍和志愿者等参与突发重大停电事件及其次生衍生灾害处置工作。</w:t>
      </w:r>
      <w:r>
        <w:rPr>
          <w:rFonts w:hint="eastAsia" w:ascii="仿宋" w:hAnsi="仿宋" w:eastAsia="仿宋" w:cs="仿宋"/>
          <w:color w:val="auto"/>
          <w:spacing w:val="1"/>
          <w:sz w:val="32"/>
          <w:szCs w:val="32"/>
          <w:lang w:eastAsia="zh-CN"/>
        </w:rPr>
        <w:t>赫山区人武部</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武警</w:t>
      </w:r>
      <w:r>
        <w:rPr>
          <w:rFonts w:hint="eastAsia" w:ascii="仿宋" w:hAnsi="仿宋" w:eastAsia="仿宋" w:cs="仿宋"/>
          <w:color w:val="auto"/>
          <w:spacing w:val="1"/>
          <w:sz w:val="32"/>
          <w:szCs w:val="32"/>
          <w:lang w:eastAsia="zh-CN"/>
        </w:rPr>
        <w:t>大</w:t>
      </w:r>
      <w:r>
        <w:rPr>
          <w:rFonts w:hint="eastAsia" w:ascii="仿宋" w:hAnsi="仿宋" w:eastAsia="仿宋" w:cs="仿宋"/>
          <w:color w:val="auto"/>
          <w:spacing w:val="1"/>
          <w:sz w:val="32"/>
          <w:szCs w:val="32"/>
        </w:rPr>
        <w:t>队</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赫山</w:t>
      </w:r>
      <w:r>
        <w:rPr>
          <w:rFonts w:hint="eastAsia" w:ascii="仿宋" w:hAnsi="仿宋" w:eastAsia="仿宋" w:cs="仿宋"/>
          <w:color w:val="auto"/>
          <w:spacing w:val="1"/>
          <w:sz w:val="32"/>
          <w:szCs w:val="32"/>
        </w:rPr>
        <w:t>消防</w:t>
      </w:r>
      <w:r>
        <w:rPr>
          <w:rFonts w:hint="eastAsia" w:ascii="仿宋" w:hAnsi="仿宋" w:eastAsia="仿宋" w:cs="仿宋"/>
          <w:color w:val="auto"/>
          <w:spacing w:val="1"/>
          <w:sz w:val="32"/>
          <w:szCs w:val="32"/>
          <w:lang w:eastAsia="zh-CN"/>
        </w:rPr>
        <w:t>大</w:t>
      </w:r>
      <w:r>
        <w:rPr>
          <w:rFonts w:hint="eastAsia" w:ascii="仿宋" w:hAnsi="仿宋" w:eastAsia="仿宋" w:cs="仿宋"/>
          <w:color w:val="auto"/>
          <w:spacing w:val="1"/>
          <w:sz w:val="32"/>
          <w:szCs w:val="32"/>
        </w:rPr>
        <w:t>队等部门和单位要做好应急力量支援保障。</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突发重大停电事件应急指挥部不定期组织各成员单位开展突发重大停电事件应急演练,强化各单位间协调配合和实战能力。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7.2装备物资保障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电力企业应储备必要的专业应急装备及抢修物资,建立和完 善相应保障体系。出现突发重大停电事件时,</w:t>
      </w:r>
      <w:r>
        <w:rPr>
          <w:rFonts w:hint="eastAsia" w:ascii="仿宋" w:hAnsi="仿宋" w:eastAsia="仿宋" w:cs="仿宋"/>
          <w:color w:val="auto"/>
          <w:spacing w:val="1"/>
          <w:sz w:val="32"/>
          <w:szCs w:val="32"/>
          <w:lang w:eastAsia="zh-CN"/>
        </w:rPr>
        <w:t>区有关部门和乡镇、街道、园区要</w:t>
      </w:r>
      <w:r>
        <w:rPr>
          <w:rFonts w:hint="eastAsia" w:ascii="仿宋" w:hAnsi="仿宋" w:eastAsia="仿宋" w:cs="仿宋"/>
          <w:color w:val="auto"/>
          <w:spacing w:val="1"/>
          <w:sz w:val="32"/>
          <w:szCs w:val="32"/>
        </w:rPr>
        <w:t>加强应急救援装备物资及生产生活物资的紧急生产、储备调拨和紧急配送工作,保障突发重大停电事件应对工作需要。鼓励支持社会化储备。</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7.3技术保障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电力企业要加强突发重大停电事件的应对,加大先进监测技 术、装备的研发,制定电力应急技术标准,加强电网、电厂安全 应急信息化平台建设。有关部门要为电力日常监测预警及电力应急抢险提供必要的气象、地质、水文等服务。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7.4应急电源保障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有关部门和电力企业要加强电网“黑启动”能力建设,优化 电源规划布局,保障突发重大停电事件后"黑启动"电源发挥应 急作用,提高电力系统快速恢复能力。电力企业要加强应急电源 建设,配备各种类型、各种容量应急发电车、应急发电机等设备, 加强日常维护和保养,必要时提供应急电源支援。重要电力用户 应按照《重要电力用户供电电源及自备应急电源配置技术规范(GBZ29328-2012)》要求配置应急电源,并加强维护和管理,确 保应急状态下能够投入运行。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7.5通信、交通与运输保障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主管部门及通信主管部门要建立健全突发重大停电事件应急通信保障体系,形成可靠的通信保障能力,确保应急期间通信联络和信息传递需要。交通运输部门要健全紧急运输保障体系,保障应急响应所需人员、物资、装备、器材等的运输。公安部门要加强交通应急管理,保障应急救援车辆优先通行。各级突发重大停电事件应急指挥部应配备必要的应急车辆,满足应急指挥的需要。</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7.6医疗卫生保障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各级</w:t>
      </w:r>
      <w:r>
        <w:rPr>
          <w:rFonts w:hint="eastAsia" w:ascii="仿宋" w:hAnsi="仿宋" w:eastAsia="仿宋" w:cs="仿宋"/>
          <w:color w:val="auto"/>
          <w:spacing w:val="1"/>
          <w:sz w:val="32"/>
          <w:szCs w:val="32"/>
        </w:rPr>
        <w:t>卫生健康部门负责督促辖区内医疗卫生机构加强自备应 急电源建设,加强医疗应急救援队伍装备建设,确保应急响应期 间医疗秩序稳定,做好发生次生衍生灾害事故的医疗防护工作。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7.7资金保障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财政部门对突发重大停电事件处置工作提供必要的资金保障,用于电力应急能力建设和突发重大停电事件发生后应急处置。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电力企业按照有关规定对突发重大停电事件处置工作提供必要的资金保障。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8.奖惩</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相关企业</w:t>
      </w:r>
      <w:r>
        <w:rPr>
          <w:rFonts w:hint="eastAsia" w:ascii="仿宋" w:hAnsi="仿宋" w:eastAsia="仿宋" w:cs="仿宋"/>
          <w:color w:val="auto"/>
          <w:spacing w:val="1"/>
          <w:sz w:val="32"/>
          <w:szCs w:val="32"/>
          <w:lang w:eastAsia="zh-CN"/>
        </w:rPr>
        <w:t>对在</w:t>
      </w:r>
      <w:r>
        <w:rPr>
          <w:rFonts w:hint="eastAsia" w:ascii="仿宋" w:hAnsi="仿宋" w:eastAsia="仿宋" w:cs="仿宋"/>
          <w:color w:val="auto"/>
          <w:spacing w:val="1"/>
          <w:sz w:val="32"/>
          <w:szCs w:val="32"/>
        </w:rPr>
        <w:t>突发重大停电事件应急处置工作中作出突出贡献的集体和个人给予表扬,对处置不力或者有其他失职、渎职行为造成重大损失或者社会影响的,依法依纪严肃追责。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9.1预案编制与审批</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工业和信息化局组织编制《益阳市</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突发重大停电事件应急预案》,报请</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政府批准印发。各</w:t>
      </w:r>
      <w:r>
        <w:rPr>
          <w:rFonts w:hint="eastAsia" w:ascii="仿宋" w:hAnsi="仿宋" w:eastAsia="仿宋" w:cs="仿宋"/>
          <w:color w:val="auto"/>
          <w:spacing w:val="1"/>
          <w:sz w:val="32"/>
          <w:szCs w:val="32"/>
          <w:lang w:eastAsia="zh-CN"/>
        </w:rPr>
        <w:t>乡镇、街道、园区</w:t>
      </w:r>
      <w:r>
        <w:rPr>
          <w:rFonts w:hint="eastAsia" w:ascii="仿宋" w:hAnsi="仿宋" w:eastAsia="仿宋" w:cs="仿宋"/>
          <w:color w:val="auto"/>
          <w:spacing w:val="1"/>
          <w:sz w:val="32"/>
          <w:szCs w:val="32"/>
        </w:rPr>
        <w:t>结合实际组织编制并发布本行政区域内突发重大停电事件应急预案。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 xml:space="preserve"> 9.2预案修订与更新</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本预案实施后,</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工业和信息化局根据实际情况,适时组织 评估,报请</w:t>
      </w:r>
      <w:r>
        <w:rPr>
          <w:rFonts w:hint="eastAsia" w:ascii="仿宋" w:hAnsi="仿宋" w:eastAsia="仿宋" w:cs="仿宋"/>
          <w:color w:val="auto"/>
          <w:spacing w:val="1"/>
          <w:sz w:val="32"/>
          <w:szCs w:val="32"/>
          <w:lang w:eastAsia="zh-CN"/>
        </w:rPr>
        <w:t>区</w:t>
      </w:r>
      <w:r>
        <w:rPr>
          <w:rFonts w:hint="eastAsia" w:ascii="仿宋" w:hAnsi="仿宋" w:eastAsia="仿宋" w:cs="仿宋"/>
          <w:color w:val="auto"/>
          <w:spacing w:val="1"/>
          <w:sz w:val="32"/>
          <w:szCs w:val="32"/>
        </w:rPr>
        <w:t>政府同意后修订。</w:t>
      </w:r>
      <w:r>
        <w:rPr>
          <w:rFonts w:hint="eastAsia" w:ascii="仿宋" w:hAnsi="仿宋" w:eastAsia="仿宋" w:cs="仿宋"/>
          <w:color w:val="auto"/>
          <w:spacing w:val="1"/>
          <w:sz w:val="32"/>
          <w:szCs w:val="32"/>
          <w:lang w:eastAsia="zh-CN"/>
        </w:rPr>
        <w:t>区人民政府</w:t>
      </w:r>
      <w:r>
        <w:rPr>
          <w:rFonts w:hint="eastAsia" w:ascii="仿宋" w:hAnsi="仿宋" w:eastAsia="仿宋" w:cs="仿宋"/>
          <w:color w:val="auto"/>
          <w:spacing w:val="1"/>
          <w:sz w:val="32"/>
          <w:szCs w:val="32"/>
        </w:rPr>
        <w:t>结合实际修订本行政区域内突发重大停电事件应急预案。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9.3预案培训与演练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9.3.1预案培训</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各级突发重大停电事件应急指挥部应定期组织开展本预案的学习和培训。电力企业、重要电力用户要加强突发重大停电事件应急处置和应急救援能力培训,提高应急管理和应急救援技能水平。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9.3.2预案演练</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各级突发重大停电事件应急指挥部应根据实际情况,定期组 织开展突发重大停电事件应急处置联合演练,建立起政府职能部 门、电力企业、重要电力用户以及新闻媒体、社会公众之间的应急协调联动机制,提高协同应对、联合处置能力。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9.4预案实施时间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本预案自公布之日起施行。</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125" w:firstLine="629"/>
        <w:jc w:val="both"/>
        <w:textAlignment w:val="baseline"/>
        <w:rPr>
          <w:rFonts w:hint="eastAsia" w:ascii="仿宋" w:hAnsi="仿宋" w:eastAsia="仿宋" w:cs="仿宋"/>
          <w:color w:val="auto"/>
          <w:spacing w:val="1"/>
          <w:sz w:val="32"/>
          <w:szCs w:val="32"/>
        </w:rPr>
        <w:sectPr>
          <w:footerReference r:id="rId8" w:type="default"/>
          <w:pgSz w:w="11520" w:h="16840"/>
          <w:pgMar w:top="1417" w:right="1134" w:bottom="1417" w:left="1417" w:header="0" w:footer="1540" w:gutter="0"/>
          <w:pgNumType w:fmt="decimal" w:start="1"/>
          <w:cols w:equalWidth="0" w:num="1">
            <w:col w:w="7920"/>
          </w:cols>
          <w:rtlGutter w:val="0"/>
          <w:docGrid w:linePitch="0" w:charSpace="0"/>
        </w:sectPr>
      </w:pPr>
      <w:r>
        <w:rPr>
          <w:rFonts w:hint="eastAsia" w:ascii="仿宋" w:hAnsi="仿宋" w:eastAsia="仿宋" w:cs="仿宋"/>
          <w:color w:val="auto"/>
          <w:spacing w:val="1"/>
          <w:sz w:val="32"/>
          <w:szCs w:val="32"/>
        </w:rPr>
        <w:t xml:space="preserve">附件: </w:t>
      </w:r>
      <w:r>
        <w:rPr>
          <w:rFonts w:hint="eastAsia" w:ascii="仿宋" w:hAnsi="仿宋" w:eastAsia="仿宋" w:cs="仿宋"/>
          <w:color w:val="auto"/>
          <w:spacing w:val="1"/>
          <w:sz w:val="32"/>
          <w:szCs w:val="32"/>
          <w:lang w:eastAsia="zh-CN"/>
        </w:rPr>
        <w:t>赫山区</w:t>
      </w:r>
      <w:r>
        <w:rPr>
          <w:rFonts w:hint="eastAsia" w:ascii="仿宋" w:hAnsi="仿宋" w:eastAsia="仿宋" w:cs="仿宋"/>
          <w:color w:val="auto"/>
          <w:spacing w:val="1"/>
          <w:sz w:val="32"/>
          <w:szCs w:val="32"/>
        </w:rPr>
        <w:t>突发重大停电事件应急响应主要流程图</w:t>
      </w:r>
    </w:p>
    <w:p>
      <w:pPr>
        <w:spacing w:before="104" w:line="224" w:lineRule="auto"/>
        <w:ind w:firstLine="344"/>
        <w:rPr>
          <w:rFonts w:hint="eastAsia" w:ascii="黑体" w:hAnsi="黑体" w:eastAsia="黑体" w:cs="黑体"/>
          <w:b w:val="0"/>
          <w:bCs w:val="0"/>
          <w:color w:val="auto"/>
          <w:sz w:val="32"/>
          <w:szCs w:val="32"/>
          <w:lang w:eastAsia="zh-CN"/>
        </w:rPr>
      </w:pPr>
      <w:r>
        <w:rPr>
          <w:rFonts w:ascii="黑体" w:hAnsi="黑体" w:eastAsia="黑体" w:cs="黑体"/>
          <w:b w:val="0"/>
          <w:bCs w:val="0"/>
          <w:color w:val="auto"/>
          <w:spacing w:val="-8"/>
          <w:sz w:val="32"/>
          <w:szCs w:val="32"/>
          <w14:textOutline w14:w="5816" w14:cap="flat" w14:cmpd="sng">
            <w14:solidFill>
              <w14:srgbClr w14:val="000000"/>
            </w14:solidFill>
            <w14:prstDash w14:val="solid"/>
            <w14:miter w14:val="0"/>
          </w14:textOutline>
        </w:rPr>
        <w:t>附件</w:t>
      </w:r>
    </w:p>
    <w:p>
      <w:pPr>
        <w:spacing w:before="170" w:line="219" w:lineRule="auto"/>
        <w:ind w:firstLine="486"/>
        <w:rPr>
          <w:rFonts w:ascii="宋体" w:hAnsi="宋体" w:eastAsia="宋体" w:cs="宋体"/>
          <w:color w:val="auto"/>
          <w:sz w:val="44"/>
          <w:szCs w:val="44"/>
        </w:rPr>
      </w:pPr>
      <w:r>
        <w:rPr>
          <w:rFonts w:hint="eastAsia" w:ascii="宋体" w:hAnsi="宋体" w:eastAsia="宋体" w:cs="宋体"/>
          <w:color w:val="auto"/>
          <w:spacing w:val="-4"/>
          <w:sz w:val="44"/>
          <w:szCs w:val="44"/>
          <w:lang w:eastAsia="zh-CN"/>
          <w14:textOutline w14:w="7988" w14:cap="flat" w14:cmpd="sng">
            <w14:solidFill>
              <w14:srgbClr w14:val="000000"/>
            </w14:solidFill>
            <w14:prstDash w14:val="solid"/>
            <w14:miter w14:val="0"/>
          </w14:textOutline>
        </w:rPr>
        <w:t>赫山区</w:t>
      </w:r>
      <w:r>
        <w:rPr>
          <w:rFonts w:ascii="宋体" w:hAnsi="宋体" w:eastAsia="宋体" w:cs="宋体"/>
          <w:color w:val="auto"/>
          <w:spacing w:val="-4"/>
          <w:sz w:val="44"/>
          <w:szCs w:val="44"/>
          <w14:textOutline w14:w="7988" w14:cap="flat" w14:cmpd="sng">
            <w14:solidFill>
              <w14:srgbClr w14:val="000000"/>
            </w14:solidFill>
            <w14:prstDash w14:val="solid"/>
            <w14:miter w14:val="0"/>
          </w14:textOutline>
        </w:rPr>
        <w:t>突发重大停电事件应急响应主要流程图</w:t>
      </w:r>
    </w:p>
    <w:p>
      <w:pPr>
        <w:rPr>
          <w:color w:val="auto"/>
        </w:rPr>
      </w:pPr>
    </w:p>
    <w:p>
      <w:pPr>
        <w:rPr>
          <w:color w:val="auto"/>
        </w:rPr>
      </w:pPr>
    </w:p>
    <w:p>
      <w:pPr>
        <w:rPr>
          <w:color w:val="auto"/>
        </w:rPr>
      </w:pPr>
    </w:p>
    <w:p>
      <w:pPr>
        <w:spacing w:line="89" w:lineRule="exact"/>
        <w:rPr>
          <w:color w:val="auto"/>
        </w:rPr>
      </w:pPr>
    </w:p>
    <w:p>
      <w:pPr>
        <w:rPr>
          <w:color w:val="auto"/>
        </w:rPr>
        <w:sectPr>
          <w:footerReference r:id="rId9" w:type="default"/>
          <w:pgSz w:w="11470" w:h="16840"/>
          <w:pgMar w:top="1431" w:right="1250" w:bottom="1752" w:left="630" w:header="0" w:footer="1569" w:gutter="0"/>
          <w:pgNumType w:fmt="decimal" w:start="1"/>
          <w:cols w:equalWidth="0" w:num="1">
            <w:col w:w="9590"/>
          </w:cols>
        </w:sectPr>
      </w:pPr>
    </w:p>
    <w:p>
      <w:pPr>
        <w:spacing w:before="240" w:line="219" w:lineRule="auto"/>
        <w:ind w:firstLine="579"/>
        <w:rPr>
          <w:rFonts w:ascii="宋体" w:hAnsi="宋体" w:eastAsia="宋体" w:cs="宋体"/>
          <w:color w:val="auto"/>
          <w:sz w:val="20"/>
          <w:szCs w:val="20"/>
        </w:rPr>
      </w:pPr>
      <w:r>
        <w:rPr>
          <w:color w:val="auto"/>
        </w:rPr>
        <w:drawing>
          <wp:anchor distT="0" distB="0" distL="0" distR="0" simplePos="0" relativeHeight="251661312" behindDoc="1" locked="0" layoutInCell="1" allowOverlap="1">
            <wp:simplePos x="0" y="0"/>
            <wp:positionH relativeFrom="column">
              <wp:posOffset>0</wp:posOffset>
            </wp:positionH>
            <wp:positionV relativeFrom="paragraph">
              <wp:posOffset>-125095</wp:posOffset>
            </wp:positionV>
            <wp:extent cx="6089650" cy="7156450"/>
            <wp:effectExtent l="0" t="0" r="6350" b="635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6089619" cy="7156451"/>
                    </a:xfrm>
                    <a:prstGeom prst="rect">
                      <a:avLst/>
                    </a:prstGeom>
                  </pic:spPr>
                </pic:pic>
              </a:graphicData>
            </a:graphic>
          </wp:anchor>
        </w:drawing>
      </w:r>
      <w:r>
        <w:rPr>
          <w:rFonts w:ascii="宋体" w:hAnsi="宋体" w:eastAsia="宋体" w:cs="宋体"/>
          <w:color w:val="auto"/>
          <w:spacing w:val="8"/>
          <w:sz w:val="20"/>
          <w:szCs w:val="20"/>
        </w:rPr>
        <w:t>气象及其他灾害信息</w:t>
      </w:r>
    </w:p>
    <w:p>
      <w:pPr>
        <w:spacing w:line="112" w:lineRule="exact"/>
        <w:rPr>
          <w:color w:val="auto"/>
        </w:rPr>
      </w:pPr>
    </w:p>
    <w:p>
      <w:pPr>
        <w:spacing w:line="14" w:lineRule="auto"/>
        <w:rPr>
          <w:rFonts w:ascii="Arial"/>
          <w:color w:val="auto"/>
          <w:sz w:val="2"/>
        </w:rPr>
      </w:pPr>
      <w:r>
        <w:rPr>
          <w:rFonts w:ascii="Arial" w:hAnsi="Arial" w:eastAsia="Arial" w:cs="Arial"/>
          <w:color w:val="auto"/>
          <w:sz w:val="2"/>
          <w:szCs w:val="2"/>
        </w:rPr>
        <w:br w:type="column"/>
      </w:r>
    </w:p>
    <w:p>
      <w:pPr>
        <w:spacing w:before="68"/>
        <w:ind w:left="442" w:right="324" w:hanging="70"/>
        <w:rPr>
          <w:rFonts w:ascii="宋体" w:hAnsi="宋体" w:eastAsia="宋体" w:cs="宋体"/>
          <w:color w:val="auto"/>
          <w:sz w:val="18"/>
          <w:szCs w:val="18"/>
        </w:rPr>
      </w:pPr>
      <w:r>
        <w:rPr>
          <w:rFonts w:hint="eastAsia" w:ascii="宋体" w:hAnsi="宋体" w:eastAsia="宋体" w:cs="宋体"/>
          <w:color w:val="auto"/>
          <w:spacing w:val="7"/>
          <w:sz w:val="18"/>
          <w:szCs w:val="18"/>
          <w:lang w:eastAsia="zh-CN"/>
        </w:rPr>
        <w:t>区</w:t>
      </w:r>
      <w:r>
        <w:rPr>
          <w:rFonts w:ascii="宋体" w:hAnsi="宋体" w:eastAsia="宋体" w:cs="宋体"/>
          <w:color w:val="auto"/>
          <w:spacing w:val="7"/>
          <w:sz w:val="18"/>
          <w:szCs w:val="18"/>
        </w:rPr>
        <w:t>突发重大停电事件应急指挥部主</w:t>
      </w:r>
      <w:r>
        <w:rPr>
          <w:rFonts w:ascii="宋体" w:hAnsi="宋体" w:eastAsia="宋体" w:cs="宋体"/>
          <w:color w:val="auto"/>
          <w:spacing w:val="8"/>
          <w:sz w:val="18"/>
          <w:szCs w:val="18"/>
        </w:rPr>
        <w:t>要成员单位灾情预警、信息上报</w:t>
      </w:r>
    </w:p>
    <w:p>
      <w:pPr>
        <w:spacing w:line="14" w:lineRule="auto"/>
        <w:rPr>
          <w:rFonts w:ascii="Arial"/>
          <w:color w:val="auto"/>
          <w:sz w:val="2"/>
        </w:rPr>
      </w:pPr>
      <w:r>
        <w:rPr>
          <w:rFonts w:ascii="Arial" w:hAnsi="Arial" w:eastAsia="Arial" w:cs="Arial"/>
          <w:color w:val="auto"/>
          <w:sz w:val="2"/>
          <w:szCs w:val="2"/>
        </w:rPr>
        <w:br w:type="column"/>
      </w:r>
    </w:p>
    <w:p>
      <w:pPr>
        <w:spacing w:before="38" w:line="219" w:lineRule="auto"/>
        <w:ind w:firstLine="324"/>
        <w:rPr>
          <w:rFonts w:ascii="宋体" w:hAnsi="宋体" w:eastAsia="宋体" w:cs="宋体"/>
          <w:color w:val="auto"/>
          <w:spacing w:val="8"/>
          <w:sz w:val="20"/>
          <w:szCs w:val="20"/>
        </w:rPr>
      </w:pPr>
      <w:r>
        <w:rPr>
          <w:rFonts w:hint="eastAsia" w:ascii="宋体" w:hAnsi="宋体" w:eastAsia="宋体" w:cs="宋体"/>
          <w:color w:val="auto"/>
          <w:spacing w:val="8"/>
          <w:sz w:val="20"/>
          <w:szCs w:val="20"/>
          <w:lang w:eastAsia="zh-CN"/>
        </w:rPr>
        <w:t>省、市</w:t>
      </w:r>
      <w:r>
        <w:rPr>
          <w:rFonts w:ascii="宋体" w:hAnsi="宋体" w:eastAsia="宋体" w:cs="宋体"/>
          <w:color w:val="auto"/>
          <w:spacing w:val="8"/>
          <w:sz w:val="20"/>
          <w:szCs w:val="20"/>
        </w:rPr>
        <w:t>突发重大停电事</w:t>
      </w:r>
    </w:p>
    <w:p>
      <w:pPr>
        <w:spacing w:before="38" w:line="219" w:lineRule="auto"/>
        <w:ind w:firstLine="324"/>
        <w:rPr>
          <w:rFonts w:ascii="宋体" w:hAnsi="宋体" w:eastAsia="宋体" w:cs="宋体"/>
          <w:color w:val="auto"/>
          <w:sz w:val="20"/>
          <w:szCs w:val="20"/>
        </w:rPr>
      </w:pPr>
      <w:r>
        <w:rPr>
          <w:rFonts w:ascii="宋体" w:hAnsi="宋体" w:eastAsia="宋体" w:cs="宋体"/>
          <w:color w:val="auto"/>
          <w:spacing w:val="8"/>
          <w:sz w:val="20"/>
          <w:szCs w:val="20"/>
        </w:rPr>
        <w:t>件应急指挥部预警</w:t>
      </w:r>
    </w:p>
    <w:p>
      <w:pPr>
        <w:rPr>
          <w:color w:val="auto"/>
        </w:rPr>
        <w:sectPr>
          <w:footerReference r:id="rId10" w:type="default"/>
          <w:type w:val="continuous"/>
          <w:pgSz w:w="11470" w:h="16840"/>
          <w:pgMar w:top="1431" w:right="1250" w:bottom="1752" w:left="630" w:header="0" w:footer="1569" w:gutter="0"/>
          <w:pgNumType w:fmt="decimal"/>
          <w:cols w:equalWidth="0" w:num="3">
            <w:col w:w="2828" w:space="100"/>
            <w:col w:w="3809" w:space="100"/>
            <w:col w:w="2755"/>
          </w:cols>
        </w:sect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before="65" w:line="219" w:lineRule="auto"/>
        <w:ind w:firstLine="3370"/>
        <w:rPr>
          <w:rFonts w:ascii="宋体" w:hAnsi="宋体" w:eastAsia="宋体" w:cs="宋体"/>
          <w:color w:val="auto"/>
          <w:sz w:val="20"/>
          <w:szCs w:val="20"/>
        </w:rPr>
      </w:pPr>
      <w:r>
        <w:rPr>
          <w:rFonts w:hint="eastAsia" w:ascii="宋体" w:hAnsi="宋体" w:eastAsia="宋体" w:cs="宋体"/>
          <w:color w:val="auto"/>
          <w:spacing w:val="7"/>
          <w:sz w:val="20"/>
          <w:szCs w:val="20"/>
          <w:lang w:eastAsia="zh-CN"/>
        </w:rPr>
        <w:t>区</w:t>
      </w:r>
      <w:r>
        <w:rPr>
          <w:rFonts w:ascii="宋体" w:hAnsi="宋体" w:eastAsia="宋体" w:cs="宋体"/>
          <w:color w:val="auto"/>
          <w:spacing w:val="8"/>
          <w:sz w:val="20"/>
          <w:szCs w:val="20"/>
        </w:rPr>
        <w:t>突发重大停电事件应急指挥部</w:t>
      </w:r>
    </w:p>
    <w:p>
      <w:pPr>
        <w:spacing w:before="83" w:line="219" w:lineRule="auto"/>
        <w:ind w:firstLine="3459"/>
        <w:rPr>
          <w:rFonts w:ascii="宋体" w:hAnsi="宋体" w:eastAsia="宋体" w:cs="宋体"/>
          <w:color w:val="auto"/>
          <w:sz w:val="20"/>
          <w:szCs w:val="20"/>
        </w:rPr>
      </w:pPr>
      <w:r>
        <w:rPr>
          <w:rFonts w:ascii="宋体" w:hAnsi="宋体" w:eastAsia="宋体" w:cs="宋体"/>
          <w:color w:val="auto"/>
          <w:spacing w:val="9"/>
          <w:sz w:val="20"/>
          <w:szCs w:val="20"/>
        </w:rPr>
        <w:t>办公室进行跟踪、汇总、分析</w:t>
      </w:r>
    </w:p>
    <w:p>
      <w:pPr>
        <w:spacing w:line="276" w:lineRule="auto"/>
        <w:rPr>
          <w:rFonts w:ascii="Arial"/>
          <w:color w:val="auto"/>
          <w:sz w:val="21"/>
        </w:rPr>
      </w:pPr>
    </w:p>
    <w:p>
      <w:pPr>
        <w:spacing w:before="65" w:line="220" w:lineRule="auto"/>
        <w:ind w:firstLine="5049"/>
        <w:rPr>
          <w:rFonts w:ascii="宋体" w:hAnsi="宋体" w:eastAsia="宋体" w:cs="宋体"/>
          <w:color w:val="auto"/>
          <w:sz w:val="20"/>
          <w:szCs w:val="20"/>
        </w:rPr>
      </w:pPr>
      <w:r>
        <w:rPr>
          <w:rFonts w:ascii="宋体" w:hAnsi="宋体" w:eastAsia="宋体" w:cs="宋体"/>
          <w:color w:val="auto"/>
          <w:spacing w:val="8"/>
          <w:sz w:val="20"/>
          <w:szCs w:val="20"/>
        </w:rPr>
        <w:t>提出应急响应建议</w:t>
      </w:r>
    </w:p>
    <w:p>
      <w:pPr>
        <w:spacing w:line="161" w:lineRule="exact"/>
        <w:rPr>
          <w:color w:val="auto"/>
        </w:rPr>
      </w:pPr>
    </w:p>
    <w:p>
      <w:pPr>
        <w:rPr>
          <w:color w:val="auto"/>
        </w:rPr>
        <w:sectPr>
          <w:type w:val="continuous"/>
          <w:pgSz w:w="11470" w:h="16840"/>
          <w:pgMar w:top="1431" w:right="1250" w:bottom="1752" w:left="630" w:header="0" w:footer="1569" w:gutter="0"/>
          <w:pgNumType w:fmt="decimal"/>
          <w:cols w:equalWidth="0" w:num="1">
            <w:col w:w="9590"/>
          </w:cols>
        </w:sectPr>
      </w:pPr>
    </w:p>
    <w:p>
      <w:pPr>
        <w:spacing w:before="41" w:line="223" w:lineRule="auto"/>
        <w:ind w:firstLine="1929"/>
        <w:rPr>
          <w:rFonts w:ascii="黑体" w:hAnsi="黑体" w:eastAsia="黑体" w:cs="黑体"/>
          <w:color w:val="auto"/>
          <w:sz w:val="20"/>
          <w:szCs w:val="20"/>
        </w:rPr>
      </w:pPr>
      <w:r>
        <w:rPr>
          <w:rFonts w:ascii="黑体" w:hAnsi="黑体" w:eastAsia="黑体" w:cs="黑体"/>
          <w:color w:val="auto"/>
          <w:sz w:val="20"/>
          <w:szCs w:val="20"/>
        </w:rPr>
        <w:t>否</w:t>
      </w:r>
    </w:p>
    <w:p>
      <w:pPr>
        <w:rPr>
          <w:color w:val="auto"/>
        </w:rPr>
      </w:pPr>
    </w:p>
    <w:p>
      <w:pPr>
        <w:rPr>
          <w:color w:val="auto"/>
        </w:rPr>
      </w:pPr>
    </w:p>
    <w:p>
      <w:pPr>
        <w:rPr>
          <w:color w:val="auto"/>
        </w:rPr>
      </w:pPr>
    </w:p>
    <w:p>
      <w:pPr>
        <w:spacing w:line="207" w:lineRule="exact"/>
        <w:rPr>
          <w:color w:val="auto"/>
        </w:rPr>
      </w:pPr>
    </w:p>
    <w:p>
      <w:pPr>
        <w:spacing w:line="14" w:lineRule="auto"/>
        <w:rPr>
          <w:rFonts w:ascii="Arial"/>
          <w:color w:val="auto"/>
          <w:sz w:val="2"/>
        </w:rPr>
      </w:pPr>
      <w:r>
        <w:rPr>
          <w:rFonts w:ascii="Arial" w:hAnsi="Arial" w:eastAsia="Arial" w:cs="Arial"/>
          <w:color w:val="auto"/>
          <w:sz w:val="2"/>
          <w:szCs w:val="2"/>
        </w:rPr>
        <w:br w:type="column"/>
      </w:r>
    </w:p>
    <w:p>
      <w:pPr>
        <w:spacing w:before="159" w:line="309" w:lineRule="exact"/>
        <w:ind w:firstLine="573"/>
        <w:rPr>
          <w:rFonts w:ascii="宋体" w:hAnsi="宋体" w:eastAsia="宋体" w:cs="宋体"/>
          <w:color w:val="auto"/>
          <w:sz w:val="20"/>
          <w:szCs w:val="20"/>
        </w:rPr>
      </w:pPr>
      <w:r>
        <w:rPr>
          <w:rFonts w:hint="eastAsia" w:ascii="宋体" w:hAnsi="宋体" w:eastAsia="宋体" w:cs="宋体"/>
          <w:color w:val="auto"/>
          <w:spacing w:val="8"/>
          <w:position w:val="7"/>
          <w:sz w:val="20"/>
          <w:szCs w:val="20"/>
          <w:lang w:eastAsia="zh-CN"/>
        </w:rPr>
        <w:t>区</w:t>
      </w:r>
      <w:r>
        <w:rPr>
          <w:rFonts w:ascii="宋体" w:hAnsi="宋体" w:eastAsia="宋体" w:cs="宋体"/>
          <w:color w:val="auto"/>
          <w:spacing w:val="8"/>
          <w:position w:val="7"/>
          <w:sz w:val="20"/>
          <w:szCs w:val="20"/>
        </w:rPr>
        <w:t>突发重大停电事件应急指挥部</w:t>
      </w:r>
    </w:p>
    <w:p>
      <w:pPr>
        <w:spacing w:before="1" w:line="218" w:lineRule="auto"/>
        <w:ind w:firstLine="1193"/>
        <w:rPr>
          <w:rFonts w:ascii="宋体" w:hAnsi="宋体" w:eastAsia="宋体" w:cs="宋体"/>
          <w:color w:val="auto"/>
          <w:sz w:val="20"/>
          <w:szCs w:val="20"/>
        </w:rPr>
      </w:pPr>
      <w:r>
        <w:rPr>
          <w:rFonts w:ascii="宋体" w:hAnsi="宋体" w:eastAsia="宋体" w:cs="宋体"/>
          <w:color w:val="auto"/>
          <w:spacing w:val="9"/>
          <w:sz w:val="20"/>
          <w:szCs w:val="20"/>
        </w:rPr>
        <w:t>决定是否发布预警</w:t>
      </w:r>
    </w:p>
    <w:p>
      <w:pPr>
        <w:spacing w:line="241" w:lineRule="auto"/>
        <w:rPr>
          <w:rFonts w:ascii="Arial"/>
          <w:color w:val="auto"/>
          <w:sz w:val="21"/>
        </w:rPr>
      </w:pPr>
    </w:p>
    <w:p>
      <w:pPr>
        <w:spacing w:before="66" w:line="184" w:lineRule="auto"/>
        <w:ind w:firstLine="2333"/>
        <w:rPr>
          <w:rFonts w:ascii="宋体" w:hAnsi="宋体" w:eastAsia="宋体" w:cs="宋体"/>
          <w:color w:val="auto"/>
          <w:sz w:val="20"/>
          <w:szCs w:val="20"/>
        </w:rPr>
      </w:pPr>
      <w:r>
        <w:rPr>
          <w:rFonts w:ascii="宋体" w:hAnsi="宋体" w:eastAsia="宋体" w:cs="宋体"/>
          <w:color w:val="auto"/>
          <w:sz w:val="20"/>
          <w:szCs w:val="20"/>
        </w:rPr>
        <w:t>是</w:t>
      </w:r>
    </w:p>
    <w:p>
      <w:pPr>
        <w:rPr>
          <w:color w:val="auto"/>
        </w:rPr>
        <w:sectPr>
          <w:type w:val="continuous"/>
          <w:pgSz w:w="11470" w:h="16840"/>
          <w:pgMar w:top="1431" w:right="1250" w:bottom="1752" w:left="630" w:header="0" w:footer="1569" w:gutter="0"/>
          <w:pgNumType w:fmt="decimal"/>
          <w:cols w:equalWidth="0" w:num="2">
            <w:col w:w="2697" w:space="100"/>
            <w:col w:w="6794"/>
          </w:cols>
        </w:sectPr>
      </w:pPr>
    </w:p>
    <w:p>
      <w:pPr>
        <w:spacing w:before="306" w:line="337" w:lineRule="exact"/>
        <w:ind w:firstLine="3370"/>
        <w:rPr>
          <w:rFonts w:ascii="宋体" w:hAnsi="宋体" w:eastAsia="宋体" w:cs="宋体"/>
          <w:color w:val="auto"/>
          <w:sz w:val="20"/>
          <w:szCs w:val="20"/>
        </w:rPr>
      </w:pPr>
      <w:r>
        <w:rPr>
          <w:rFonts w:hint="eastAsia" w:ascii="宋体" w:hAnsi="宋体" w:eastAsia="宋体" w:cs="宋体"/>
          <w:color w:val="auto"/>
          <w:spacing w:val="8"/>
          <w:position w:val="10"/>
          <w:sz w:val="20"/>
          <w:szCs w:val="20"/>
          <w:lang w:eastAsia="zh-CN"/>
        </w:rPr>
        <w:t>区</w:t>
      </w:r>
      <w:r>
        <w:rPr>
          <w:rFonts w:ascii="宋体" w:hAnsi="宋体" w:eastAsia="宋体" w:cs="宋体"/>
          <w:color w:val="auto"/>
          <w:spacing w:val="8"/>
          <w:position w:val="10"/>
          <w:sz w:val="20"/>
          <w:szCs w:val="20"/>
        </w:rPr>
        <w:t>突发重大停电事件应急指挥部</w:t>
      </w:r>
    </w:p>
    <w:p>
      <w:pPr>
        <w:spacing w:line="216" w:lineRule="auto"/>
        <w:ind w:firstLine="3479"/>
        <w:rPr>
          <w:rFonts w:ascii="宋体" w:hAnsi="宋体" w:eastAsia="宋体" w:cs="宋体"/>
          <w:color w:val="auto"/>
          <w:sz w:val="20"/>
          <w:szCs w:val="20"/>
        </w:rPr>
      </w:pPr>
      <w:r>
        <w:rPr>
          <w:rFonts w:ascii="宋体" w:hAnsi="宋体" w:eastAsia="宋体" w:cs="宋体"/>
          <w:color w:val="auto"/>
          <w:spacing w:val="11"/>
          <w:w w:val="103"/>
          <w:sz w:val="20"/>
          <w:szCs w:val="20"/>
        </w:rPr>
        <w:t>发布预警信息,启动应急响应</w:t>
      </w:r>
    </w:p>
    <w:p>
      <w:pPr>
        <w:rPr>
          <w:color w:val="auto"/>
        </w:rPr>
      </w:pPr>
    </w:p>
    <w:p>
      <w:pPr>
        <w:rPr>
          <w:color w:val="auto"/>
        </w:rPr>
      </w:pPr>
    </w:p>
    <w:p>
      <w:pPr>
        <w:rPr>
          <w:color w:val="auto"/>
        </w:rPr>
      </w:pPr>
    </w:p>
    <w:p>
      <w:pPr>
        <w:rPr>
          <w:color w:val="auto"/>
        </w:rPr>
      </w:pPr>
    </w:p>
    <w:p>
      <w:pPr>
        <w:spacing w:line="23" w:lineRule="exact"/>
        <w:rPr>
          <w:color w:val="auto"/>
        </w:rPr>
      </w:pPr>
    </w:p>
    <w:p>
      <w:pPr>
        <w:rPr>
          <w:color w:val="auto"/>
        </w:rPr>
        <w:sectPr>
          <w:type w:val="continuous"/>
          <w:pgSz w:w="11470" w:h="16840"/>
          <w:pgMar w:top="1431" w:right="1250" w:bottom="1752" w:left="630" w:header="0" w:footer="1569" w:gutter="0"/>
          <w:pgNumType w:fmt="decimal"/>
          <w:cols w:equalWidth="0" w:num="1">
            <w:col w:w="9590"/>
          </w:cols>
        </w:sectPr>
      </w:pPr>
    </w:p>
    <w:p>
      <w:pPr>
        <w:spacing w:before="219" w:line="314" w:lineRule="auto"/>
        <w:ind w:left="669" w:right="228" w:firstLine="129"/>
        <w:rPr>
          <w:rFonts w:ascii="宋体" w:hAnsi="宋体" w:eastAsia="宋体" w:cs="宋体"/>
          <w:color w:val="auto"/>
          <w:sz w:val="20"/>
          <w:szCs w:val="20"/>
        </w:rPr>
      </w:pPr>
      <w:r>
        <w:rPr>
          <w:rFonts w:ascii="宋体" w:hAnsi="宋体" w:eastAsia="宋体" w:cs="宋体"/>
          <w:color w:val="auto"/>
          <w:spacing w:val="-3"/>
          <w:sz w:val="20"/>
          <w:szCs w:val="20"/>
        </w:rPr>
        <w:t>主要成员单位:</w:t>
      </w:r>
      <w:r>
        <w:rPr>
          <w:rFonts w:ascii="宋体" w:hAnsi="宋体" w:eastAsia="宋体" w:cs="宋体"/>
          <w:color w:val="auto"/>
          <w:spacing w:val="22"/>
          <w:sz w:val="20"/>
          <w:szCs w:val="20"/>
        </w:rPr>
        <w:t xml:space="preserve"> </w:t>
      </w:r>
      <w:r>
        <w:rPr>
          <w:rFonts w:ascii="宋体" w:hAnsi="宋体" w:eastAsia="宋体" w:cs="宋体"/>
          <w:color w:val="auto"/>
          <w:spacing w:val="-3"/>
          <w:sz w:val="20"/>
          <w:szCs w:val="20"/>
        </w:rPr>
        <w:t>根据</w:t>
      </w:r>
      <w:r>
        <w:rPr>
          <w:rFonts w:ascii="宋体" w:hAnsi="宋体" w:eastAsia="宋体" w:cs="宋体"/>
          <w:color w:val="auto"/>
          <w:sz w:val="20"/>
          <w:szCs w:val="20"/>
        </w:rPr>
        <w:t xml:space="preserve">  </w:t>
      </w:r>
      <w:r>
        <w:rPr>
          <w:rFonts w:ascii="宋体" w:hAnsi="宋体" w:eastAsia="宋体" w:cs="宋体"/>
          <w:color w:val="auto"/>
          <w:spacing w:val="9"/>
          <w:sz w:val="20"/>
          <w:szCs w:val="20"/>
        </w:rPr>
        <w:t>职责开展应急处置工作</w:t>
      </w:r>
    </w:p>
    <w:p>
      <w:pPr>
        <w:spacing w:line="14" w:lineRule="auto"/>
        <w:rPr>
          <w:rFonts w:ascii="Arial"/>
          <w:color w:val="auto"/>
          <w:sz w:val="2"/>
        </w:rPr>
      </w:pPr>
      <w:r>
        <w:rPr>
          <w:rFonts w:ascii="Arial" w:hAnsi="Arial" w:eastAsia="Arial" w:cs="Arial"/>
          <w:color w:val="auto"/>
          <w:sz w:val="2"/>
          <w:szCs w:val="2"/>
        </w:rPr>
        <w:br w:type="column"/>
      </w:r>
    </w:p>
    <w:p>
      <w:pPr>
        <w:spacing w:before="38" w:line="305" w:lineRule="auto"/>
        <w:ind w:left="278" w:right="205" w:hanging="50"/>
        <w:rPr>
          <w:rFonts w:ascii="宋体" w:hAnsi="宋体" w:eastAsia="宋体" w:cs="宋体"/>
          <w:color w:val="auto"/>
          <w:sz w:val="20"/>
          <w:szCs w:val="20"/>
        </w:rPr>
      </w:pPr>
      <w:r>
        <w:rPr>
          <w:rFonts w:hint="eastAsia" w:ascii="宋体" w:hAnsi="宋体" w:eastAsia="宋体" w:cs="宋体"/>
          <w:color w:val="auto"/>
          <w:spacing w:val="7"/>
          <w:sz w:val="20"/>
          <w:szCs w:val="20"/>
          <w:lang w:eastAsia="zh-CN"/>
        </w:rPr>
        <w:t>区</w:t>
      </w:r>
      <w:r>
        <w:rPr>
          <w:rFonts w:ascii="宋体" w:hAnsi="宋体" w:eastAsia="宋体" w:cs="宋体"/>
          <w:color w:val="auto"/>
          <w:spacing w:val="7"/>
          <w:sz w:val="20"/>
          <w:szCs w:val="20"/>
        </w:rPr>
        <w:t>突发重大停电事件应急指挥</w:t>
      </w:r>
      <w:r>
        <w:rPr>
          <w:rFonts w:ascii="宋体" w:hAnsi="宋体" w:eastAsia="宋体" w:cs="宋体"/>
          <w:color w:val="auto"/>
          <w:spacing w:val="8"/>
          <w:sz w:val="20"/>
          <w:szCs w:val="20"/>
        </w:rPr>
        <w:t xml:space="preserve"> 部办公室分析、研判、信息</w:t>
      </w:r>
      <w:r>
        <w:rPr>
          <w:rFonts w:ascii="宋体" w:hAnsi="宋体" w:eastAsia="宋体" w:cs="宋体"/>
          <w:color w:val="auto"/>
          <w:spacing w:val="9"/>
          <w:sz w:val="20"/>
          <w:szCs w:val="20"/>
        </w:rPr>
        <w:t>汇总、报送</w:t>
      </w:r>
    </w:p>
    <w:p>
      <w:pPr>
        <w:spacing w:line="14" w:lineRule="auto"/>
        <w:rPr>
          <w:rFonts w:ascii="Arial"/>
          <w:color w:val="auto"/>
          <w:sz w:val="2"/>
        </w:rPr>
      </w:pPr>
      <w:r>
        <w:rPr>
          <w:rFonts w:ascii="Arial" w:hAnsi="Arial" w:eastAsia="Arial" w:cs="Arial"/>
          <w:color w:val="auto"/>
          <w:sz w:val="2"/>
          <w:szCs w:val="2"/>
        </w:rPr>
        <w:br w:type="column"/>
      </w:r>
    </w:p>
    <w:p>
      <w:pPr>
        <w:spacing w:before="39" w:line="219" w:lineRule="auto"/>
        <w:ind w:firstLine="215"/>
        <w:rPr>
          <w:rFonts w:ascii="宋体" w:hAnsi="宋体" w:eastAsia="宋体" w:cs="宋体"/>
          <w:color w:val="auto"/>
          <w:sz w:val="20"/>
          <w:szCs w:val="20"/>
        </w:rPr>
      </w:pPr>
      <w:r>
        <w:rPr>
          <w:rFonts w:ascii="宋体" w:hAnsi="宋体" w:eastAsia="宋体" w:cs="宋体"/>
          <w:color w:val="auto"/>
          <w:spacing w:val="-9"/>
          <w:sz w:val="20"/>
          <w:szCs w:val="20"/>
        </w:rPr>
        <w:t>相关企业:</w:t>
      </w:r>
      <w:r>
        <w:rPr>
          <w:rFonts w:ascii="宋体" w:hAnsi="宋体" w:eastAsia="宋体" w:cs="宋体"/>
          <w:color w:val="auto"/>
          <w:spacing w:val="46"/>
          <w:sz w:val="20"/>
          <w:szCs w:val="20"/>
        </w:rPr>
        <w:t xml:space="preserve"> </w:t>
      </w:r>
      <w:r>
        <w:rPr>
          <w:rFonts w:ascii="宋体" w:hAnsi="宋体" w:eastAsia="宋体" w:cs="宋体"/>
          <w:color w:val="auto"/>
          <w:spacing w:val="-9"/>
          <w:sz w:val="20"/>
          <w:szCs w:val="20"/>
        </w:rPr>
        <w:t>开展抢险、抢修、应急</w:t>
      </w:r>
    </w:p>
    <w:p>
      <w:pPr>
        <w:spacing w:before="81" w:line="219" w:lineRule="auto"/>
        <w:ind w:firstLine="205"/>
        <w:rPr>
          <w:rFonts w:ascii="宋体" w:hAnsi="宋体" w:eastAsia="宋体" w:cs="宋体"/>
          <w:color w:val="auto"/>
          <w:sz w:val="20"/>
          <w:szCs w:val="20"/>
        </w:rPr>
      </w:pPr>
      <w:r>
        <w:rPr>
          <w:rFonts w:ascii="宋体" w:hAnsi="宋体" w:eastAsia="宋体" w:cs="宋体"/>
          <w:color w:val="auto"/>
          <w:spacing w:val="1"/>
          <w:sz w:val="20"/>
          <w:szCs w:val="20"/>
        </w:rPr>
        <w:t>供电等应急处置工作;与主要成员</w:t>
      </w:r>
    </w:p>
    <w:p>
      <w:pPr>
        <w:spacing w:before="81" w:line="206" w:lineRule="auto"/>
        <w:ind w:firstLine="345"/>
        <w:rPr>
          <w:rFonts w:ascii="宋体" w:hAnsi="宋体" w:eastAsia="宋体" w:cs="宋体"/>
          <w:color w:val="auto"/>
          <w:sz w:val="20"/>
          <w:szCs w:val="20"/>
        </w:rPr>
      </w:pPr>
      <w:r>
        <w:rPr>
          <w:rFonts w:ascii="宋体" w:hAnsi="宋体" w:eastAsia="宋体" w:cs="宋体"/>
          <w:color w:val="auto"/>
          <w:spacing w:val="11"/>
          <w:sz w:val="20"/>
          <w:szCs w:val="20"/>
        </w:rPr>
        <w:t>单位联系沟通,开展其他工作</w:t>
      </w:r>
    </w:p>
    <w:p>
      <w:pPr>
        <w:rPr>
          <w:color w:val="auto"/>
        </w:rPr>
        <w:sectPr>
          <w:type w:val="continuous"/>
          <w:pgSz w:w="11470" w:h="16840"/>
          <w:pgMar w:top="1431" w:right="1250" w:bottom="1752" w:left="630" w:header="0" w:footer="1569" w:gutter="0"/>
          <w:pgNumType w:fmt="decimal"/>
          <w:cols w:equalWidth="0" w:num="3">
            <w:col w:w="2992" w:space="100"/>
            <w:col w:w="3134" w:space="100"/>
            <w:col w:w="3266"/>
          </w:cols>
        </w:sectPr>
      </w:pPr>
    </w:p>
    <w:p>
      <w:pPr>
        <w:rPr>
          <w:color w:val="auto"/>
        </w:rPr>
      </w:pPr>
    </w:p>
    <w:p>
      <w:pPr>
        <w:rPr>
          <w:color w:val="auto"/>
        </w:rPr>
      </w:pPr>
    </w:p>
    <w:p>
      <w:pPr>
        <w:spacing w:line="207" w:lineRule="exact"/>
        <w:rPr>
          <w:color w:val="auto"/>
        </w:rPr>
      </w:pPr>
    </w:p>
    <w:p>
      <w:pPr>
        <w:rPr>
          <w:color w:val="auto"/>
        </w:rPr>
        <w:sectPr>
          <w:type w:val="continuous"/>
          <w:pgSz w:w="11470" w:h="16840"/>
          <w:pgMar w:top="1431" w:right="1250" w:bottom="1752" w:left="630" w:header="0" w:footer="1569" w:gutter="0"/>
          <w:pgNumType w:fmt="decimal"/>
          <w:cols w:equalWidth="0" w:num="1">
            <w:col w:w="9590"/>
          </w:cols>
        </w:sectPr>
      </w:pPr>
    </w:p>
    <w:p>
      <w:pPr>
        <w:spacing w:line="274" w:lineRule="auto"/>
        <w:rPr>
          <w:rFonts w:ascii="Arial"/>
          <w:color w:val="auto"/>
          <w:sz w:val="21"/>
        </w:rPr>
      </w:pPr>
    </w:p>
    <w:p>
      <w:pPr>
        <w:spacing w:line="275" w:lineRule="auto"/>
        <w:rPr>
          <w:rFonts w:ascii="Arial"/>
          <w:color w:val="auto"/>
          <w:sz w:val="21"/>
        </w:rPr>
      </w:pPr>
    </w:p>
    <w:p>
      <w:pPr>
        <w:spacing w:line="275" w:lineRule="auto"/>
        <w:rPr>
          <w:rFonts w:ascii="Arial"/>
          <w:color w:val="auto"/>
          <w:sz w:val="21"/>
        </w:rPr>
      </w:pPr>
    </w:p>
    <w:p>
      <w:pPr>
        <w:spacing w:line="275" w:lineRule="auto"/>
        <w:rPr>
          <w:rFonts w:ascii="Arial"/>
          <w:color w:val="auto"/>
          <w:sz w:val="21"/>
        </w:rPr>
      </w:pPr>
    </w:p>
    <w:p>
      <w:pPr>
        <w:spacing w:before="65" w:line="220" w:lineRule="auto"/>
        <w:ind w:firstLine="479"/>
        <w:rPr>
          <w:rFonts w:ascii="宋体" w:hAnsi="宋体" w:eastAsia="宋体" w:cs="宋体"/>
          <w:color w:val="auto"/>
          <w:sz w:val="20"/>
          <w:szCs w:val="20"/>
        </w:rPr>
      </w:pPr>
      <w:r>
        <w:rPr>
          <w:rFonts w:ascii="宋体" w:hAnsi="宋体" w:eastAsia="宋体" w:cs="宋体"/>
          <w:color w:val="auto"/>
          <w:spacing w:val="7"/>
          <w:sz w:val="20"/>
          <w:szCs w:val="20"/>
        </w:rPr>
        <w:t>调整响应级别</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69" w:lineRule="exact"/>
        <w:rPr>
          <w:color w:val="auto"/>
        </w:rPr>
      </w:pPr>
    </w:p>
    <w:p>
      <w:pPr>
        <w:spacing w:line="14" w:lineRule="auto"/>
        <w:rPr>
          <w:rFonts w:ascii="Arial"/>
          <w:color w:val="auto"/>
          <w:sz w:val="2"/>
        </w:rPr>
      </w:pPr>
      <w:r>
        <w:rPr>
          <w:rFonts w:ascii="Arial" w:hAnsi="Arial" w:eastAsia="Arial" w:cs="Arial"/>
          <w:color w:val="auto"/>
          <w:sz w:val="2"/>
          <w:szCs w:val="2"/>
        </w:rPr>
        <w:br w:type="column"/>
      </w:r>
    </w:p>
    <w:p>
      <w:pPr>
        <w:spacing w:before="38" w:line="330" w:lineRule="exact"/>
        <w:ind w:firstLine="771"/>
        <w:rPr>
          <w:rFonts w:ascii="宋体" w:hAnsi="宋体" w:eastAsia="宋体" w:cs="宋体"/>
          <w:color w:val="auto"/>
          <w:sz w:val="20"/>
          <w:szCs w:val="20"/>
        </w:rPr>
      </w:pPr>
      <w:r>
        <w:rPr>
          <w:rFonts w:hint="eastAsia" w:ascii="宋体" w:hAnsi="宋体" w:eastAsia="宋体" w:cs="宋体"/>
          <w:color w:val="auto"/>
          <w:spacing w:val="8"/>
          <w:position w:val="9"/>
          <w:sz w:val="20"/>
          <w:szCs w:val="20"/>
          <w:lang w:eastAsia="zh-CN"/>
        </w:rPr>
        <w:t>区</w:t>
      </w:r>
      <w:r>
        <w:rPr>
          <w:rFonts w:ascii="宋体" w:hAnsi="宋体" w:eastAsia="宋体" w:cs="宋体"/>
          <w:color w:val="auto"/>
          <w:spacing w:val="8"/>
          <w:position w:val="9"/>
          <w:sz w:val="20"/>
          <w:szCs w:val="20"/>
        </w:rPr>
        <w:t>突发重大停电事件应急指挥部</w:t>
      </w:r>
    </w:p>
    <w:p>
      <w:pPr>
        <w:spacing w:before="1" w:line="219" w:lineRule="auto"/>
        <w:ind w:firstLine="1321"/>
        <w:rPr>
          <w:rFonts w:ascii="宋体" w:hAnsi="宋体" w:eastAsia="宋体" w:cs="宋体"/>
          <w:color w:val="auto"/>
          <w:sz w:val="20"/>
          <w:szCs w:val="20"/>
        </w:rPr>
      </w:pPr>
      <w:r>
        <w:rPr>
          <w:rFonts w:ascii="宋体" w:hAnsi="宋体" w:eastAsia="宋体" w:cs="宋体"/>
          <w:color w:val="auto"/>
          <w:spacing w:val="8"/>
          <w:sz w:val="20"/>
          <w:szCs w:val="20"/>
        </w:rPr>
        <w:t>办公室提出调整建议</w:t>
      </w:r>
    </w:p>
    <w:p>
      <w:pPr>
        <w:spacing w:line="301" w:lineRule="auto"/>
        <w:rPr>
          <w:rFonts w:ascii="Arial"/>
          <w:color w:val="auto"/>
          <w:sz w:val="21"/>
        </w:rPr>
      </w:pPr>
    </w:p>
    <w:p>
      <w:pPr>
        <w:spacing w:line="302" w:lineRule="auto"/>
        <w:rPr>
          <w:rFonts w:ascii="Arial"/>
          <w:color w:val="auto"/>
          <w:sz w:val="21"/>
        </w:rPr>
      </w:pPr>
    </w:p>
    <w:p>
      <w:pPr>
        <w:spacing w:before="65" w:line="330" w:lineRule="exact"/>
        <w:ind w:firstLine="771"/>
        <w:rPr>
          <w:rFonts w:ascii="宋体" w:hAnsi="宋体" w:eastAsia="宋体" w:cs="宋体"/>
          <w:color w:val="auto"/>
          <w:sz w:val="20"/>
          <w:szCs w:val="20"/>
        </w:rPr>
      </w:pPr>
      <w:r>
        <w:rPr>
          <w:rFonts w:hint="eastAsia" w:ascii="宋体" w:hAnsi="宋体" w:eastAsia="宋体" w:cs="宋体"/>
          <w:color w:val="auto"/>
          <w:spacing w:val="8"/>
          <w:position w:val="9"/>
          <w:sz w:val="20"/>
          <w:szCs w:val="20"/>
          <w:lang w:eastAsia="zh-CN"/>
        </w:rPr>
        <w:t>区</w:t>
      </w:r>
      <w:r>
        <w:rPr>
          <w:rFonts w:ascii="宋体" w:hAnsi="宋体" w:eastAsia="宋体" w:cs="宋体"/>
          <w:color w:val="auto"/>
          <w:spacing w:val="8"/>
          <w:position w:val="9"/>
          <w:sz w:val="20"/>
          <w:szCs w:val="20"/>
        </w:rPr>
        <w:t>突发重大停电事件应急指挥部</w:t>
      </w:r>
    </w:p>
    <w:p>
      <w:pPr>
        <w:spacing w:before="1" w:line="219" w:lineRule="auto"/>
        <w:ind w:firstLine="1221"/>
        <w:rPr>
          <w:rFonts w:ascii="宋体" w:hAnsi="宋体" w:eastAsia="宋体" w:cs="宋体"/>
          <w:color w:val="auto"/>
          <w:sz w:val="20"/>
          <w:szCs w:val="20"/>
        </w:rPr>
      </w:pPr>
      <w:r>
        <w:rPr>
          <w:rFonts w:ascii="宋体" w:hAnsi="宋体" w:eastAsia="宋体" w:cs="宋体"/>
          <w:color w:val="auto"/>
          <w:spacing w:val="10"/>
          <w:sz w:val="20"/>
          <w:szCs w:val="20"/>
        </w:rPr>
        <w:t>决定是否调整应急状态</w:t>
      </w:r>
    </w:p>
    <w:p>
      <w:pPr>
        <w:spacing w:before="255" w:line="221" w:lineRule="auto"/>
        <w:ind w:firstLine="2601"/>
        <w:rPr>
          <w:rFonts w:ascii="宋体" w:hAnsi="宋体" w:eastAsia="宋体" w:cs="宋体"/>
          <w:color w:val="auto"/>
          <w:sz w:val="20"/>
          <w:szCs w:val="20"/>
        </w:rPr>
      </w:pPr>
      <w:r>
        <w:rPr>
          <w:rFonts w:ascii="宋体" w:hAnsi="宋体" w:eastAsia="宋体" w:cs="宋体"/>
          <w:color w:val="auto"/>
          <w:spacing w:val="8"/>
          <w:sz w:val="20"/>
          <w:szCs w:val="20"/>
        </w:rPr>
        <w:t>终止应急响应</w:t>
      </w:r>
    </w:p>
    <w:p>
      <w:pPr>
        <w:spacing w:before="288" w:line="339" w:lineRule="exact"/>
        <w:ind w:firstLine="771"/>
        <w:rPr>
          <w:rFonts w:ascii="宋体" w:hAnsi="宋体" w:eastAsia="宋体" w:cs="宋体"/>
          <w:color w:val="auto"/>
          <w:sz w:val="20"/>
          <w:szCs w:val="20"/>
        </w:rPr>
      </w:pPr>
      <w:r>
        <w:rPr>
          <w:rFonts w:hint="eastAsia" w:ascii="宋体" w:hAnsi="宋体" w:eastAsia="宋体" w:cs="宋体"/>
          <w:color w:val="auto"/>
          <w:spacing w:val="8"/>
          <w:position w:val="10"/>
          <w:sz w:val="20"/>
          <w:szCs w:val="20"/>
          <w:lang w:eastAsia="zh-CN"/>
        </w:rPr>
        <w:t>区</w:t>
      </w:r>
      <w:r>
        <w:rPr>
          <w:rFonts w:ascii="宋体" w:hAnsi="宋体" w:eastAsia="宋体" w:cs="宋体"/>
          <w:color w:val="auto"/>
          <w:spacing w:val="8"/>
          <w:position w:val="10"/>
          <w:sz w:val="20"/>
          <w:szCs w:val="20"/>
        </w:rPr>
        <w:t>突发重大停电事件应急指挥部</w:t>
      </w:r>
    </w:p>
    <w:p>
      <w:pPr>
        <w:spacing w:before="1" w:line="184" w:lineRule="auto"/>
        <w:ind w:firstLine="1441"/>
        <w:rPr>
          <w:rFonts w:hint="eastAsia" w:eastAsia="宋体"/>
          <w:color w:val="auto"/>
          <w:lang w:eastAsia="zh-CN"/>
        </w:rPr>
        <w:sectPr>
          <w:type w:val="continuous"/>
          <w:pgSz w:w="11470" w:h="16840"/>
          <w:pgMar w:top="1431" w:right="1250" w:bottom="1752" w:left="630" w:header="0" w:footer="1569" w:gutter="0"/>
          <w:pgNumType w:fmt="decimal"/>
          <w:cols w:equalWidth="0" w:num="2">
            <w:col w:w="2499" w:space="100"/>
            <w:col w:w="6992"/>
          </w:cols>
        </w:sectPr>
      </w:pPr>
      <w:r>
        <w:rPr>
          <w:rFonts w:ascii="宋体" w:hAnsi="宋体" w:eastAsia="宋体" w:cs="宋体"/>
          <w:color w:val="auto"/>
          <w:spacing w:val="8"/>
          <w:sz w:val="20"/>
          <w:szCs w:val="20"/>
        </w:rPr>
        <w:t>宣布终止应急</w:t>
      </w:r>
      <w:r>
        <w:rPr>
          <w:rFonts w:hint="eastAsia" w:ascii="宋体" w:hAnsi="宋体" w:eastAsia="宋体" w:cs="宋体"/>
          <w:color w:val="auto"/>
          <w:spacing w:val="8"/>
          <w:sz w:val="20"/>
          <w:szCs w:val="20"/>
          <w:lang w:eastAsia="zh-CN"/>
        </w:rPr>
        <w:t>响应</w:t>
      </w:r>
    </w:p>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Arial"/>
          <w:color w:val="auto"/>
          <w:sz w:val="21"/>
        </w:rPr>
      </w:pPr>
    </w:p>
    <w:sectPr>
      <w:footerReference r:id="rId11" w:type="default"/>
      <w:pgSz w:w="11390" w:h="16840"/>
      <w:pgMar w:top="1431" w:right="949" w:bottom="1700" w:left="1340" w:header="0" w:footer="1519" w:gutter="0"/>
      <w:pgNumType w:fmt="decimal"/>
      <w:cols w:equalWidth="0" w:num="1">
        <w:col w:w="910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0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8" w:lineRule="exact"/>
      <w:ind w:firstLine="4150"/>
      <w:rPr>
        <w:rFonts w:ascii="仿宋" w:hAnsi="仿宋" w:eastAsia="仿宋" w:cs="仿宋"/>
        <w:sz w:val="20"/>
        <w:szCs w:val="20"/>
      </w:rPr>
    </w:pPr>
    <w:r>
      <w:rPr>
        <w:rFonts w:ascii="仿宋" w:hAnsi="仿宋" w:eastAsia="仿宋" w:cs="仿宋"/>
        <w:position w:val="-3"/>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exact"/>
      <w:ind w:firstLine="4089"/>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exact"/>
      <w:ind w:firstLine="4479"/>
      <w:rPr>
        <w:rFonts w:ascii="宋体" w:hAnsi="宋体" w:eastAsia="宋体" w:cs="宋体"/>
        <w:sz w:val="26"/>
        <w:szCs w:val="26"/>
      </w:rPr>
    </w:pPr>
    <w:r>
      <w:rPr>
        <w:rFonts w:ascii="宋体" w:hAnsi="宋体" w:eastAsia="宋体" w:cs="宋体"/>
        <w:spacing w:val="-6"/>
        <w:position w:val="-4"/>
        <w:sz w:val="26"/>
        <w:szCs w:val="26"/>
      </w:rPr>
      <w:t>27</w:t>
    </w:r>
    <w:r>
      <w:rPr>
        <w:rFonts w:ascii="宋体" w:hAnsi="宋体" w:eastAsia="宋体" w:cs="宋体"/>
        <w:spacing w:val="57"/>
        <w:position w:val="-4"/>
        <w:sz w:val="26"/>
        <w:szCs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exact"/>
      <w:ind w:firstLine="4479"/>
      <w:rPr>
        <w:rFonts w:ascii="宋体" w:hAnsi="宋体" w:eastAsia="宋体" w:cs="宋体"/>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v:textbox>
            </v:shape>
          </w:pict>
        </mc:Fallback>
      </mc:AlternateContent>
    </w:r>
    <w:r>
      <w:rPr>
        <w:rFonts w:ascii="宋体" w:hAnsi="宋体" w:eastAsia="宋体" w:cs="宋体"/>
        <w:spacing w:val="-6"/>
        <w:position w:val="-4"/>
        <w:sz w:val="26"/>
        <w:szCs w:val="26"/>
      </w:rPr>
      <w:t>-</w:t>
    </w:r>
    <w:r>
      <w:rPr>
        <w:rFonts w:ascii="宋体" w:hAnsi="宋体" w:eastAsia="宋体" w:cs="宋体"/>
        <w:spacing w:val="64"/>
        <w:position w:val="-4"/>
        <w:sz w:val="26"/>
        <w:szCs w:val="26"/>
      </w:rPr>
      <w:t xml:space="preserve"> </w:t>
    </w:r>
    <w:r>
      <w:rPr>
        <w:rFonts w:ascii="宋体" w:hAnsi="宋体" w:eastAsia="宋体" w:cs="宋体"/>
        <w:spacing w:val="-6"/>
        <w:position w:val="-4"/>
        <w:sz w:val="26"/>
        <w:szCs w:val="26"/>
      </w:rPr>
      <w:t>27</w:t>
    </w:r>
    <w:r>
      <w:rPr>
        <w:rFonts w:ascii="宋体" w:hAnsi="宋体" w:eastAsia="宋体" w:cs="宋体"/>
        <w:spacing w:val="57"/>
        <w:position w:val="-4"/>
        <w:sz w:val="26"/>
        <w:szCs w:val="26"/>
      </w:rPr>
      <w:t xml:space="preserve"> </w:t>
    </w:r>
    <w:r>
      <w:rPr>
        <w:rFonts w:ascii="宋体" w:hAnsi="宋体" w:eastAsia="宋体" w:cs="宋体"/>
        <w:spacing w:val="-6"/>
        <w:position w:val="-4"/>
        <w:sz w:val="26"/>
        <w:szCs w:val="2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ind w:firstLine="4159"/>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UwMDkyNjdkOWZlNmIxZjdkY2M5ZTdlY2YyNjQ2ZGYifQ=="/>
  </w:docVars>
  <w:rsids>
    <w:rsidRoot w:val="00000000"/>
    <w:rsid w:val="06604E1E"/>
    <w:rsid w:val="066E4383"/>
    <w:rsid w:val="0A537B1F"/>
    <w:rsid w:val="0C520E36"/>
    <w:rsid w:val="107144FE"/>
    <w:rsid w:val="14D672D9"/>
    <w:rsid w:val="1793305D"/>
    <w:rsid w:val="1AD52C83"/>
    <w:rsid w:val="1DAB318F"/>
    <w:rsid w:val="20552F27"/>
    <w:rsid w:val="20FE3298"/>
    <w:rsid w:val="27AF6B55"/>
    <w:rsid w:val="2B7574DE"/>
    <w:rsid w:val="34C45DF5"/>
    <w:rsid w:val="34DA417A"/>
    <w:rsid w:val="357A6B5D"/>
    <w:rsid w:val="3B6B0D42"/>
    <w:rsid w:val="3F3C2E21"/>
    <w:rsid w:val="415E1217"/>
    <w:rsid w:val="4246693F"/>
    <w:rsid w:val="4C7C58CC"/>
    <w:rsid w:val="4D4B7C35"/>
    <w:rsid w:val="4D887186"/>
    <w:rsid w:val="4DD17E67"/>
    <w:rsid w:val="4EA53EF7"/>
    <w:rsid w:val="5801371D"/>
    <w:rsid w:val="60FE121B"/>
    <w:rsid w:val="62F01A21"/>
    <w:rsid w:val="6409689E"/>
    <w:rsid w:val="699E287C"/>
    <w:rsid w:val="6B933ADE"/>
    <w:rsid w:val="6BFD7E5E"/>
    <w:rsid w:val="6F796B13"/>
    <w:rsid w:val="6F952FF7"/>
    <w:rsid w:val="705A2779"/>
    <w:rsid w:val="717800FC"/>
    <w:rsid w:val="73F05805"/>
    <w:rsid w:val="76B46C9C"/>
    <w:rsid w:val="776F2285"/>
    <w:rsid w:val="79336A9E"/>
    <w:rsid w:val="7F832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0"/>
    <w:pPr>
      <w:keepNext/>
      <w:keepLines/>
      <w:spacing w:before="260" w:after="260" w:line="416" w:lineRule="auto"/>
      <w:outlineLvl w:val="2"/>
    </w:pPr>
    <w:rPr>
      <w:rFonts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99"/>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11717</Words>
  <Characters>12304</Characters>
  <TotalTime>8</TotalTime>
  <ScaleCrop>false</ScaleCrop>
  <LinksUpToDate>false</LinksUpToDate>
  <CharactersWithSpaces>12616</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2022-04-27T16:01:00Z</dcterms:created>
  <dc:creator>Kingsoft-PDF</dc:creator>
  <cp:keywords>6268f83c3318700015df8a94</cp:keywords>
  <cp:lastModifiedBy>Administrator</cp:lastModifiedBy>
  <dcterms:modified xsi:type="dcterms:W3CDTF">2022-08-25T09:24:35Z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2022-04-27T16:01:42Z</vt:filetime>
  </property>
  <property fmtid="{D5CDD505-2E9C-101B-9397-08002B2CF9AE}" pid="4" name="KSOProductBuildVer">
    <vt:lpwstr>2052-11.1.0.12302</vt:lpwstr>
  </property>
  <property fmtid="{D5CDD505-2E9C-101B-9397-08002B2CF9AE}" pid="5" name="ICV">
    <vt:lpwstr>E2102D660EFA457999120DBE369DCD7D</vt:lpwstr>
  </property>
</Properties>
</file>