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outlineLvl w:val="0"/>
        <w:rPr>
          <w:rFonts w:ascii="微软雅黑" w:hAnsi="微软雅黑" w:eastAsia="宋体" w:cs="宋体"/>
          <w:color w:val="333333"/>
          <w:kern w:val="36"/>
          <w:sz w:val="24"/>
          <w:szCs w:val="24"/>
        </w:rPr>
      </w:pPr>
      <w:bookmarkStart w:id="0" w:name="_GoBack"/>
      <w:r>
        <w:rPr>
          <w:rFonts w:hint="eastAsia" w:ascii="宋体" w:hAnsi="宋体" w:eastAsia="宋体" w:cs="宋体"/>
          <w:b/>
          <w:bCs/>
          <w:color w:val="333333"/>
          <w:kern w:val="36"/>
          <w:sz w:val="44"/>
          <w:szCs w:val="44"/>
        </w:rPr>
        <w:t>益阳市赫山区新河大闸事务中心</w:t>
      </w:r>
    </w:p>
    <w:p>
      <w:pPr>
        <w:widowControl/>
        <w:shd w:val="clear" w:color="auto" w:fill="FFFFFF"/>
        <w:spacing w:line="560" w:lineRule="atLeast"/>
        <w:jc w:val="center"/>
        <w:outlineLvl w:val="0"/>
        <w:rPr>
          <w:rFonts w:ascii="微软雅黑" w:hAnsi="微软雅黑" w:eastAsia="宋体" w:cs="宋体"/>
          <w:color w:val="333333"/>
          <w:kern w:val="36"/>
          <w:sz w:val="24"/>
          <w:szCs w:val="24"/>
        </w:rPr>
      </w:pPr>
      <w:r>
        <w:rPr>
          <w:rFonts w:ascii="宋体" w:hAnsi="宋体" w:eastAsia="宋体" w:cs="宋体"/>
          <w:color w:val="333333"/>
          <w:kern w:val="36"/>
          <w:sz w:val="44"/>
          <w:szCs w:val="44"/>
        </w:rPr>
        <w:t>202</w:t>
      </w:r>
      <w:r>
        <w:rPr>
          <w:rFonts w:hint="eastAsia" w:ascii="宋体" w:hAnsi="宋体" w:eastAsia="宋体" w:cs="宋体"/>
          <w:color w:val="333333"/>
          <w:kern w:val="36"/>
          <w:sz w:val="44"/>
          <w:szCs w:val="44"/>
        </w:rPr>
        <w:t>2</w:t>
      </w:r>
      <w:r>
        <w:rPr>
          <w:rFonts w:ascii="宋体" w:hAnsi="宋体" w:eastAsia="宋体" w:cs="宋体"/>
          <w:color w:val="333333"/>
          <w:kern w:val="36"/>
          <w:sz w:val="44"/>
          <w:szCs w:val="44"/>
        </w:rPr>
        <w:t>年部门整体支出绩效评价报告</w:t>
      </w:r>
    </w:p>
    <w:bookmarkEnd w:id="0"/>
    <w:p>
      <w:pPr>
        <w:widowControl/>
        <w:shd w:val="clear" w:color="auto" w:fill="FFFFFF"/>
        <w:spacing w:line="560" w:lineRule="atLeast"/>
        <w:ind w:firstLine="640"/>
        <w:jc w:val="left"/>
        <w:rPr>
          <w:rFonts w:ascii="仿宋" w:hAnsi="仿宋" w:eastAsia="仿宋" w:cs="宋体"/>
          <w:color w:val="333333"/>
          <w:kern w:val="0"/>
          <w:sz w:val="32"/>
          <w:szCs w:val="32"/>
        </w:rPr>
      </w:pP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为进一步规范资金管理，牢固树立预算核算理念，强化部门支出责任，提高财政资金使用效率，根据《益阳市赫山区财政局关于做好2022年度预算绩效自评工作的通知》（益赫财绩[2023]2号）文件有关要求，我单位现将2022年度部门整体支出绩效评价情况报告如下：</w:t>
      </w:r>
      <w:r>
        <w:rPr>
          <w:rFonts w:ascii="宋体" w:hAnsi="宋体" w:eastAsia="宋体" w:cs="宋体"/>
          <w:color w:val="333333"/>
          <w:kern w:val="0"/>
          <w:sz w:val="32"/>
          <w:szCs w:val="32"/>
        </w:rPr>
        <w:t> </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黑体" w:hAnsi="黑体" w:eastAsia="黑体" w:cs="宋体"/>
          <w:color w:val="333333"/>
          <w:kern w:val="0"/>
          <w:sz w:val="32"/>
          <w:szCs w:val="32"/>
        </w:rPr>
        <w:t>一、部门基本情况</w:t>
      </w:r>
    </w:p>
    <w:p>
      <w:pPr>
        <w:widowControl/>
        <w:shd w:val="clear" w:color="auto" w:fill="FFFFFF"/>
        <w:spacing w:line="560" w:lineRule="atLeast"/>
        <w:ind w:firstLine="640"/>
        <w:jc w:val="left"/>
        <w:rPr>
          <w:rFonts w:ascii="宋体" w:hAnsi="宋体" w:eastAsia="宋体" w:cs="宋体"/>
          <w:color w:val="333333"/>
          <w:kern w:val="0"/>
          <w:sz w:val="32"/>
          <w:szCs w:val="32"/>
        </w:rPr>
      </w:pPr>
      <w:r>
        <w:rPr>
          <w:rFonts w:hint="eastAsia" w:ascii="仿宋" w:hAnsi="仿宋" w:eastAsia="仿宋" w:cs="宋体"/>
          <w:color w:val="333333"/>
          <w:kern w:val="0"/>
          <w:sz w:val="32"/>
          <w:szCs w:val="32"/>
        </w:rPr>
        <w:t>1、主要职能</w:t>
      </w:r>
      <w:r>
        <w:rPr>
          <w:rFonts w:hint="eastAsia" w:ascii="宋体" w:hAnsi="宋体" w:eastAsia="宋体" w:cs="宋体"/>
          <w:color w:val="333333"/>
          <w:kern w:val="0"/>
          <w:sz w:val="32"/>
          <w:szCs w:val="32"/>
        </w:rPr>
        <w:t> </w:t>
      </w:r>
    </w:p>
    <w:p>
      <w:pPr>
        <w:widowControl/>
        <w:shd w:val="clear" w:color="auto" w:fill="FFFFFF"/>
        <w:spacing w:line="560" w:lineRule="atLeast"/>
        <w:ind w:firstLine="64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主要负责为已建水利工程正常运转提供管理保障；负责撇洪新河灌区管理，工程运行日常维护，机械设备运行管理和安全监测。</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2、机构设置、人员情况</w:t>
      </w:r>
      <w:r>
        <w:rPr>
          <w:rFonts w:hint="eastAsia" w:ascii="宋体" w:hAnsi="宋体" w:eastAsia="宋体" w:cs="宋体"/>
          <w:color w:val="333333"/>
          <w:kern w:val="0"/>
          <w:sz w:val="32"/>
          <w:szCs w:val="32"/>
        </w:rPr>
        <w:t> </w:t>
      </w:r>
    </w:p>
    <w:p>
      <w:pPr>
        <w:widowControl/>
        <w:shd w:val="clear" w:color="auto" w:fill="FFFFFF"/>
        <w:spacing w:line="600" w:lineRule="atLeast"/>
        <w:ind w:firstLine="566"/>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根据赫山区编制委员会核定，益阳市赫山区新河大闸事务中心全额拨款25人，设主任1名，副主任2名全部纳入股级公益一类事业单位。</w:t>
      </w:r>
    </w:p>
    <w:p>
      <w:pPr>
        <w:widowControl/>
        <w:shd w:val="clear" w:color="auto" w:fill="FFFFFF"/>
        <w:spacing w:line="560" w:lineRule="atLeast"/>
        <w:ind w:firstLine="640"/>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二、一般公共预算支出情况</w:t>
      </w:r>
    </w:p>
    <w:p>
      <w:pPr>
        <w:widowControl/>
        <w:shd w:val="clear" w:color="auto" w:fill="FFFFFF"/>
        <w:spacing w:line="560" w:lineRule="atLeast"/>
        <w:ind w:firstLine="480"/>
        <w:jc w:val="left"/>
        <w:rPr>
          <w:rFonts w:ascii="宋体" w:hAnsi="宋体" w:eastAsia="宋体" w:cs="宋体"/>
          <w:color w:val="333333"/>
          <w:kern w:val="0"/>
          <w:sz w:val="24"/>
          <w:szCs w:val="24"/>
        </w:rPr>
      </w:pPr>
      <w:r>
        <w:rPr>
          <w:rFonts w:hint="eastAsia" w:ascii="楷体" w:hAnsi="楷体" w:eastAsia="楷体" w:cs="宋体"/>
          <w:color w:val="333333"/>
          <w:kern w:val="0"/>
          <w:sz w:val="32"/>
          <w:szCs w:val="32"/>
        </w:rPr>
        <w:t>1.基本支出情况</w:t>
      </w:r>
    </w:p>
    <w:p>
      <w:pPr>
        <w:widowControl/>
        <w:shd w:val="clear" w:color="auto" w:fill="FFFFFF"/>
        <w:spacing w:line="560" w:lineRule="atLeast"/>
        <w:ind w:firstLine="48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2022年，我单位基本支出金额为1287326.38元，按支出性质和经济分类，人员经费1136670元、公用经费150656.38元，具体为</w:t>
      </w:r>
      <w:r>
        <w:rPr>
          <w:rFonts w:hint="eastAsia" w:ascii="仿宋" w:hAnsi="仿宋" w:eastAsia="仿宋" w:cs="宋体"/>
          <w:color w:val="000000"/>
          <w:kern w:val="0"/>
          <w:sz w:val="32"/>
          <w:szCs w:val="32"/>
        </w:rPr>
        <w:t>工资福利支出1067683.54元、商品和服务支出150656.38元、对个人及家庭补助支出68986.46元。</w:t>
      </w:r>
    </w:p>
    <w:p>
      <w:pPr>
        <w:widowControl/>
        <w:numPr>
          <w:ilvl w:val="0"/>
          <w:numId w:val="1"/>
        </w:numPr>
        <w:shd w:val="clear" w:color="auto" w:fill="FFFFFF"/>
        <w:spacing w:line="560" w:lineRule="atLeast"/>
        <w:ind w:firstLine="480"/>
        <w:jc w:val="left"/>
        <w:rPr>
          <w:rFonts w:ascii="楷体" w:hAnsi="楷体" w:eastAsia="楷体" w:cs="宋体"/>
          <w:color w:val="333333"/>
          <w:kern w:val="0"/>
          <w:sz w:val="32"/>
          <w:szCs w:val="32"/>
        </w:rPr>
      </w:pPr>
      <w:r>
        <w:rPr>
          <w:rFonts w:hint="eastAsia" w:ascii="楷体" w:hAnsi="楷体" w:eastAsia="楷体" w:cs="宋体"/>
          <w:color w:val="333333"/>
          <w:kern w:val="0"/>
          <w:sz w:val="32"/>
          <w:szCs w:val="32"/>
        </w:rPr>
        <w:t>项目支出情况</w:t>
      </w:r>
    </w:p>
    <w:p>
      <w:pPr>
        <w:widowControl/>
        <w:shd w:val="clear" w:color="auto" w:fill="FFFFFF"/>
        <w:spacing w:line="560" w:lineRule="atLeast"/>
        <w:ind w:firstLine="600" w:firstLineChars="200"/>
        <w:jc w:val="left"/>
        <w:rPr>
          <w:rFonts w:ascii="微软雅黑" w:hAnsi="微软雅黑" w:eastAsia="宋体" w:cs="宋体"/>
          <w:color w:val="333333"/>
          <w:kern w:val="0"/>
          <w:sz w:val="24"/>
          <w:szCs w:val="24"/>
        </w:rPr>
      </w:pPr>
      <w:r>
        <w:rPr>
          <w:rFonts w:hint="eastAsia" w:ascii="楷体" w:hAnsi="楷体" w:eastAsia="楷体" w:cs="宋体"/>
          <w:color w:val="333333"/>
          <w:kern w:val="0"/>
          <w:sz w:val="30"/>
          <w:szCs w:val="30"/>
        </w:rPr>
        <w:t>2022</w:t>
      </w:r>
      <w:r>
        <w:rPr>
          <w:rFonts w:hint="eastAsia" w:ascii="楷体" w:hAnsi="楷体" w:eastAsia="楷体" w:cs="宋体"/>
          <w:color w:val="333333"/>
          <w:kern w:val="0"/>
          <w:sz w:val="32"/>
          <w:szCs w:val="32"/>
        </w:rPr>
        <w:t>年本单位无项目支出</w:t>
      </w:r>
    </w:p>
    <w:p>
      <w:pPr>
        <w:widowControl/>
        <w:shd w:val="clear" w:color="auto" w:fill="FFFFFF"/>
        <w:spacing w:line="560" w:lineRule="atLeast"/>
        <w:ind w:firstLine="640" w:firstLineChars="200"/>
        <w:jc w:val="left"/>
        <w:rPr>
          <w:rFonts w:ascii="宋体" w:hAnsi="宋体" w:eastAsia="宋体" w:cs="宋体"/>
          <w:color w:val="333333"/>
          <w:kern w:val="0"/>
          <w:sz w:val="24"/>
          <w:szCs w:val="24"/>
        </w:rPr>
      </w:pPr>
      <w:r>
        <w:rPr>
          <w:rFonts w:hint="eastAsia" w:ascii="黑体" w:hAnsi="黑体" w:eastAsia="黑体" w:cs="宋体"/>
          <w:color w:val="333333"/>
          <w:kern w:val="0"/>
          <w:sz w:val="32"/>
          <w:szCs w:val="32"/>
        </w:rPr>
        <w:t>三、政府性基金预算支出情况</w:t>
      </w:r>
    </w:p>
    <w:p>
      <w:pPr>
        <w:widowControl/>
        <w:shd w:val="clear" w:color="auto" w:fill="FFFFFF"/>
        <w:spacing w:line="560" w:lineRule="atLeast"/>
        <w:ind w:firstLine="960" w:firstLineChars="300"/>
        <w:jc w:val="left"/>
        <w:rPr>
          <w:rFonts w:ascii="宋体" w:hAnsi="宋体" w:eastAsia="仿宋" w:cs="宋体"/>
          <w:color w:val="333333"/>
          <w:kern w:val="0"/>
          <w:sz w:val="24"/>
          <w:szCs w:val="24"/>
        </w:rPr>
      </w:pPr>
      <w:r>
        <w:rPr>
          <w:rFonts w:hint="eastAsia" w:ascii="仿宋" w:hAnsi="仿宋" w:eastAsia="仿宋" w:cs="宋体"/>
          <w:color w:val="333333"/>
          <w:kern w:val="0"/>
          <w:sz w:val="32"/>
          <w:szCs w:val="32"/>
        </w:rPr>
        <w:t>本单位2022年无政府性基金预算支出</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黑体" w:hAnsi="黑体" w:eastAsia="黑体" w:cs="宋体"/>
          <w:color w:val="333333"/>
          <w:kern w:val="0"/>
          <w:sz w:val="32"/>
          <w:szCs w:val="32"/>
        </w:rPr>
        <w:t>四、国有资本经营预算支出情况</w:t>
      </w:r>
    </w:p>
    <w:p>
      <w:pPr>
        <w:widowControl/>
        <w:shd w:val="clear" w:color="auto" w:fill="FFFFFF"/>
        <w:spacing w:line="560" w:lineRule="atLeast"/>
        <w:ind w:firstLine="960" w:firstLineChars="30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本单位2022年无国有资本经营预算支出</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黑体" w:hAnsi="黑体" w:eastAsia="黑体" w:cs="宋体"/>
          <w:color w:val="333333"/>
          <w:kern w:val="0"/>
          <w:sz w:val="32"/>
          <w:szCs w:val="32"/>
        </w:rPr>
        <w:t>五、社会保险基金预算支出情况</w:t>
      </w:r>
    </w:p>
    <w:p>
      <w:pPr>
        <w:widowControl/>
        <w:shd w:val="clear" w:color="auto" w:fill="FFFFFF"/>
        <w:spacing w:line="560" w:lineRule="atLeast"/>
        <w:ind w:firstLine="640" w:firstLineChars="20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本单位的社会保险基金预算支出纳入了工资福利支出，无其他相关支出。</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黑体" w:hAnsi="黑体" w:eastAsia="黑体" w:cs="宋体"/>
          <w:color w:val="333333"/>
          <w:kern w:val="0"/>
          <w:sz w:val="32"/>
          <w:szCs w:val="32"/>
        </w:rPr>
        <w:t>六、部门整体支出绩效情况</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在区委、区政府及区水利局机关的领导下，本单位2022年所有支出严格按照国家财经法规、预算资金管理办法、财务管理制度，遵循先预算、再审批、后支出的原则，保证资金的合理使用。</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我单位的整体支出绩效情况如下：</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一是保障了单位有效运转。干部职工待遇严格按政策发放，严格按照厉行节约的要求，量入为出，规范单位事务管理工作，提高服务质量，降低运行成本，合理配置，提高保障能力。</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二是强化了资产管理。固定资产明确了专门管理部门和人员，建立资产管理系统实行专门审批、登记、核销和管理，做到账账、账证、账实相符，基本无闲置浪费现象。</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三是严格控制了“三公”经费。“三公”经费支出控制在年初预算指标内，未超过上年预算安排。</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四是加强了预决算管理。建立健全了《财务管理制度》等内部管理制度，按照区财政统一部署公开了部门预决算，建立单位评价监督机制，对预决算管理中发现的问题及时整改。</w:t>
      </w:r>
    </w:p>
    <w:p>
      <w:pPr>
        <w:widowControl/>
        <w:shd w:val="clear" w:color="auto" w:fill="FFFFFF"/>
        <w:spacing w:line="560" w:lineRule="atLeast"/>
        <w:ind w:firstLine="640"/>
        <w:jc w:val="left"/>
        <w:rPr>
          <w:rFonts w:ascii="宋体" w:hAnsi="宋体" w:eastAsia="仿宋" w:cs="宋体"/>
          <w:color w:val="333333"/>
          <w:kern w:val="0"/>
          <w:sz w:val="24"/>
          <w:szCs w:val="24"/>
        </w:rPr>
      </w:pPr>
      <w:r>
        <w:rPr>
          <w:rFonts w:hint="eastAsia" w:ascii="仿宋" w:hAnsi="仿宋" w:eastAsia="仿宋" w:cs="宋体"/>
          <w:color w:val="333333"/>
          <w:kern w:val="0"/>
          <w:sz w:val="32"/>
          <w:szCs w:val="32"/>
        </w:rPr>
        <w:t>五是完成水利工作任务。合理控制水位，为撇洪新河沿线农田提供水利保障。</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我单位能够按照国家的法律法规加强预算管理，不断完善内控制度，财务管理和会计基础工作日益完善，取得了较好的预算执行效果。认真完成了2022年部门决算编制和汇总工作，确保了资金的有效使用与管理，保障了单位正常运转及全年水利工作任务的完成，取得了一定经济、生态和社会效益。</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黑体" w:hAnsi="黑体" w:eastAsia="黑体" w:cs="宋体"/>
          <w:color w:val="333333"/>
          <w:kern w:val="0"/>
          <w:sz w:val="32"/>
          <w:szCs w:val="32"/>
        </w:rPr>
        <w:t>七、存在的主要问题</w:t>
      </w:r>
      <w:r>
        <w:rPr>
          <w:rFonts w:hint="eastAsia" w:ascii="宋体" w:hAnsi="宋体" w:eastAsia="宋体" w:cs="宋体"/>
          <w:color w:val="333333"/>
          <w:kern w:val="0"/>
          <w:sz w:val="32"/>
          <w:szCs w:val="32"/>
        </w:rPr>
        <w:t> </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rPr>
        <w:t>我单位根据本部门职能、职责结合年度工作计划编制年度预算，目前尚未发现特别的问题，各种预算支出执行大致未偏离绩效目标的情况。</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黑体" w:hAnsi="黑体" w:eastAsia="黑体" w:cs="宋体"/>
          <w:color w:val="333333"/>
          <w:kern w:val="0"/>
          <w:sz w:val="32"/>
          <w:szCs w:val="32"/>
        </w:rPr>
        <w:t>八、下一步改进措施</w:t>
      </w:r>
    </w:p>
    <w:p>
      <w:pPr>
        <w:widowControl/>
        <w:shd w:val="clear" w:color="auto" w:fill="FFFFFF"/>
        <w:spacing w:line="560" w:lineRule="atLeast"/>
        <w:ind w:firstLine="640"/>
        <w:jc w:val="left"/>
        <w:rPr>
          <w:rFonts w:ascii="微软雅黑" w:hAnsi="微软雅黑" w:eastAsia="微软雅黑" w:cs="微软雅黑"/>
          <w:color w:val="333333"/>
          <w:sz w:val="24"/>
          <w:szCs w:val="24"/>
        </w:rPr>
      </w:pPr>
      <w:r>
        <w:rPr>
          <w:rFonts w:ascii="仿宋" w:hAnsi="仿宋" w:eastAsia="仿宋" w:cs="仿宋"/>
          <w:color w:val="333333"/>
          <w:kern w:val="0"/>
          <w:sz w:val="28"/>
          <w:szCs w:val="28"/>
          <w:shd w:val="clear" w:color="auto" w:fill="FFFFFF"/>
        </w:rPr>
        <w:t>1、进一步加强财务人员的业务水平，充实扩大财务力量；</w:t>
      </w:r>
    </w:p>
    <w:p>
      <w:pPr>
        <w:widowControl/>
        <w:shd w:val="clear" w:color="auto" w:fill="FFFFFF"/>
        <w:spacing w:line="560" w:lineRule="atLeast"/>
        <w:ind w:left="559" w:leftChars="266"/>
        <w:jc w:val="left"/>
        <w:rPr>
          <w:rFonts w:ascii="微软雅黑" w:hAnsi="微软雅黑" w:eastAsia="微软雅黑" w:cs="微软雅黑"/>
          <w:color w:val="333333"/>
          <w:sz w:val="24"/>
          <w:szCs w:val="24"/>
        </w:rPr>
      </w:pPr>
      <w:r>
        <w:rPr>
          <w:rFonts w:hint="eastAsia" w:ascii="仿宋" w:hAnsi="仿宋" w:eastAsia="仿宋" w:cs="仿宋"/>
          <w:color w:val="333333"/>
          <w:kern w:val="0"/>
          <w:sz w:val="28"/>
          <w:szCs w:val="28"/>
          <w:shd w:val="clear" w:color="auto" w:fill="FFFFFF"/>
        </w:rPr>
        <w:t>2、加强内部控制系统的建设；                                                                     3、提高绩效评价的重视，设置合理有效的目标监控机制，科学设置预算绩效指标。</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黑体" w:hAnsi="黑体" w:eastAsia="黑体" w:cs="宋体"/>
          <w:color w:val="333333"/>
          <w:kern w:val="0"/>
          <w:sz w:val="32"/>
          <w:szCs w:val="32"/>
        </w:rPr>
        <w:t>九、其他需要说明的问题</w:t>
      </w:r>
    </w:p>
    <w:p>
      <w:pPr>
        <w:widowControl/>
        <w:shd w:val="clear" w:color="auto" w:fill="FFFFFF"/>
        <w:spacing w:line="560" w:lineRule="atLeast"/>
        <w:ind w:firstLine="640"/>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无</w:t>
      </w:r>
    </w:p>
    <w:p>
      <w:pPr>
        <w:widowControl/>
        <w:shd w:val="clear" w:color="auto" w:fill="FFFFFF"/>
        <w:spacing w:line="560" w:lineRule="atLeast"/>
        <w:ind w:firstLine="3779" w:firstLineChars="1181"/>
        <w:jc w:val="right"/>
        <w:rPr>
          <w:rFonts w:ascii="宋体" w:hAnsi="宋体" w:eastAsia="仿宋" w:cs="宋体"/>
          <w:color w:val="333333"/>
          <w:kern w:val="0"/>
          <w:sz w:val="24"/>
          <w:szCs w:val="24"/>
        </w:rPr>
      </w:pPr>
      <w:r>
        <w:rPr>
          <w:rFonts w:hint="eastAsia" w:ascii="仿宋" w:hAnsi="仿宋" w:eastAsia="仿宋" w:cs="宋体"/>
          <w:color w:val="333333"/>
          <w:kern w:val="0"/>
          <w:sz w:val="32"/>
          <w:szCs w:val="32"/>
        </w:rPr>
        <w:t>益阳市赫山区新河大闸事务中心</w:t>
      </w:r>
    </w:p>
    <w:p>
      <w:pPr>
        <w:widowControl/>
        <w:shd w:val="clear" w:color="auto" w:fill="FFFFFF"/>
        <w:spacing w:line="560" w:lineRule="atLeast"/>
        <w:ind w:firstLine="3779" w:firstLineChars="1181"/>
        <w:jc w:val="right"/>
        <w:rPr>
          <w:rFonts w:ascii="仿宋" w:hAnsi="仿宋" w:eastAsia="仿宋" w:cs="宋体"/>
          <w:color w:val="333333"/>
          <w:kern w:val="0"/>
          <w:sz w:val="32"/>
          <w:szCs w:val="32"/>
        </w:rPr>
      </w:pPr>
      <w:r>
        <w:rPr>
          <w:rFonts w:hint="eastAsia" w:ascii="仿宋" w:hAnsi="仿宋" w:eastAsia="仿宋" w:cs="宋体"/>
          <w:color w:val="333333"/>
          <w:kern w:val="0"/>
          <w:sz w:val="32"/>
          <w:szCs w:val="32"/>
        </w:rPr>
        <w:t>2023年5月25日</w:t>
      </w:r>
    </w:p>
    <w:p>
      <w:pPr>
        <w:widowControl/>
        <w:shd w:val="clear" w:color="auto" w:fill="FFFFFF"/>
        <w:spacing w:line="560" w:lineRule="atLeast"/>
        <w:ind w:firstLine="3779" w:firstLineChars="1181"/>
        <w:jc w:val="right"/>
        <w:rPr>
          <w:rFonts w:ascii="仿宋" w:hAnsi="仿宋" w:eastAsia="仿宋" w:cs="宋体"/>
          <w:color w:val="333333"/>
          <w:kern w:val="0"/>
          <w:sz w:val="32"/>
          <w:szCs w:val="32"/>
        </w:rPr>
      </w:pPr>
    </w:p>
    <w:p>
      <w:pPr>
        <w:widowControl/>
        <w:jc w:val="left"/>
        <w:rPr>
          <w:rFonts w:ascii="黑体" w:hAnsi="黑体" w:eastAsia="黑体" w:cs="宋体"/>
          <w:color w:val="333333"/>
          <w:kern w:val="0"/>
          <w:sz w:val="32"/>
          <w:szCs w:val="32"/>
          <w:shd w:val="clear" w:color="auto" w:fill="FFFFFF"/>
        </w:rPr>
      </w:pPr>
    </w:p>
    <w:p>
      <w:pPr>
        <w:widowControl/>
        <w:jc w:val="left"/>
        <w:rPr>
          <w:rFonts w:ascii="黑体" w:hAnsi="黑体" w:eastAsia="黑体" w:cs="宋体"/>
          <w:color w:val="333333"/>
          <w:kern w:val="0"/>
          <w:sz w:val="32"/>
          <w:szCs w:val="32"/>
          <w:shd w:val="clear" w:color="auto" w:fill="FFFFFF"/>
        </w:rPr>
      </w:pPr>
    </w:p>
    <w:p>
      <w:pPr>
        <w:widowControl/>
        <w:jc w:val="left"/>
        <w:rPr>
          <w:rFonts w:ascii="黑体" w:hAnsi="黑体" w:eastAsia="黑体" w:cs="宋体"/>
          <w:color w:val="333333"/>
          <w:kern w:val="0"/>
          <w:sz w:val="32"/>
          <w:szCs w:val="32"/>
          <w:shd w:val="clear" w:color="auto" w:fill="FFFFFF"/>
        </w:rPr>
      </w:pPr>
    </w:p>
    <w:p>
      <w:pPr>
        <w:widowControl/>
        <w:jc w:val="left"/>
        <w:rPr>
          <w:rFonts w:ascii="黑体" w:hAnsi="黑体" w:eastAsia="黑体" w:cs="宋体"/>
          <w:color w:val="333333"/>
          <w:kern w:val="0"/>
          <w:sz w:val="32"/>
          <w:szCs w:val="32"/>
          <w:shd w:val="clear" w:color="auto" w:fill="FFFFFF"/>
        </w:rPr>
      </w:pPr>
    </w:p>
    <w:p>
      <w:pPr>
        <w:widowControl/>
        <w:jc w:val="left"/>
        <w:rPr>
          <w:rFonts w:ascii="黑体" w:hAnsi="黑体" w:eastAsia="黑体" w:cs="宋体"/>
          <w:color w:val="333333"/>
          <w:kern w:val="0"/>
          <w:sz w:val="32"/>
          <w:szCs w:val="32"/>
          <w:shd w:val="clear" w:color="auto" w:fill="FFFFFF"/>
        </w:rPr>
      </w:pPr>
    </w:p>
    <w:p>
      <w:pPr>
        <w:widowControl/>
        <w:jc w:val="left"/>
        <w:rPr>
          <w:rFonts w:ascii="黑体" w:hAnsi="黑体" w:eastAsia="黑体" w:cs="宋体"/>
          <w:color w:val="333333"/>
          <w:kern w:val="0"/>
          <w:sz w:val="32"/>
          <w:szCs w:val="32"/>
          <w:shd w:val="clear" w:color="auto" w:fill="FFFFFF"/>
        </w:rPr>
      </w:pPr>
    </w:p>
    <w:p>
      <w:pPr>
        <w:widowControl/>
        <w:jc w:val="left"/>
        <w:rPr>
          <w:rFonts w:ascii="黑体" w:hAnsi="黑体" w:eastAsia="黑体" w:cs="宋体"/>
          <w:color w:val="333333"/>
          <w:kern w:val="0"/>
          <w:sz w:val="32"/>
          <w:szCs w:val="32"/>
          <w:shd w:val="clear" w:color="auto" w:fill="FFFFFF"/>
        </w:rPr>
      </w:pPr>
    </w:p>
    <w:p>
      <w:pPr>
        <w:widowControl/>
        <w:jc w:val="left"/>
        <w:rPr>
          <w:rFonts w:ascii="黑体" w:hAnsi="黑体" w:eastAsia="黑体" w:cs="宋体"/>
          <w:color w:val="333333"/>
          <w:kern w:val="0"/>
          <w:sz w:val="32"/>
          <w:szCs w:val="32"/>
          <w:shd w:val="clear" w:color="auto" w:fill="FFFFFF"/>
        </w:rPr>
      </w:pPr>
    </w:p>
    <w:p>
      <w:pPr>
        <w:widowControl/>
        <w:jc w:val="left"/>
        <w:rPr>
          <w:rFonts w:ascii="黑体" w:hAnsi="黑体" w:eastAsia="黑体" w:cs="宋体"/>
          <w:color w:val="333333"/>
          <w:kern w:val="0"/>
          <w:sz w:val="32"/>
          <w:szCs w:val="32"/>
          <w:shd w:val="clear" w:color="auto" w:fill="FFFFFF"/>
        </w:rPr>
      </w:pPr>
    </w:p>
    <w:p>
      <w:pPr>
        <w:widowControl/>
        <w:jc w:val="left"/>
        <w:rPr>
          <w:rFonts w:ascii="黑体" w:hAnsi="黑体" w:eastAsia="黑体" w:cs="宋体"/>
          <w:color w:val="333333"/>
          <w:kern w:val="0"/>
          <w:sz w:val="32"/>
          <w:szCs w:val="32"/>
          <w:shd w:val="clear" w:color="auto" w:fill="FFFFFF"/>
        </w:rPr>
      </w:pPr>
    </w:p>
    <w:p>
      <w:pPr>
        <w:widowControl/>
        <w:jc w:val="left"/>
        <w:rPr>
          <w:rFonts w:ascii="黑体" w:hAnsi="黑体" w:eastAsia="黑体" w:cs="宋体"/>
          <w:color w:val="333333"/>
          <w:kern w:val="0"/>
          <w:sz w:val="32"/>
          <w:szCs w:val="32"/>
          <w:shd w:val="clear" w:color="auto" w:fill="FFFFFF"/>
        </w:rPr>
      </w:pPr>
    </w:p>
    <w:p>
      <w:pPr>
        <w:widowControl/>
        <w:jc w:val="left"/>
        <w:rPr>
          <w:rFonts w:ascii="黑体" w:hAnsi="黑体" w:eastAsia="黑体" w:cs="宋体"/>
          <w:color w:val="333333"/>
          <w:kern w:val="0"/>
          <w:sz w:val="32"/>
          <w:szCs w:val="32"/>
          <w:shd w:val="clear" w:color="auto" w:fill="FFFFFF"/>
        </w:rPr>
      </w:pPr>
    </w:p>
    <w:p>
      <w:pPr>
        <w:widowControl/>
        <w:jc w:val="left"/>
        <w:rPr>
          <w:rFonts w:ascii="宋体" w:hAnsi="宋体" w:eastAsia="宋体" w:cs="宋体"/>
          <w:kern w:val="0"/>
          <w:sz w:val="24"/>
          <w:szCs w:val="24"/>
        </w:rPr>
      </w:pPr>
    </w:p>
    <w:p>
      <w:pPr>
        <w:widowControl/>
        <w:shd w:val="clear" w:color="auto" w:fill="FFFFFF"/>
        <w:spacing w:line="480" w:lineRule="atLeast"/>
        <w:jc w:val="left"/>
        <w:rPr>
          <w:rFonts w:hint="eastAsia" w:ascii="宋体" w:hAnsi="宋体" w:eastAsia="宋体" w:cs="宋体"/>
          <w:kern w:val="0"/>
          <w:sz w:val="24"/>
          <w:szCs w:val="24"/>
        </w:rPr>
      </w:pPr>
    </w:p>
    <w:p>
      <w:pPr>
        <w:widowControl/>
        <w:shd w:val="clear" w:color="auto" w:fill="FFFFFF"/>
        <w:spacing w:line="480" w:lineRule="atLeast"/>
        <w:jc w:val="left"/>
        <w:rPr>
          <w:rFonts w:hint="eastAsia" w:ascii="微软雅黑" w:hAnsi="微软雅黑" w:eastAsia="宋体" w:cs="宋体"/>
          <w:color w:val="333333"/>
          <w:kern w:val="0"/>
          <w:sz w:val="24"/>
          <w:szCs w:val="24"/>
        </w:rPr>
      </w:pPr>
      <w:r>
        <w:rPr>
          <w:rFonts w:hint="eastAsia" w:ascii="黑体" w:hAnsi="黑体" w:eastAsia="黑体" w:cs="宋体"/>
          <w:color w:val="333333"/>
          <w:kern w:val="0"/>
          <w:sz w:val="32"/>
          <w:szCs w:val="32"/>
        </w:rPr>
        <w:t>附件2：</w:t>
      </w:r>
    </w:p>
    <w:p>
      <w:pPr>
        <w:widowControl/>
        <w:shd w:val="clear" w:color="auto" w:fill="FFFFFF"/>
        <w:spacing w:line="480" w:lineRule="atLeast"/>
        <w:jc w:val="left"/>
        <w:rPr>
          <w:rFonts w:ascii="微软雅黑" w:hAnsi="微软雅黑" w:eastAsia="宋体" w:cs="宋体"/>
          <w:color w:val="333333"/>
          <w:kern w:val="0"/>
          <w:sz w:val="24"/>
          <w:szCs w:val="24"/>
        </w:rPr>
      </w:pPr>
      <w:r>
        <w:rPr>
          <w:rFonts w:hint="eastAsia" w:ascii="微软雅黑" w:hAnsi="微软雅黑" w:eastAsia="宋体" w:cs="宋体"/>
          <w:color w:val="333333"/>
          <w:kern w:val="0"/>
          <w:sz w:val="24"/>
          <w:szCs w:val="24"/>
        </w:rPr>
        <w:t xml:space="preserve">    </w:t>
      </w:r>
      <w:r>
        <w:rPr>
          <w:rFonts w:hint="eastAsia" w:ascii="方正小标宋简体" w:hAnsi="微软雅黑" w:eastAsia="方正小标宋简体" w:cs="宋体"/>
          <w:color w:val="333333"/>
          <w:kern w:val="0"/>
          <w:sz w:val="36"/>
          <w:szCs w:val="36"/>
        </w:rPr>
        <w:t>2022年度部门整体支出绩效自评指标计分表</w:t>
      </w:r>
    </w:p>
    <w:tbl>
      <w:tblPr>
        <w:tblStyle w:val="4"/>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3"/>
        <w:gridCol w:w="1188"/>
        <w:gridCol w:w="922"/>
        <w:gridCol w:w="771"/>
        <w:gridCol w:w="3097"/>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1" w:hRule="atLeast"/>
          <w:tblHeader/>
          <w:jc w:val="center"/>
        </w:trPr>
        <w:tc>
          <w:tcPr>
            <w:tcW w:w="513"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b/>
                <w:bCs/>
                <w:kern w:val="0"/>
                <w:szCs w:val="21"/>
              </w:rPr>
              <w:t>一级</w:t>
            </w:r>
            <w:r>
              <w:rPr>
                <w:rFonts w:hint="eastAsia" w:ascii="宋体" w:hAnsi="宋体" w:eastAsia="宋体" w:cs="宋体"/>
                <w:b/>
                <w:bCs/>
                <w:kern w:val="0"/>
                <w:szCs w:val="21"/>
              </w:rPr>
              <w:br w:type="textWrapping"/>
            </w:r>
            <w:r>
              <w:rPr>
                <w:rFonts w:hint="eastAsia" w:ascii="宋体" w:hAnsi="宋体" w:eastAsia="宋体" w:cs="宋体"/>
                <w:b/>
                <w:bCs/>
                <w:kern w:val="0"/>
                <w:szCs w:val="21"/>
              </w:rPr>
              <w:t>指标</w:t>
            </w:r>
          </w:p>
        </w:tc>
        <w:tc>
          <w:tcPr>
            <w:tcW w:w="1188" w:type="dxa"/>
            <w:tcMar>
              <w:top w:w="10" w:type="dxa"/>
              <w:left w:w="10" w:type="dxa"/>
              <w:bottom w:w="0" w:type="dxa"/>
              <w:right w:w="10" w:type="dxa"/>
            </w:tcMar>
            <w:vAlign w:val="center"/>
          </w:tcPr>
          <w:p>
            <w:pPr>
              <w:widowControl/>
              <w:spacing w:line="240" w:lineRule="atLeast"/>
              <w:ind w:right="-174"/>
              <w:jc w:val="center"/>
              <w:rPr>
                <w:rFonts w:ascii="宋体" w:hAnsi="宋体" w:eastAsia="宋体" w:cs="宋体"/>
                <w:kern w:val="0"/>
                <w:sz w:val="24"/>
                <w:szCs w:val="24"/>
              </w:rPr>
            </w:pPr>
            <w:r>
              <w:rPr>
                <w:rFonts w:hint="eastAsia" w:ascii="宋体" w:hAnsi="宋体" w:eastAsia="宋体" w:cs="宋体"/>
                <w:b/>
                <w:bCs/>
                <w:kern w:val="0"/>
                <w:szCs w:val="21"/>
              </w:rPr>
              <w:t>二级</w:t>
            </w:r>
          </w:p>
          <w:p>
            <w:pPr>
              <w:widowControl/>
              <w:spacing w:line="240" w:lineRule="atLeast"/>
              <w:ind w:right="-174"/>
              <w:jc w:val="center"/>
              <w:rPr>
                <w:rFonts w:ascii="宋体" w:hAnsi="宋体" w:eastAsia="宋体" w:cs="宋体"/>
                <w:kern w:val="0"/>
                <w:sz w:val="24"/>
                <w:szCs w:val="24"/>
              </w:rPr>
            </w:pPr>
            <w:r>
              <w:rPr>
                <w:rFonts w:hint="eastAsia" w:ascii="宋体" w:hAnsi="宋体" w:eastAsia="宋体" w:cs="宋体"/>
                <w:b/>
                <w:bCs/>
                <w:kern w:val="0"/>
                <w:szCs w:val="21"/>
              </w:rPr>
              <w:t>指标</w:t>
            </w: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b/>
                <w:bCs/>
                <w:kern w:val="0"/>
                <w:szCs w:val="21"/>
              </w:rPr>
              <w:t>三级</w:t>
            </w:r>
          </w:p>
          <w:p>
            <w:pPr>
              <w:widowControl/>
              <w:spacing w:line="240" w:lineRule="atLeast"/>
              <w:jc w:val="center"/>
              <w:rPr>
                <w:rFonts w:ascii="宋体" w:hAnsi="宋体" w:eastAsia="宋体" w:cs="宋体"/>
                <w:kern w:val="0"/>
                <w:sz w:val="24"/>
                <w:szCs w:val="24"/>
              </w:rPr>
            </w:pPr>
            <w:r>
              <w:rPr>
                <w:rFonts w:hint="eastAsia" w:ascii="宋体" w:hAnsi="宋体" w:eastAsia="宋体" w:cs="宋体"/>
                <w:b/>
                <w:bCs/>
                <w:kern w:val="0"/>
                <w:szCs w:val="21"/>
              </w:rPr>
              <w:t>指标</w:t>
            </w:r>
          </w:p>
        </w:tc>
        <w:tc>
          <w:tcPr>
            <w:tcW w:w="771" w:type="dxa"/>
            <w:tcMar>
              <w:top w:w="0" w:type="dxa"/>
              <w:left w:w="0" w:type="dxa"/>
              <w:bottom w:w="0" w:type="dxa"/>
              <w:right w:w="0" w:type="dxa"/>
            </w:tcMar>
            <w:vAlign w:val="center"/>
          </w:tcPr>
          <w:p>
            <w:pPr>
              <w:widowControl/>
              <w:spacing w:line="240" w:lineRule="atLeast"/>
              <w:ind w:left="105" w:right="105"/>
              <w:jc w:val="center"/>
              <w:rPr>
                <w:rFonts w:ascii="宋体" w:hAnsi="宋体" w:eastAsia="宋体" w:cs="宋体"/>
                <w:kern w:val="0"/>
                <w:sz w:val="24"/>
                <w:szCs w:val="24"/>
              </w:rPr>
            </w:pPr>
            <w:r>
              <w:rPr>
                <w:rFonts w:hint="eastAsia" w:ascii="宋体" w:hAnsi="宋体" w:eastAsia="宋体" w:cs="宋体"/>
                <w:b/>
                <w:bCs/>
                <w:kern w:val="0"/>
                <w:szCs w:val="21"/>
              </w:rPr>
              <w:t>自评分</w:t>
            </w:r>
          </w:p>
        </w:tc>
        <w:tc>
          <w:tcPr>
            <w:tcW w:w="3097" w:type="dxa"/>
            <w:tcMar>
              <w:top w:w="10" w:type="dxa"/>
              <w:left w:w="10" w:type="dxa"/>
              <w:bottom w:w="0" w:type="dxa"/>
              <w:right w:w="10" w:type="dxa"/>
            </w:tcMar>
            <w:vAlign w:val="center"/>
          </w:tcPr>
          <w:p>
            <w:pPr>
              <w:widowControl/>
              <w:spacing w:line="240" w:lineRule="atLeast"/>
              <w:ind w:left="105" w:right="105"/>
              <w:jc w:val="center"/>
              <w:rPr>
                <w:rFonts w:ascii="宋体" w:hAnsi="宋体" w:eastAsia="宋体" w:cs="宋体"/>
                <w:kern w:val="0"/>
                <w:sz w:val="24"/>
                <w:szCs w:val="24"/>
              </w:rPr>
            </w:pPr>
            <w:r>
              <w:rPr>
                <w:rFonts w:hint="eastAsia" w:ascii="宋体" w:hAnsi="宋体" w:eastAsia="宋体" w:cs="宋体"/>
                <w:b/>
                <w:bCs/>
                <w:kern w:val="0"/>
                <w:szCs w:val="21"/>
              </w:rPr>
              <w:t>指标解释</w:t>
            </w:r>
          </w:p>
        </w:tc>
        <w:tc>
          <w:tcPr>
            <w:tcW w:w="4136" w:type="dxa"/>
            <w:tcMar>
              <w:top w:w="10" w:type="dxa"/>
              <w:left w:w="10" w:type="dxa"/>
              <w:bottom w:w="0" w:type="dxa"/>
              <w:right w:w="10" w:type="dxa"/>
            </w:tcMar>
            <w:vAlign w:val="center"/>
          </w:tcPr>
          <w:p>
            <w:pPr>
              <w:widowControl/>
              <w:spacing w:line="240" w:lineRule="atLeast"/>
              <w:ind w:left="105" w:right="105"/>
              <w:jc w:val="center"/>
              <w:rPr>
                <w:rFonts w:ascii="宋体" w:hAnsi="宋体" w:eastAsia="宋体" w:cs="宋体"/>
                <w:kern w:val="0"/>
                <w:sz w:val="24"/>
                <w:szCs w:val="24"/>
              </w:rPr>
            </w:pPr>
            <w:r>
              <w:rPr>
                <w:rFonts w:hint="eastAsia" w:ascii="宋体" w:hAnsi="宋体" w:eastAsia="宋体" w:cs="宋体"/>
                <w:b/>
                <w:bCs/>
                <w:kern w:val="0"/>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81" w:hRule="atLeast"/>
          <w:jc w:val="center"/>
        </w:trPr>
        <w:tc>
          <w:tcPr>
            <w:tcW w:w="513" w:type="dxa"/>
            <w:vMerge w:val="restart"/>
            <w:noWrap/>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投入（20分）</w:t>
            </w:r>
          </w:p>
        </w:tc>
        <w:tc>
          <w:tcPr>
            <w:tcW w:w="1188" w:type="dxa"/>
            <w:vMerge w:val="restart"/>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目标</w:t>
            </w:r>
            <w:r>
              <w:rPr>
                <w:rFonts w:hint="eastAsia" w:ascii="宋体" w:hAnsi="宋体" w:eastAsia="宋体" w:cs="宋体"/>
                <w:kern w:val="0"/>
                <w:szCs w:val="21"/>
              </w:rPr>
              <w:br w:type="textWrapping"/>
            </w:r>
            <w:r>
              <w:rPr>
                <w:rFonts w:hint="eastAsia" w:ascii="宋体" w:hAnsi="宋体" w:eastAsia="宋体" w:cs="宋体"/>
                <w:kern w:val="0"/>
                <w:szCs w:val="21"/>
              </w:rPr>
              <w:t>设定（5分）</w:t>
            </w: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绩效目标</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合理性</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（2分）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1</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部门所设立的整体绩效目标依据是否充分，是否符合客观实际，用以反映和考核部门整体绩效目标与部门履职、年度工作任务的相符性情况。</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评价要点：</w:t>
            </w:r>
            <w:r>
              <w:rPr>
                <w:rFonts w:hint="eastAsia" w:ascii="宋体" w:hAnsi="宋体" w:eastAsia="宋体" w:cs="宋体"/>
                <w:kern w:val="0"/>
                <w:szCs w:val="21"/>
              </w:rPr>
              <w:br w:type="textWrapping"/>
            </w:r>
            <w:r>
              <w:rPr>
                <w:rFonts w:hint="eastAsia" w:ascii="宋体" w:hAnsi="宋体" w:eastAsia="宋体" w:cs="宋体"/>
                <w:kern w:val="0"/>
                <w:szCs w:val="21"/>
              </w:rPr>
              <w:t>①是否符合国家法律法规、国民经济和社会发展总体规划；</w:t>
            </w:r>
            <w:r>
              <w:rPr>
                <w:rFonts w:hint="eastAsia" w:ascii="宋体" w:hAnsi="宋体" w:eastAsia="宋体" w:cs="宋体"/>
                <w:kern w:val="0"/>
                <w:szCs w:val="21"/>
              </w:rPr>
              <w:br w:type="textWrapping"/>
            </w:r>
            <w:r>
              <w:rPr>
                <w:rFonts w:hint="eastAsia" w:ascii="宋体" w:hAnsi="宋体" w:eastAsia="宋体" w:cs="宋体"/>
                <w:kern w:val="0"/>
                <w:szCs w:val="21"/>
              </w:rPr>
              <w:t>②是否符合部门“三定”方案确定的职责；</w:t>
            </w:r>
            <w:r>
              <w:rPr>
                <w:rFonts w:hint="eastAsia" w:ascii="宋体" w:hAnsi="宋体" w:eastAsia="宋体" w:cs="宋体"/>
                <w:kern w:val="0"/>
                <w:szCs w:val="21"/>
              </w:rPr>
              <w:br w:type="textWrapping"/>
            </w:r>
            <w:r>
              <w:rPr>
                <w:rFonts w:hint="eastAsia" w:ascii="宋体" w:hAnsi="宋体" w:eastAsia="宋体" w:cs="宋体"/>
                <w:kern w:val="0"/>
                <w:szCs w:val="21"/>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28"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绩效指标</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明确性</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（3分）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2</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部门依据整体绩效目标所设定的绩效指标是否清晰、细化、可衡量，用以反映和考核部门整体绩效目标的明细化情况。</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评价要点：</w:t>
            </w:r>
            <w:r>
              <w:rPr>
                <w:rFonts w:hint="eastAsia" w:ascii="宋体" w:hAnsi="宋体" w:eastAsia="宋体" w:cs="宋体"/>
                <w:kern w:val="0"/>
                <w:szCs w:val="21"/>
              </w:rPr>
              <w:br w:type="textWrapping"/>
            </w:r>
            <w:r>
              <w:rPr>
                <w:rFonts w:hint="eastAsia" w:ascii="宋体" w:hAnsi="宋体" w:eastAsia="宋体" w:cs="宋体"/>
                <w:kern w:val="0"/>
                <w:szCs w:val="21"/>
              </w:rPr>
              <w:t>①是否将部门整体的绩效目标细化分解为具体的工作任务；</w:t>
            </w:r>
            <w:r>
              <w:rPr>
                <w:rFonts w:hint="eastAsia" w:ascii="宋体" w:hAnsi="宋体" w:eastAsia="宋体" w:cs="宋体"/>
                <w:kern w:val="0"/>
                <w:szCs w:val="21"/>
              </w:rPr>
              <w:br w:type="textWrapping"/>
            </w:r>
            <w:r>
              <w:rPr>
                <w:rFonts w:hint="eastAsia" w:ascii="宋体" w:hAnsi="宋体" w:eastAsia="宋体" w:cs="宋体"/>
                <w:kern w:val="0"/>
                <w:szCs w:val="21"/>
              </w:rPr>
              <w:t>②是否通过清晰、可衡量的指标值予以体现。    ③是否与部门年度的任务数或计划数相对应；</w:t>
            </w:r>
            <w:r>
              <w:rPr>
                <w:rFonts w:hint="eastAsia" w:ascii="宋体" w:hAnsi="宋体" w:eastAsia="宋体" w:cs="宋体"/>
                <w:kern w:val="0"/>
                <w:szCs w:val="21"/>
              </w:rPr>
              <w:br w:type="textWrapping"/>
            </w:r>
            <w:r>
              <w:rPr>
                <w:rFonts w:hint="eastAsia" w:ascii="宋体" w:hAnsi="宋体" w:eastAsia="宋体" w:cs="宋体"/>
                <w:kern w:val="0"/>
                <w:szCs w:val="21"/>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48"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restart"/>
            <w:tcMar>
              <w:top w:w="10" w:type="dxa"/>
              <w:left w:w="10" w:type="dxa"/>
              <w:bottom w:w="0" w:type="dxa"/>
              <w:right w:w="10" w:type="dxa"/>
            </w:tcMar>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预算</w:t>
            </w:r>
            <w:r>
              <w:rPr>
                <w:rFonts w:hint="eastAsia" w:ascii="宋体" w:hAnsi="宋体" w:eastAsia="宋体" w:cs="宋体"/>
                <w:kern w:val="0"/>
                <w:szCs w:val="21"/>
              </w:rPr>
              <w:br w:type="textWrapping"/>
            </w:r>
            <w:r>
              <w:rPr>
                <w:rFonts w:hint="eastAsia" w:ascii="宋体" w:hAnsi="宋体" w:eastAsia="宋体" w:cs="宋体"/>
                <w:kern w:val="0"/>
                <w:szCs w:val="21"/>
              </w:rPr>
              <w:t>配置</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（15分）</w:t>
            </w: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在职人员</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控制率</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（5分）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 w:val="24"/>
                <w:szCs w:val="24"/>
              </w:rPr>
              <w:t>4</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部门本年度实际在职人员数与编制数的比率，用以反映和考核部门对人员成本的控制程度。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在职人员控制率=（在职人员数/编制数）×100%。</w:t>
            </w:r>
            <w:r>
              <w:rPr>
                <w:rFonts w:hint="eastAsia" w:ascii="宋体" w:hAnsi="宋体" w:eastAsia="宋体" w:cs="宋体"/>
                <w:kern w:val="0"/>
                <w:szCs w:val="21"/>
              </w:rPr>
              <w:br w:type="textWrapping"/>
            </w:r>
            <w:r>
              <w:rPr>
                <w:rFonts w:hint="eastAsia" w:ascii="宋体" w:hAnsi="宋体" w:eastAsia="宋体" w:cs="宋体"/>
                <w:kern w:val="0"/>
                <w:szCs w:val="21"/>
              </w:rPr>
              <w:t>在职人员数：部门实际在职人数，以财政部确定的部门决算编制口径为准。</w:t>
            </w:r>
            <w:r>
              <w:rPr>
                <w:rFonts w:hint="eastAsia" w:ascii="宋体" w:hAnsi="宋体" w:eastAsia="宋体" w:cs="宋体"/>
                <w:kern w:val="0"/>
                <w:szCs w:val="21"/>
              </w:rPr>
              <w:br w:type="textWrapping"/>
            </w:r>
            <w:r>
              <w:rPr>
                <w:rFonts w:hint="eastAsia" w:ascii="宋体" w:hAnsi="宋体" w:eastAsia="宋体" w:cs="宋体"/>
                <w:kern w:val="0"/>
                <w:szCs w:val="21"/>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2"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“三公经费”</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变动率</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（5分）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5</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部门本年度“三公经费”预算数与上年度“三公经费”预算数的变动比率，用以反映和考核部门对控制重点行政成本的努力程度。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“三公经费”变动率=[（本年度“三公经费”总额-上年度“三公经费”总额）/上年度“三公经费”总额]×100%。</w:t>
            </w:r>
            <w:r>
              <w:rPr>
                <w:rFonts w:hint="eastAsia" w:ascii="宋体" w:hAnsi="宋体" w:eastAsia="宋体" w:cs="宋体"/>
                <w:kern w:val="0"/>
                <w:szCs w:val="21"/>
              </w:rPr>
              <w:br w:type="textWrapping"/>
            </w:r>
            <w:r>
              <w:rPr>
                <w:rFonts w:hint="eastAsia" w:ascii="宋体" w:hAnsi="宋体" w:eastAsia="宋体" w:cs="宋体"/>
                <w:kern w:val="0"/>
                <w:szCs w:val="21"/>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29"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重点支出</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安排率</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（5分）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0</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部门本年度预算安排的重点预算支出与部门预算总支出的比率，用以反映和考核部门对履行主要职责或完成重点任务的保障程度。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重点支出安排率=（重点预算支出/预算总支出）×100%。</w:t>
            </w:r>
            <w:r>
              <w:rPr>
                <w:rFonts w:hint="eastAsia" w:ascii="宋体" w:hAnsi="宋体" w:eastAsia="宋体" w:cs="宋体"/>
                <w:kern w:val="0"/>
                <w:szCs w:val="21"/>
              </w:rPr>
              <w:br w:type="textWrapping"/>
            </w:r>
            <w:r>
              <w:rPr>
                <w:rFonts w:hint="eastAsia" w:ascii="宋体" w:hAnsi="宋体" w:eastAsia="宋体" w:cs="宋体"/>
                <w:kern w:val="0"/>
                <w:szCs w:val="21"/>
              </w:rPr>
              <w:t>重点预算支出：部门年度预算安排的，与本部门履职和发展密切相关、具有明显社会和经济影响、党委政府关心或社会比较关注的预算支出支出总额。</w:t>
            </w:r>
            <w:r>
              <w:rPr>
                <w:rFonts w:hint="eastAsia" w:ascii="宋体" w:hAnsi="宋体" w:eastAsia="宋体" w:cs="宋体"/>
                <w:kern w:val="0"/>
                <w:szCs w:val="21"/>
              </w:rPr>
              <w:br w:type="textWrapping"/>
            </w:r>
            <w:r>
              <w:rPr>
                <w:rFonts w:hint="eastAsia" w:ascii="宋体" w:hAnsi="宋体" w:eastAsia="宋体" w:cs="宋体"/>
                <w:kern w:val="0"/>
                <w:szCs w:val="21"/>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9" w:hRule="atLeast"/>
          <w:jc w:val="center"/>
        </w:trPr>
        <w:tc>
          <w:tcPr>
            <w:tcW w:w="513" w:type="dxa"/>
            <w:vMerge w:val="restart"/>
            <w:noWrap/>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过程（30分）</w:t>
            </w:r>
          </w:p>
        </w:tc>
        <w:tc>
          <w:tcPr>
            <w:tcW w:w="1188" w:type="dxa"/>
            <w:vMerge w:val="restart"/>
            <w:tcMar>
              <w:top w:w="10" w:type="dxa"/>
              <w:left w:w="10" w:type="dxa"/>
              <w:bottom w:w="0" w:type="dxa"/>
              <w:right w:w="10" w:type="dxa"/>
            </w:tcMar>
            <w:vAlign w:val="center"/>
          </w:tcPr>
          <w:p>
            <w:pPr>
              <w:widowControl/>
              <w:spacing w:line="240" w:lineRule="atLeast"/>
              <w:jc w:val="left"/>
              <w:rPr>
                <w:rFonts w:ascii="宋体" w:hAnsi="宋体" w:eastAsia="宋体" w:cs="宋体"/>
                <w:kern w:val="0"/>
                <w:szCs w:val="21"/>
              </w:rPr>
            </w:pPr>
            <w:r>
              <w:rPr>
                <w:rFonts w:hint="eastAsia" w:ascii="宋体" w:hAnsi="宋体" w:eastAsia="宋体" w:cs="宋体"/>
                <w:kern w:val="0"/>
                <w:szCs w:val="21"/>
              </w:rPr>
              <w:t>预算</w:t>
            </w:r>
            <w:r>
              <w:rPr>
                <w:rFonts w:hint="eastAsia" w:ascii="宋体" w:hAnsi="宋体" w:eastAsia="宋体" w:cs="宋体"/>
                <w:kern w:val="0"/>
                <w:szCs w:val="21"/>
              </w:rPr>
              <w:br w:type="textWrapping"/>
            </w:r>
            <w:r>
              <w:rPr>
                <w:rFonts w:hint="eastAsia" w:ascii="宋体" w:hAnsi="宋体" w:eastAsia="宋体" w:cs="宋体"/>
                <w:kern w:val="0"/>
                <w:szCs w:val="21"/>
              </w:rPr>
              <w:t>执行</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（20分）</w:t>
            </w: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预算</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执行率</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（4分）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4</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部门本年度预算完成数与预算数的比率，用以反映和考核部门预算完成程度。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预算执行率=（预算执行数/预算数）×100%。</w:t>
            </w:r>
            <w:r>
              <w:rPr>
                <w:rFonts w:hint="eastAsia" w:ascii="宋体" w:hAnsi="宋体" w:eastAsia="宋体" w:cs="宋体"/>
                <w:kern w:val="0"/>
                <w:szCs w:val="21"/>
              </w:rPr>
              <w:br w:type="textWrapping"/>
            </w:r>
            <w:r>
              <w:rPr>
                <w:rFonts w:hint="eastAsia" w:ascii="宋体" w:hAnsi="宋体" w:eastAsia="宋体" w:cs="宋体"/>
                <w:kern w:val="0"/>
                <w:szCs w:val="21"/>
              </w:rPr>
              <w:t>预算执行数：部门本年度实际完成的预算数。</w:t>
            </w:r>
            <w:r>
              <w:rPr>
                <w:rFonts w:hint="eastAsia" w:ascii="宋体" w:hAnsi="宋体" w:eastAsia="宋体" w:cs="宋体"/>
                <w:kern w:val="0"/>
                <w:szCs w:val="21"/>
              </w:rPr>
              <w:br w:type="textWrapping"/>
            </w:r>
            <w:r>
              <w:rPr>
                <w:rFonts w:hint="eastAsia" w:ascii="宋体" w:hAnsi="宋体" w:eastAsia="宋体" w:cs="宋体"/>
                <w:kern w:val="0"/>
                <w:szCs w:val="21"/>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24"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预算</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调整率</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（2分）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2</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部门本年度预算调整数与预算数的比率，用以反映和考核部门预算的调整程度。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预算调整率=（预算调整数/预算数）×100%。</w:t>
            </w:r>
            <w:r>
              <w:rPr>
                <w:rFonts w:hint="eastAsia" w:ascii="宋体" w:hAnsi="宋体" w:eastAsia="宋体" w:cs="宋体"/>
                <w:kern w:val="0"/>
                <w:szCs w:val="21"/>
              </w:rPr>
              <w:br w:type="textWrapping"/>
            </w:r>
            <w:r>
              <w:rPr>
                <w:rFonts w:hint="eastAsia" w:ascii="宋体" w:hAnsi="宋体" w:eastAsia="宋体" w:cs="宋体"/>
                <w:kern w:val="0"/>
                <w:szCs w:val="21"/>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31"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支付</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进度率</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（2分）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2</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部门实际支付进度与既定支付进度的比率，用以反映和考核部门预算执行的及时性和均衡性程度。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支付进度率=（实际支付进度/既定支付进度）×100%。</w:t>
            </w:r>
            <w:r>
              <w:rPr>
                <w:rFonts w:hint="eastAsia" w:ascii="宋体" w:hAnsi="宋体" w:eastAsia="宋体" w:cs="宋体"/>
                <w:kern w:val="0"/>
                <w:szCs w:val="21"/>
              </w:rPr>
              <w:br w:type="textWrapping"/>
            </w:r>
            <w:r>
              <w:rPr>
                <w:rFonts w:hint="eastAsia" w:ascii="宋体" w:hAnsi="宋体" w:eastAsia="宋体" w:cs="宋体"/>
                <w:kern w:val="0"/>
                <w:szCs w:val="21"/>
              </w:rPr>
              <w:t>实际支付进度：部门在某一时点的支出预算执行总数与年度支出预算数的比率。</w:t>
            </w:r>
            <w:r>
              <w:rPr>
                <w:rFonts w:hint="eastAsia" w:ascii="宋体" w:hAnsi="宋体" w:eastAsia="宋体" w:cs="宋体"/>
                <w:kern w:val="0"/>
                <w:szCs w:val="21"/>
              </w:rPr>
              <w:br w:type="textWrapping"/>
            </w:r>
            <w:r>
              <w:rPr>
                <w:rFonts w:hint="eastAsia" w:ascii="宋体" w:hAnsi="宋体" w:eastAsia="宋体" w:cs="宋体"/>
                <w:kern w:val="0"/>
                <w:szCs w:val="21"/>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9"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结转</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结余率</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（2分）</w:t>
            </w:r>
          </w:p>
        </w:tc>
        <w:tc>
          <w:tcPr>
            <w:tcW w:w="771" w:type="dxa"/>
            <w:tcMar>
              <w:top w:w="0" w:type="dxa"/>
              <w:left w:w="0" w:type="dxa"/>
              <w:bottom w:w="0" w:type="dxa"/>
              <w:right w:w="0" w:type="dxa"/>
            </w:tcMar>
          </w:tcPr>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right="105" w:firstLine="105"/>
              <w:jc w:val="left"/>
              <w:rPr>
                <w:rFonts w:ascii="宋体" w:hAnsi="宋体" w:eastAsia="宋体" w:cs="宋体"/>
                <w:kern w:val="0"/>
                <w:sz w:val="24"/>
                <w:szCs w:val="24"/>
              </w:rPr>
            </w:pPr>
            <w:r>
              <w:rPr>
                <w:rFonts w:hint="eastAsia" w:ascii="宋体" w:hAnsi="宋体" w:eastAsia="宋体" w:cs="宋体"/>
                <w:kern w:val="0"/>
                <w:szCs w:val="21"/>
              </w:rPr>
              <w:t> 2</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部门本年度结转结余总额与支出预算数的比率，用以反映和考核部门对本年度结转结余资金的实际控制程度。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结转结余率=结转结余总额/支出预算数×100%。</w:t>
            </w:r>
            <w:r>
              <w:rPr>
                <w:rFonts w:hint="eastAsia" w:ascii="宋体" w:hAnsi="宋体" w:eastAsia="宋体" w:cs="宋体"/>
                <w:kern w:val="0"/>
                <w:szCs w:val="21"/>
              </w:rPr>
              <w:br w:type="textWrapping"/>
            </w:r>
            <w:r>
              <w:rPr>
                <w:rFonts w:hint="eastAsia" w:ascii="宋体" w:hAnsi="宋体" w:eastAsia="宋体" w:cs="宋体"/>
                <w:kern w:val="0"/>
                <w:szCs w:val="21"/>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3"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结转结余</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变动率</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（2分）</w:t>
            </w:r>
          </w:p>
        </w:tc>
        <w:tc>
          <w:tcPr>
            <w:tcW w:w="771" w:type="dxa"/>
            <w:tcMar>
              <w:top w:w="0" w:type="dxa"/>
              <w:left w:w="0" w:type="dxa"/>
              <w:bottom w:w="0" w:type="dxa"/>
              <w:right w:w="0" w:type="dxa"/>
            </w:tcMar>
          </w:tcPr>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2</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部门本年度结转结余资金总额与上年度结转结余资金总额的变动比率，用以反映和考核部门对控制结转结余资金的努力程度。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结转结余变动率=[（本年度累计结转结余资金总额-上年度累计结转结余资金总额）/上年度累计结转结余资金总额]×100%。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5"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公用经费</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控制率</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（2分）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 w:val="24"/>
                <w:szCs w:val="24"/>
              </w:rPr>
              <w:t>1</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部门本年度实际支出的公用经费总额与预算安排的公用经费总额的比率，用以反映和考核部门对机构运转成本的实际控制程度。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8"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“三公经费”控制率（2分）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2</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部门本年度“三公经费”实际支出数与预算安排数的比率，用以反映和考核部门对“三公经费”的实际控制程度。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0"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政府采购</w:t>
            </w:r>
          </w:p>
          <w:p>
            <w:pPr>
              <w:widowControl/>
              <w:spacing w:line="240" w:lineRule="atLeast"/>
              <w:jc w:val="left"/>
              <w:rPr>
                <w:rFonts w:ascii="宋体" w:hAnsi="宋体" w:eastAsia="宋体" w:cs="宋体"/>
                <w:kern w:val="0"/>
                <w:szCs w:val="21"/>
              </w:rPr>
            </w:pPr>
            <w:r>
              <w:rPr>
                <w:rFonts w:hint="eastAsia" w:ascii="宋体" w:hAnsi="宋体" w:eastAsia="宋体" w:cs="宋体"/>
                <w:kern w:val="0"/>
                <w:szCs w:val="21"/>
              </w:rPr>
              <w:t>执行率</w:t>
            </w:r>
          </w:p>
          <w:p>
            <w:pPr>
              <w:widowControl/>
              <w:spacing w:line="240" w:lineRule="atLeast"/>
              <w:jc w:val="left"/>
              <w:rPr>
                <w:rFonts w:ascii="宋体" w:hAnsi="宋体" w:eastAsia="宋体" w:cs="宋体"/>
                <w:kern w:val="0"/>
                <w:sz w:val="24"/>
                <w:szCs w:val="24"/>
              </w:rPr>
            </w:pPr>
            <w:r>
              <w:rPr>
                <w:rFonts w:hint="eastAsia" w:ascii="宋体" w:hAnsi="宋体" w:eastAsia="宋体" w:cs="宋体"/>
                <w:kern w:val="0"/>
                <w:szCs w:val="21"/>
              </w:rPr>
              <w:t>（4分）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 w:val="24"/>
                <w:szCs w:val="24"/>
              </w:rPr>
              <w:t>3</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部门本年度实际政府采购金额与年初政府采购预算的比率，用以反映和考核部门政府采购预算执行情况。</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政府采购执行率=（实际政府采购金额/政府采购预算数）×100%；</w:t>
            </w:r>
            <w:r>
              <w:rPr>
                <w:rFonts w:hint="eastAsia" w:ascii="宋体" w:hAnsi="宋体" w:eastAsia="宋体" w:cs="宋体"/>
                <w:kern w:val="0"/>
                <w:szCs w:val="21"/>
              </w:rPr>
              <w:br w:type="textWrapping"/>
            </w:r>
            <w:r>
              <w:rPr>
                <w:rFonts w:hint="eastAsia" w:ascii="宋体" w:hAnsi="宋体" w:eastAsia="宋体" w:cs="宋体"/>
                <w:kern w:val="0"/>
                <w:szCs w:val="21"/>
              </w:rPr>
              <w:t>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29" w:hRule="atLeast"/>
          <w:jc w:val="center"/>
        </w:trPr>
        <w:tc>
          <w:tcPr>
            <w:tcW w:w="513" w:type="dxa"/>
            <w:vMerge w:val="restart"/>
            <w:tcMar>
              <w:top w:w="0" w:type="dxa"/>
              <w:left w:w="0" w:type="dxa"/>
              <w:bottom w:w="0" w:type="dxa"/>
              <w:right w:w="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过程（30分）</w:t>
            </w:r>
          </w:p>
        </w:tc>
        <w:tc>
          <w:tcPr>
            <w:tcW w:w="1188" w:type="dxa"/>
            <w:vMerge w:val="restart"/>
            <w:tcMar>
              <w:top w:w="10" w:type="dxa"/>
              <w:left w:w="10" w:type="dxa"/>
              <w:bottom w:w="0" w:type="dxa"/>
              <w:right w:w="10" w:type="dxa"/>
            </w:tcMar>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预算</w:t>
            </w:r>
            <w:r>
              <w:rPr>
                <w:rFonts w:hint="eastAsia" w:ascii="宋体" w:hAnsi="宋体" w:eastAsia="宋体" w:cs="宋体"/>
                <w:kern w:val="0"/>
                <w:szCs w:val="21"/>
              </w:rPr>
              <w:br w:type="textWrapping"/>
            </w:r>
            <w:r>
              <w:rPr>
                <w:rFonts w:hint="eastAsia" w:ascii="宋体" w:hAnsi="宋体" w:eastAsia="宋体" w:cs="宋体"/>
                <w:kern w:val="0"/>
                <w:szCs w:val="21"/>
              </w:rPr>
              <w:t>管理</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（5分）</w:t>
            </w:r>
          </w:p>
          <w:p>
            <w:pPr>
              <w:widowControl/>
              <w:spacing w:line="240" w:lineRule="atLeast"/>
              <w:jc w:val="center"/>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管理制度</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健全性</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（2分）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 w:val="24"/>
                <w:szCs w:val="24"/>
              </w:rPr>
              <w:t>1</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部门为加强预算管理、规范财务行为而制定的管理制度是否健全完整，用以反映和考核部门预算管理制度对完成主要职责或促进事业发展的保障情况。</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评价要点：</w:t>
            </w:r>
            <w:r>
              <w:rPr>
                <w:rFonts w:hint="eastAsia" w:ascii="宋体" w:hAnsi="宋体" w:eastAsia="宋体" w:cs="宋体"/>
                <w:kern w:val="0"/>
                <w:szCs w:val="21"/>
              </w:rPr>
              <w:br w:type="textWrapping"/>
            </w:r>
            <w:r>
              <w:rPr>
                <w:rFonts w:hint="eastAsia" w:ascii="宋体" w:hAnsi="宋体" w:eastAsia="宋体" w:cs="宋体"/>
                <w:kern w:val="0"/>
                <w:szCs w:val="21"/>
              </w:rPr>
              <w:t>①是否已制定或具有预算资金管理办法、内部财务管理制度、会计核算制度等管理制度；</w:t>
            </w:r>
            <w:r>
              <w:rPr>
                <w:rFonts w:hint="eastAsia" w:ascii="宋体" w:hAnsi="宋体" w:eastAsia="宋体" w:cs="宋体"/>
                <w:kern w:val="0"/>
                <w:szCs w:val="21"/>
              </w:rPr>
              <w:br w:type="textWrapping"/>
            </w:r>
            <w:r>
              <w:rPr>
                <w:rFonts w:hint="eastAsia" w:ascii="宋体" w:hAnsi="宋体" w:eastAsia="宋体" w:cs="宋体"/>
                <w:kern w:val="0"/>
                <w:szCs w:val="21"/>
              </w:rPr>
              <w:t>②相关管理制度是否合法、合规、完整；</w:t>
            </w:r>
            <w:r>
              <w:rPr>
                <w:rFonts w:hint="eastAsia" w:ascii="宋体" w:hAnsi="宋体" w:eastAsia="宋体" w:cs="宋体"/>
                <w:kern w:val="0"/>
                <w:szCs w:val="21"/>
              </w:rPr>
              <w:br w:type="textWrapping"/>
            </w:r>
            <w:r>
              <w:rPr>
                <w:rFonts w:hint="eastAsia" w:ascii="宋体" w:hAnsi="宋体" w:eastAsia="宋体" w:cs="宋体"/>
                <w:kern w:val="0"/>
                <w:szCs w:val="21"/>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37"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资金使用</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合规性</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（1分）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1</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部门使用预算资金是否符合相关的预算财务管理制度的规定，用以反映和考核部门预算资金的规范运行情况。</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评价要点：</w:t>
            </w:r>
            <w:r>
              <w:rPr>
                <w:rFonts w:hint="eastAsia" w:ascii="宋体" w:hAnsi="宋体" w:eastAsia="宋体" w:cs="宋体"/>
                <w:kern w:val="0"/>
                <w:szCs w:val="21"/>
              </w:rPr>
              <w:br w:type="textWrapping"/>
            </w:r>
            <w:r>
              <w:rPr>
                <w:rFonts w:hint="eastAsia" w:ascii="宋体" w:hAnsi="宋体" w:eastAsia="宋体" w:cs="宋体"/>
                <w:kern w:val="0"/>
                <w:szCs w:val="21"/>
              </w:rPr>
              <w:t>①是否符合国家财经法规和财务管理制度规定以及有关预算支出管理办法的规定；</w:t>
            </w:r>
            <w:r>
              <w:rPr>
                <w:rFonts w:hint="eastAsia" w:ascii="宋体" w:hAnsi="宋体" w:eastAsia="宋体" w:cs="宋体"/>
                <w:kern w:val="0"/>
                <w:szCs w:val="21"/>
              </w:rPr>
              <w:br w:type="textWrapping"/>
            </w:r>
            <w:r>
              <w:rPr>
                <w:rFonts w:hint="eastAsia" w:ascii="宋体" w:hAnsi="宋体" w:eastAsia="宋体" w:cs="宋体"/>
                <w:kern w:val="0"/>
                <w:szCs w:val="21"/>
              </w:rPr>
              <w:t>②资金的拨付是否有完整的审批程序和手续；</w:t>
            </w:r>
            <w:r>
              <w:rPr>
                <w:rFonts w:hint="eastAsia" w:ascii="宋体" w:hAnsi="宋体" w:eastAsia="宋体" w:cs="宋体"/>
                <w:kern w:val="0"/>
                <w:szCs w:val="21"/>
              </w:rPr>
              <w:br w:type="textWrapping"/>
            </w:r>
            <w:r>
              <w:rPr>
                <w:rFonts w:hint="eastAsia" w:ascii="宋体" w:hAnsi="宋体" w:eastAsia="宋体" w:cs="宋体"/>
                <w:kern w:val="0"/>
                <w:szCs w:val="21"/>
              </w:rPr>
              <w:t>③预算支出的重大开支是否经过评估论证；</w:t>
            </w:r>
            <w:r>
              <w:rPr>
                <w:rFonts w:hint="eastAsia" w:ascii="宋体" w:hAnsi="宋体" w:eastAsia="宋体" w:cs="宋体"/>
                <w:kern w:val="0"/>
                <w:szCs w:val="21"/>
              </w:rPr>
              <w:br w:type="textWrapping"/>
            </w:r>
            <w:r>
              <w:rPr>
                <w:rFonts w:hint="eastAsia" w:ascii="宋体" w:hAnsi="宋体" w:eastAsia="宋体" w:cs="宋体"/>
                <w:kern w:val="0"/>
                <w:szCs w:val="21"/>
              </w:rPr>
              <w:t>④是否符合部门预算批复的用途；</w:t>
            </w:r>
            <w:r>
              <w:rPr>
                <w:rFonts w:hint="eastAsia" w:ascii="宋体" w:hAnsi="宋体" w:eastAsia="宋体" w:cs="宋体"/>
                <w:kern w:val="0"/>
                <w:szCs w:val="21"/>
              </w:rPr>
              <w:br w:type="textWrapping"/>
            </w:r>
            <w:r>
              <w:rPr>
                <w:rFonts w:hint="eastAsia" w:ascii="宋体" w:hAnsi="宋体" w:eastAsia="宋体" w:cs="宋体"/>
                <w:kern w:val="0"/>
                <w:szCs w:val="21"/>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72"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预决算信</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息公开性（1分）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1</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部门是否按照政府信息公开有关规定公开相关预决算信息，用以反映和考核部门预决算管理的公开透明情况。</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评价要点：</w:t>
            </w:r>
            <w:r>
              <w:rPr>
                <w:rFonts w:hint="eastAsia" w:ascii="宋体" w:hAnsi="宋体" w:eastAsia="宋体" w:cs="宋体"/>
                <w:kern w:val="0"/>
                <w:szCs w:val="21"/>
              </w:rPr>
              <w:br w:type="textWrapping"/>
            </w:r>
            <w:r>
              <w:rPr>
                <w:rFonts w:hint="eastAsia" w:ascii="宋体" w:hAnsi="宋体" w:eastAsia="宋体" w:cs="宋体"/>
                <w:kern w:val="0"/>
                <w:szCs w:val="21"/>
              </w:rPr>
              <w:t>①是否按规定内容公开预决算信息；</w:t>
            </w:r>
            <w:r>
              <w:rPr>
                <w:rFonts w:hint="eastAsia" w:ascii="宋体" w:hAnsi="宋体" w:eastAsia="宋体" w:cs="宋体"/>
                <w:kern w:val="0"/>
                <w:szCs w:val="21"/>
              </w:rPr>
              <w:br w:type="textWrapping"/>
            </w:r>
            <w:r>
              <w:rPr>
                <w:rFonts w:hint="eastAsia" w:ascii="宋体" w:hAnsi="宋体" w:eastAsia="宋体" w:cs="宋体"/>
                <w:kern w:val="0"/>
                <w:szCs w:val="21"/>
              </w:rPr>
              <w:t>②是否按规定时限公开预决算信息。</w:t>
            </w:r>
            <w:r>
              <w:rPr>
                <w:rFonts w:hint="eastAsia" w:ascii="宋体" w:hAnsi="宋体" w:eastAsia="宋体" w:cs="宋体"/>
                <w:kern w:val="0"/>
                <w:szCs w:val="21"/>
              </w:rPr>
              <w:br w:type="textWrapping"/>
            </w:r>
            <w:r>
              <w:rPr>
                <w:rFonts w:hint="eastAsia" w:ascii="宋体" w:hAnsi="宋体" w:eastAsia="宋体" w:cs="宋体"/>
                <w:kern w:val="0"/>
                <w:szCs w:val="21"/>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7"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基础信息</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完善性</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（1分）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1</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部门基础信息是否完善，用以反映和考核基础信息对预算管理工作的支撑情况。</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评价要点：</w:t>
            </w:r>
            <w:r>
              <w:rPr>
                <w:rFonts w:hint="eastAsia" w:ascii="宋体" w:hAnsi="宋体" w:eastAsia="宋体" w:cs="宋体"/>
                <w:kern w:val="0"/>
                <w:szCs w:val="21"/>
              </w:rPr>
              <w:br w:type="textWrapping"/>
            </w:r>
            <w:r>
              <w:rPr>
                <w:rFonts w:hint="eastAsia" w:ascii="宋体" w:hAnsi="宋体" w:eastAsia="宋体" w:cs="宋体"/>
                <w:kern w:val="0"/>
                <w:szCs w:val="21"/>
              </w:rPr>
              <w:t>①基础数据信息和会计信息资料是否真实；</w:t>
            </w:r>
            <w:r>
              <w:rPr>
                <w:rFonts w:hint="eastAsia" w:ascii="宋体" w:hAnsi="宋体" w:eastAsia="宋体" w:cs="宋体"/>
                <w:kern w:val="0"/>
                <w:szCs w:val="21"/>
              </w:rPr>
              <w:br w:type="textWrapping"/>
            </w:r>
            <w:r>
              <w:rPr>
                <w:rFonts w:hint="eastAsia" w:ascii="宋体" w:hAnsi="宋体" w:eastAsia="宋体" w:cs="宋体"/>
                <w:kern w:val="0"/>
                <w:szCs w:val="21"/>
              </w:rPr>
              <w:t>②基础数据信息和会计信息资料是否完整；</w:t>
            </w:r>
            <w:r>
              <w:rPr>
                <w:rFonts w:hint="eastAsia" w:ascii="宋体" w:hAnsi="宋体" w:eastAsia="宋体" w:cs="宋体"/>
                <w:kern w:val="0"/>
                <w:szCs w:val="21"/>
              </w:rPr>
              <w:br w:type="textWrapping"/>
            </w:r>
            <w:r>
              <w:rPr>
                <w:rFonts w:hint="eastAsia" w:ascii="宋体" w:hAnsi="宋体" w:eastAsia="宋体" w:cs="宋体"/>
                <w:kern w:val="0"/>
                <w:szCs w:val="21"/>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9"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restart"/>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资产</w:t>
            </w:r>
            <w:r>
              <w:rPr>
                <w:rFonts w:hint="eastAsia" w:ascii="宋体" w:hAnsi="宋体" w:eastAsia="宋体" w:cs="宋体"/>
                <w:kern w:val="0"/>
                <w:szCs w:val="21"/>
              </w:rPr>
              <w:br w:type="textWrapping"/>
            </w:r>
            <w:r>
              <w:rPr>
                <w:rFonts w:hint="eastAsia" w:ascii="宋体" w:hAnsi="宋体" w:eastAsia="宋体" w:cs="宋体"/>
                <w:kern w:val="0"/>
                <w:szCs w:val="21"/>
              </w:rPr>
              <w:t>管理（5分）</w:t>
            </w: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管理制度</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健全性</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（2分）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2</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部门为加强资产管理、规范资产管理行为而制定的管理制度是否健全完整，用以反映和考核部门资产管理制度对完成主要职责或促进社会发展的保障情况。</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评价要点：</w:t>
            </w:r>
            <w:r>
              <w:rPr>
                <w:rFonts w:hint="eastAsia" w:ascii="宋体" w:hAnsi="宋体" w:eastAsia="宋体" w:cs="宋体"/>
                <w:kern w:val="0"/>
                <w:szCs w:val="21"/>
              </w:rPr>
              <w:br w:type="textWrapping"/>
            </w:r>
            <w:r>
              <w:rPr>
                <w:rFonts w:hint="eastAsia" w:ascii="宋体" w:hAnsi="宋体" w:eastAsia="宋体" w:cs="宋体"/>
                <w:kern w:val="0"/>
                <w:szCs w:val="21"/>
              </w:rPr>
              <w:t>①是否已制定或具有资产管理制度；           ②相关资金管理制度是否合法、合规、完整；</w:t>
            </w:r>
            <w:r>
              <w:rPr>
                <w:rFonts w:hint="eastAsia" w:ascii="宋体" w:hAnsi="宋体" w:eastAsia="宋体" w:cs="宋体"/>
                <w:kern w:val="0"/>
                <w:szCs w:val="21"/>
              </w:rPr>
              <w:br w:type="textWrapping"/>
            </w:r>
            <w:r>
              <w:rPr>
                <w:rFonts w:hint="eastAsia" w:ascii="宋体" w:hAnsi="宋体" w:eastAsia="宋体" w:cs="宋体"/>
                <w:kern w:val="0"/>
                <w:szCs w:val="21"/>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87"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left"/>
              <w:rPr>
                <w:rFonts w:ascii="宋体" w:hAnsi="宋体" w:eastAsia="宋体" w:cs="宋体"/>
                <w:kern w:val="0"/>
                <w:sz w:val="24"/>
                <w:szCs w:val="24"/>
              </w:rPr>
            </w:pPr>
            <w:r>
              <w:rPr>
                <w:rFonts w:hint="eastAsia" w:ascii="宋体" w:hAnsi="宋体" w:eastAsia="宋体" w:cs="宋体"/>
                <w:kern w:val="0"/>
                <w:szCs w:val="21"/>
              </w:rPr>
              <w:t>资产管理</w:t>
            </w:r>
          </w:p>
          <w:p>
            <w:pPr>
              <w:widowControl/>
              <w:spacing w:line="240" w:lineRule="atLeast"/>
              <w:jc w:val="left"/>
              <w:rPr>
                <w:rFonts w:ascii="宋体" w:hAnsi="宋体" w:eastAsia="宋体" w:cs="宋体"/>
                <w:kern w:val="0"/>
                <w:szCs w:val="21"/>
              </w:rPr>
            </w:pPr>
            <w:r>
              <w:rPr>
                <w:rFonts w:hint="eastAsia" w:ascii="宋体" w:hAnsi="宋体" w:eastAsia="宋体" w:cs="宋体"/>
                <w:kern w:val="0"/>
                <w:szCs w:val="21"/>
              </w:rPr>
              <w:t>安全性</w:t>
            </w:r>
          </w:p>
          <w:p>
            <w:pPr>
              <w:widowControl/>
              <w:spacing w:line="240" w:lineRule="atLeast"/>
              <w:jc w:val="left"/>
              <w:rPr>
                <w:rFonts w:ascii="宋体" w:hAnsi="宋体" w:eastAsia="宋体" w:cs="宋体"/>
                <w:kern w:val="0"/>
                <w:sz w:val="24"/>
                <w:szCs w:val="24"/>
              </w:rPr>
            </w:pPr>
            <w:r>
              <w:rPr>
                <w:rFonts w:hint="eastAsia" w:ascii="宋体" w:hAnsi="宋体" w:eastAsia="宋体" w:cs="宋体"/>
                <w:kern w:val="0"/>
                <w:szCs w:val="21"/>
              </w:rPr>
              <w:t>（2分）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2</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部门的资产是否保存完整、使用合规、配置合理、处置规范、收入及时足额上缴，用以反映和考核部门资产安全运行情况。</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评价要点：</w:t>
            </w:r>
            <w:r>
              <w:rPr>
                <w:rFonts w:hint="eastAsia" w:ascii="宋体" w:hAnsi="宋体" w:eastAsia="宋体" w:cs="宋体"/>
                <w:kern w:val="0"/>
                <w:szCs w:val="21"/>
              </w:rPr>
              <w:br w:type="textWrapping"/>
            </w:r>
            <w:r>
              <w:rPr>
                <w:rFonts w:hint="eastAsia" w:ascii="宋体" w:hAnsi="宋体" w:eastAsia="宋体" w:cs="宋体"/>
                <w:kern w:val="0"/>
                <w:szCs w:val="21"/>
              </w:rPr>
              <w:t>①资产保存是否完整；</w:t>
            </w:r>
            <w:r>
              <w:rPr>
                <w:rFonts w:hint="eastAsia" w:ascii="宋体" w:hAnsi="宋体" w:eastAsia="宋体" w:cs="宋体"/>
                <w:kern w:val="0"/>
                <w:szCs w:val="21"/>
              </w:rPr>
              <w:br w:type="textWrapping"/>
            </w:r>
            <w:r>
              <w:rPr>
                <w:rFonts w:hint="eastAsia" w:ascii="宋体" w:hAnsi="宋体" w:eastAsia="宋体" w:cs="宋体"/>
                <w:kern w:val="0"/>
                <w:szCs w:val="21"/>
              </w:rPr>
              <w:t>②资产配置是否合理；</w:t>
            </w:r>
            <w:r>
              <w:rPr>
                <w:rFonts w:hint="eastAsia" w:ascii="宋体" w:hAnsi="宋体" w:eastAsia="宋体" w:cs="宋体"/>
                <w:kern w:val="0"/>
                <w:szCs w:val="21"/>
              </w:rPr>
              <w:br w:type="textWrapping"/>
            </w:r>
            <w:r>
              <w:rPr>
                <w:rFonts w:hint="eastAsia" w:ascii="宋体" w:hAnsi="宋体" w:eastAsia="宋体" w:cs="宋体"/>
                <w:kern w:val="0"/>
                <w:szCs w:val="21"/>
              </w:rPr>
              <w:t>③资产处置是否规范；</w:t>
            </w:r>
            <w:r>
              <w:rPr>
                <w:rFonts w:hint="eastAsia" w:ascii="宋体" w:hAnsi="宋体" w:eastAsia="宋体" w:cs="宋体"/>
                <w:kern w:val="0"/>
                <w:szCs w:val="21"/>
              </w:rPr>
              <w:br w:type="textWrapping"/>
            </w:r>
            <w:r>
              <w:rPr>
                <w:rFonts w:hint="eastAsia" w:ascii="宋体" w:hAnsi="宋体" w:eastAsia="宋体" w:cs="宋体"/>
                <w:kern w:val="0"/>
                <w:szCs w:val="21"/>
              </w:rPr>
              <w:t>④资产账务管理是否合规，是否帐实相符；</w:t>
            </w:r>
            <w:r>
              <w:rPr>
                <w:rFonts w:hint="eastAsia" w:ascii="宋体" w:hAnsi="宋体" w:eastAsia="宋体" w:cs="宋体"/>
                <w:kern w:val="0"/>
                <w:szCs w:val="21"/>
              </w:rPr>
              <w:br w:type="textWrapping"/>
            </w:r>
            <w:r>
              <w:rPr>
                <w:rFonts w:hint="eastAsia" w:ascii="宋体" w:hAnsi="宋体" w:eastAsia="宋体" w:cs="宋体"/>
                <w:kern w:val="0"/>
                <w:szCs w:val="21"/>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5"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固定资产</w:t>
            </w:r>
          </w:p>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利用率</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（1分）</w:t>
            </w:r>
          </w:p>
        </w:tc>
        <w:tc>
          <w:tcPr>
            <w:tcW w:w="771" w:type="dxa"/>
            <w:tcMar>
              <w:top w:w="0" w:type="dxa"/>
              <w:left w:w="0" w:type="dxa"/>
              <w:bottom w:w="0" w:type="dxa"/>
              <w:right w:w="0" w:type="dxa"/>
            </w:tcMar>
          </w:tcPr>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1</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部门实际在用固定资产总额与所有固定资产总额的比率，用以反映和考核部门固定资产使用效率程度。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71" w:hRule="atLeast"/>
          <w:jc w:val="center"/>
        </w:trPr>
        <w:tc>
          <w:tcPr>
            <w:tcW w:w="513" w:type="dxa"/>
            <w:vMerge w:val="restart"/>
            <w:noWrap/>
            <w:tcMar>
              <w:top w:w="10" w:type="dxa"/>
              <w:left w:w="10" w:type="dxa"/>
              <w:bottom w:w="0" w:type="dxa"/>
              <w:right w:w="10" w:type="dxa"/>
            </w:tcMar>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产出</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（30分）</w:t>
            </w:r>
          </w:p>
        </w:tc>
        <w:tc>
          <w:tcPr>
            <w:tcW w:w="1188" w:type="dxa"/>
            <w:vMerge w:val="restart"/>
            <w:tcMar>
              <w:top w:w="10" w:type="dxa"/>
              <w:left w:w="10" w:type="dxa"/>
              <w:bottom w:w="0" w:type="dxa"/>
              <w:right w:w="10" w:type="dxa"/>
            </w:tcMar>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职责</w:t>
            </w:r>
            <w:r>
              <w:rPr>
                <w:rFonts w:hint="eastAsia" w:ascii="宋体" w:hAnsi="宋体" w:eastAsia="宋体" w:cs="宋体"/>
                <w:kern w:val="0"/>
                <w:szCs w:val="21"/>
              </w:rPr>
              <w:br w:type="textWrapping"/>
            </w:r>
            <w:r>
              <w:rPr>
                <w:rFonts w:hint="eastAsia" w:ascii="宋体" w:hAnsi="宋体" w:eastAsia="宋体" w:cs="宋体"/>
                <w:kern w:val="0"/>
                <w:szCs w:val="21"/>
              </w:rPr>
              <w:t>履行</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（30分）</w:t>
            </w: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实际</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完成率（8分）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8</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部门履行职责而实际完成工作数与计划工作数的比率，用以反映和考核部门履职工作任务目标的实现程度。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实际完成率=（实际完成工作数/计划工作数）×100%。</w:t>
            </w:r>
            <w:r>
              <w:rPr>
                <w:rFonts w:hint="eastAsia" w:ascii="宋体" w:hAnsi="宋体" w:eastAsia="宋体" w:cs="宋体"/>
                <w:kern w:val="0"/>
                <w:szCs w:val="21"/>
              </w:rPr>
              <w:br w:type="textWrapping"/>
            </w:r>
            <w:r>
              <w:rPr>
                <w:rFonts w:hint="eastAsia" w:ascii="宋体" w:hAnsi="宋体" w:eastAsia="宋体" w:cs="宋体"/>
                <w:kern w:val="0"/>
                <w:szCs w:val="21"/>
              </w:rPr>
              <w:t>实际完成工作数：一定时期（年度或规划期）内部门实际完成工作任务的数量。</w:t>
            </w:r>
            <w:r>
              <w:rPr>
                <w:rFonts w:hint="eastAsia" w:ascii="宋体" w:hAnsi="宋体" w:eastAsia="宋体" w:cs="宋体"/>
                <w:kern w:val="0"/>
                <w:szCs w:val="21"/>
              </w:rPr>
              <w:br w:type="textWrapping"/>
            </w:r>
            <w:r>
              <w:rPr>
                <w:rFonts w:hint="eastAsia" w:ascii="宋体" w:hAnsi="宋体" w:eastAsia="宋体" w:cs="宋体"/>
                <w:kern w:val="0"/>
                <w:szCs w:val="21"/>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3"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完成</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及时率（4分）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4</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部门在规定时限内及时完成的实际工作数与计划工作数的比率,用以反映和考核部门履职时效目标的实现程度。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完成及时率=（及时完成实际工作数/计划工作数）×100%。</w:t>
            </w:r>
            <w:r>
              <w:rPr>
                <w:rFonts w:hint="eastAsia" w:ascii="宋体" w:hAnsi="宋体" w:eastAsia="宋体" w:cs="宋体"/>
                <w:kern w:val="0"/>
                <w:szCs w:val="21"/>
              </w:rPr>
              <w:br w:type="textWrapping"/>
            </w:r>
            <w:r>
              <w:rPr>
                <w:rFonts w:hint="eastAsia" w:ascii="宋体" w:hAnsi="宋体" w:eastAsia="宋体" w:cs="宋体"/>
                <w:kern w:val="0"/>
                <w:szCs w:val="21"/>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5"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质量</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达标率（8分）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8</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达到质量标准（绩效标准值）的实际工作数与计划工作数的比率,用以反映和考核部门履职质量目标的实现程度。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质量达标率=（质量达标实际工作数/计划工作数）×100%。</w:t>
            </w:r>
            <w:r>
              <w:rPr>
                <w:rFonts w:hint="eastAsia" w:ascii="宋体" w:hAnsi="宋体" w:eastAsia="宋体" w:cs="宋体"/>
                <w:kern w:val="0"/>
                <w:szCs w:val="21"/>
              </w:rPr>
              <w:br w:type="textWrapping"/>
            </w:r>
            <w:r>
              <w:rPr>
                <w:rFonts w:hint="eastAsia" w:ascii="宋体" w:hAnsi="宋体" w:eastAsia="宋体" w:cs="宋体"/>
                <w:kern w:val="0"/>
                <w:szCs w:val="21"/>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5"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重点工作</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办结率（10分）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9</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部门年度重点工作实际完成数与交办或下达数的比率，用以反映部门对重点工作的办理落实程度。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重点工作办结率=（重点工作实际完成数/交办或下达数）×100%。</w:t>
            </w:r>
            <w:r>
              <w:rPr>
                <w:rFonts w:hint="eastAsia" w:ascii="宋体" w:hAnsi="宋体" w:eastAsia="宋体" w:cs="宋体"/>
                <w:kern w:val="0"/>
                <w:szCs w:val="21"/>
              </w:rPr>
              <w:br w:type="textWrapping"/>
            </w:r>
            <w:r>
              <w:rPr>
                <w:rFonts w:hint="eastAsia" w:ascii="宋体" w:hAnsi="宋体" w:eastAsia="宋体" w:cs="宋体"/>
                <w:kern w:val="0"/>
                <w:szCs w:val="21"/>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9" w:hRule="atLeast"/>
          <w:jc w:val="center"/>
        </w:trPr>
        <w:tc>
          <w:tcPr>
            <w:tcW w:w="513" w:type="dxa"/>
            <w:vMerge w:val="restart"/>
            <w:noWrap/>
            <w:tcMar>
              <w:top w:w="10" w:type="dxa"/>
              <w:left w:w="10" w:type="dxa"/>
              <w:bottom w:w="0" w:type="dxa"/>
              <w:right w:w="10" w:type="dxa"/>
            </w:tcMar>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效果</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（20分）</w:t>
            </w:r>
          </w:p>
        </w:tc>
        <w:tc>
          <w:tcPr>
            <w:tcW w:w="1188" w:type="dxa"/>
            <w:vMerge w:val="restart"/>
            <w:tcMar>
              <w:top w:w="10" w:type="dxa"/>
              <w:left w:w="10" w:type="dxa"/>
              <w:bottom w:w="0" w:type="dxa"/>
              <w:right w:w="10" w:type="dxa"/>
            </w:tcMar>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履职</w:t>
            </w:r>
            <w:r>
              <w:rPr>
                <w:rFonts w:hint="eastAsia" w:ascii="宋体" w:hAnsi="宋体" w:eastAsia="宋体" w:cs="宋体"/>
                <w:kern w:val="0"/>
                <w:szCs w:val="21"/>
              </w:rPr>
              <w:br w:type="textWrapping"/>
            </w:r>
            <w:r>
              <w:rPr>
                <w:rFonts w:hint="eastAsia" w:ascii="宋体" w:hAnsi="宋体" w:eastAsia="宋体" w:cs="宋体"/>
                <w:kern w:val="0"/>
                <w:szCs w:val="21"/>
              </w:rPr>
              <w:t>效益</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（20分）</w:t>
            </w: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经济效益（5分）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5</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部门履行职责对经济发展所带来的直接或间接影响。</w:t>
            </w:r>
          </w:p>
        </w:tc>
        <w:tc>
          <w:tcPr>
            <w:tcW w:w="4136" w:type="dxa"/>
            <w:vMerge w:val="restart"/>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9" w:hRule="atLeast"/>
          <w:jc w:val="center"/>
        </w:trPr>
        <w:tc>
          <w:tcPr>
            <w:tcW w:w="513" w:type="dxa"/>
            <w:vMerge w:val="continue"/>
            <w:vAlign w:val="center"/>
          </w:tcPr>
          <w:p>
            <w:pPr>
              <w:widowControl/>
              <w:jc w:val="left"/>
              <w:rPr>
                <w:rFonts w:ascii="宋体" w:hAnsi="宋体" w:eastAsia="宋体" w:cs="宋体"/>
                <w:kern w:val="0"/>
                <w:sz w:val="24"/>
                <w:szCs w:val="24"/>
              </w:rPr>
            </w:pPr>
          </w:p>
        </w:tc>
        <w:tc>
          <w:tcPr>
            <w:tcW w:w="1188" w:type="dxa"/>
            <w:vMerge w:val="continue"/>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社会效益（5分）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5</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部门履行职责对社会发展所带来的直接或间接影响。</w:t>
            </w:r>
          </w:p>
        </w:tc>
        <w:tc>
          <w:tcPr>
            <w:tcW w:w="4136"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6" w:hRule="atLeast"/>
          <w:jc w:val="center"/>
        </w:trPr>
        <w:tc>
          <w:tcPr>
            <w:tcW w:w="513" w:type="dxa"/>
            <w:vAlign w:val="center"/>
          </w:tcPr>
          <w:p>
            <w:pPr>
              <w:widowControl/>
              <w:jc w:val="left"/>
              <w:rPr>
                <w:rFonts w:ascii="宋体" w:hAnsi="宋体" w:eastAsia="宋体" w:cs="宋体"/>
                <w:kern w:val="0"/>
                <w:sz w:val="24"/>
                <w:szCs w:val="24"/>
              </w:rPr>
            </w:pPr>
          </w:p>
        </w:tc>
        <w:tc>
          <w:tcPr>
            <w:tcW w:w="1188" w:type="dxa"/>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生态效益（5分）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5</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部门履行职责对生态环境所带来的直接或间接影响。</w:t>
            </w:r>
          </w:p>
        </w:tc>
        <w:tc>
          <w:tcPr>
            <w:tcW w:w="4136" w:type="dxa"/>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3" w:hRule="atLeast"/>
          <w:jc w:val="center"/>
        </w:trPr>
        <w:tc>
          <w:tcPr>
            <w:tcW w:w="513" w:type="dxa"/>
            <w:vAlign w:val="center"/>
          </w:tcPr>
          <w:p>
            <w:pPr>
              <w:widowControl/>
              <w:jc w:val="left"/>
              <w:rPr>
                <w:rFonts w:ascii="宋体" w:hAnsi="宋体" w:eastAsia="宋体" w:cs="宋体"/>
                <w:kern w:val="0"/>
                <w:sz w:val="24"/>
                <w:szCs w:val="24"/>
              </w:rPr>
            </w:pPr>
          </w:p>
        </w:tc>
        <w:tc>
          <w:tcPr>
            <w:tcW w:w="1188" w:type="dxa"/>
            <w:vAlign w:val="center"/>
          </w:tcPr>
          <w:p>
            <w:pPr>
              <w:widowControl/>
              <w:jc w:val="left"/>
              <w:rPr>
                <w:rFonts w:ascii="宋体" w:hAnsi="宋体" w:eastAsia="宋体" w:cs="宋体"/>
                <w:kern w:val="0"/>
                <w:sz w:val="24"/>
                <w:szCs w:val="24"/>
              </w:rPr>
            </w:pP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社会公众</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或服务对</w:t>
            </w:r>
          </w:p>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象满意度（5分）</w:t>
            </w:r>
          </w:p>
        </w:tc>
        <w:tc>
          <w:tcPr>
            <w:tcW w:w="771" w:type="dxa"/>
            <w:tcMar>
              <w:top w:w="0" w:type="dxa"/>
              <w:left w:w="0" w:type="dxa"/>
              <w:bottom w:w="0" w:type="dxa"/>
              <w:right w:w="0" w:type="dxa"/>
            </w:tcMa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5</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社会公众或部门的服务对象对部门履职效果的满意程度。</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2" w:hRule="atLeast"/>
          <w:jc w:val="center"/>
        </w:trPr>
        <w:tc>
          <w:tcPr>
            <w:tcW w:w="513" w:type="dxa"/>
            <w:tcMar>
              <w:top w:w="0" w:type="dxa"/>
              <w:left w:w="0" w:type="dxa"/>
              <w:bottom w:w="0" w:type="dxa"/>
              <w:right w:w="0" w:type="dxa"/>
            </w:tcMar>
            <w:vAlign w:val="center"/>
          </w:tcPr>
          <w:p>
            <w:pPr>
              <w:widowControl/>
              <w:spacing w:line="240" w:lineRule="atLeast"/>
              <w:jc w:val="left"/>
              <w:rPr>
                <w:rFonts w:ascii="宋体" w:hAnsi="宋体" w:eastAsia="宋体" w:cs="宋体"/>
                <w:kern w:val="0"/>
                <w:sz w:val="24"/>
                <w:szCs w:val="24"/>
              </w:rPr>
            </w:pPr>
            <w:r>
              <w:rPr>
                <w:rFonts w:hint="eastAsia" w:ascii="宋体" w:hAnsi="宋体" w:eastAsia="宋体" w:cs="宋体"/>
                <w:kern w:val="0"/>
                <w:szCs w:val="21"/>
              </w:rPr>
              <w:t>总分</w:t>
            </w:r>
          </w:p>
        </w:tc>
        <w:tc>
          <w:tcPr>
            <w:tcW w:w="1188" w:type="dxa"/>
            <w:tcMar>
              <w:top w:w="0" w:type="dxa"/>
              <w:left w:w="0" w:type="dxa"/>
              <w:bottom w:w="0" w:type="dxa"/>
              <w:right w:w="0" w:type="dxa"/>
            </w:tcMar>
            <w:vAlign w:val="center"/>
          </w:tcPr>
          <w:p>
            <w:pPr>
              <w:widowControl/>
              <w:spacing w:line="240" w:lineRule="atLeast"/>
              <w:jc w:val="left"/>
              <w:rPr>
                <w:rFonts w:ascii="宋体" w:hAnsi="宋体" w:eastAsia="宋体" w:cs="宋体"/>
                <w:kern w:val="0"/>
                <w:sz w:val="24"/>
                <w:szCs w:val="24"/>
              </w:rPr>
            </w:pPr>
            <w:r>
              <w:rPr>
                <w:rFonts w:hint="eastAsia" w:ascii="宋体" w:hAnsi="宋体" w:eastAsia="宋体" w:cs="宋体"/>
                <w:kern w:val="0"/>
                <w:szCs w:val="21"/>
              </w:rPr>
              <w:t> </w:t>
            </w:r>
          </w:p>
        </w:tc>
        <w:tc>
          <w:tcPr>
            <w:tcW w:w="922" w:type="dxa"/>
            <w:tcMar>
              <w:top w:w="10" w:type="dxa"/>
              <w:left w:w="10" w:type="dxa"/>
              <w:bottom w:w="0" w:type="dxa"/>
              <w:right w:w="10"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Cs w:val="21"/>
              </w:rPr>
              <w:t> </w:t>
            </w:r>
          </w:p>
        </w:tc>
        <w:tc>
          <w:tcPr>
            <w:tcW w:w="771" w:type="dxa"/>
            <w:tcMar>
              <w:top w:w="0" w:type="dxa"/>
              <w:left w:w="0" w:type="dxa"/>
              <w:bottom w:w="0" w:type="dxa"/>
              <w:right w:w="0" w:type="dxa"/>
            </w:tcMar>
          </w:tcPr>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w:t>
            </w:r>
          </w:p>
          <w:p>
            <w:pPr>
              <w:widowControl/>
              <w:spacing w:line="240" w:lineRule="atLeast"/>
              <w:ind w:right="105"/>
              <w:jc w:val="left"/>
              <w:rPr>
                <w:rFonts w:ascii="宋体" w:hAnsi="宋体" w:eastAsia="宋体" w:cs="宋体"/>
                <w:kern w:val="0"/>
                <w:sz w:val="24"/>
                <w:szCs w:val="24"/>
              </w:rPr>
            </w:pPr>
            <w:r>
              <w:rPr>
                <w:rFonts w:hint="eastAsia" w:ascii="宋体" w:hAnsi="宋体" w:eastAsia="宋体" w:cs="宋体"/>
                <w:kern w:val="0"/>
                <w:szCs w:val="21"/>
              </w:rPr>
              <w:t>  88</w:t>
            </w:r>
          </w:p>
        </w:tc>
        <w:tc>
          <w:tcPr>
            <w:tcW w:w="3097" w:type="dxa"/>
            <w:tcMar>
              <w:top w:w="10" w:type="dxa"/>
              <w:left w:w="10" w:type="dxa"/>
              <w:bottom w:w="0" w:type="dxa"/>
              <w:right w:w="10" w:type="dxa"/>
            </w:tcMar>
            <w:vAlign w:val="center"/>
          </w:tcPr>
          <w:p>
            <w:pPr>
              <w:widowControl/>
              <w:spacing w:line="240" w:lineRule="atLeast"/>
              <w:ind w:left="105" w:right="105" w:firstLine="96"/>
              <w:jc w:val="left"/>
              <w:rPr>
                <w:rFonts w:ascii="宋体" w:hAnsi="宋体" w:eastAsia="宋体" w:cs="宋体"/>
                <w:kern w:val="0"/>
                <w:sz w:val="24"/>
                <w:szCs w:val="24"/>
              </w:rPr>
            </w:pPr>
            <w:r>
              <w:rPr>
                <w:rFonts w:hint="eastAsia" w:ascii="宋体" w:hAnsi="宋体" w:eastAsia="宋体" w:cs="宋体"/>
                <w:kern w:val="0"/>
                <w:szCs w:val="21"/>
              </w:rPr>
              <w:t> </w:t>
            </w:r>
          </w:p>
        </w:tc>
        <w:tc>
          <w:tcPr>
            <w:tcW w:w="4136" w:type="dxa"/>
            <w:tcMar>
              <w:top w:w="10" w:type="dxa"/>
              <w:left w:w="10" w:type="dxa"/>
              <w:bottom w:w="0" w:type="dxa"/>
              <w:right w:w="10" w:type="dxa"/>
            </w:tcMar>
            <w:vAlign w:val="center"/>
          </w:tcPr>
          <w:p>
            <w:pPr>
              <w:widowControl/>
              <w:spacing w:line="240" w:lineRule="atLeast"/>
              <w:ind w:left="105" w:right="105"/>
              <w:jc w:val="left"/>
              <w:rPr>
                <w:rFonts w:ascii="宋体" w:hAnsi="宋体" w:eastAsia="宋体" w:cs="宋体"/>
                <w:kern w:val="0"/>
                <w:sz w:val="24"/>
                <w:szCs w:val="24"/>
              </w:rPr>
            </w:pPr>
            <w:r>
              <w:rPr>
                <w:rFonts w:hint="eastAsia" w:ascii="宋体" w:hAnsi="宋体" w:eastAsia="宋体" w:cs="宋体"/>
                <w:kern w:val="0"/>
                <w:szCs w:val="21"/>
              </w:rPr>
              <w:t> </w:t>
            </w:r>
          </w:p>
        </w:tc>
      </w:tr>
    </w:tbl>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6393F4"/>
    <w:multiLevelType w:val="singleLevel"/>
    <w:tmpl w:val="746393F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D0"/>
    <w:rsid w:val="00037CD0"/>
    <w:rsid w:val="001C6E23"/>
    <w:rsid w:val="00724C08"/>
    <w:rsid w:val="00894B79"/>
    <w:rsid w:val="00A103DE"/>
    <w:rsid w:val="00BC27C7"/>
    <w:rsid w:val="00C6055A"/>
    <w:rsid w:val="00C9366A"/>
    <w:rsid w:val="1EF44885"/>
    <w:rsid w:val="1FE66327"/>
    <w:rsid w:val="419A6016"/>
    <w:rsid w:val="45F44E53"/>
    <w:rsid w:val="49431839"/>
    <w:rsid w:val="49F5605E"/>
    <w:rsid w:val="4C3A7900"/>
    <w:rsid w:val="58BB7AC7"/>
    <w:rsid w:val="5F36113B"/>
    <w:rsid w:val="62ED2D2E"/>
    <w:rsid w:val="655E6D2C"/>
    <w:rsid w:val="6E0D47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7">
    <w:name w:val="页脚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4880</Words>
  <Characters>5030</Characters>
  <Lines>40</Lines>
  <Paragraphs>11</Paragraphs>
  <TotalTime>52</TotalTime>
  <ScaleCrop>false</ScaleCrop>
  <LinksUpToDate>false</LinksUpToDate>
  <CharactersWithSpaces>5222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2022-05-13T11:25:00Z</dcterms:created>
  <dc:creator>xb21cn</dc:creator>
  <cp:lastModifiedBy>阳芷依</cp:lastModifiedBy>
  <dcterms:modified xsi:type="dcterms:W3CDTF">2023-05-30T07:02:32Z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44F29F0E21314D569C669B494994E64A_13</vt:lpwstr>
  </property>
</Properties>
</file>