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rPr>
          <w:rFonts w:ascii="黑体" w:hAnsi="黑体" w:eastAsia="黑体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440" w:lineRule="atLeast"/>
        <w:jc w:val="center"/>
        <w:rPr>
          <w:rFonts w:ascii="黑体" w:hAnsi="黑体" w:eastAsia="黑体" w:cs="方正小标宋简体"/>
          <w:b/>
          <w:color w:val="333333"/>
          <w:sz w:val="48"/>
          <w:szCs w:val="48"/>
          <w:shd w:val="clear" w:color="auto" w:fill="FFFFFF"/>
        </w:rPr>
      </w:pPr>
      <w:r>
        <w:rPr>
          <w:rFonts w:ascii="黑体" w:hAnsi="黑体" w:eastAsia="黑体" w:cs="方正小标宋简体"/>
          <w:b/>
          <w:color w:val="333333"/>
          <w:sz w:val="48"/>
          <w:szCs w:val="48"/>
          <w:shd w:val="clear" w:color="auto" w:fill="FFFFFF"/>
        </w:rPr>
        <w:t>益阳市赫山区国库集中支付核算中心</w:t>
      </w:r>
    </w:p>
    <w:p>
      <w:pPr>
        <w:spacing w:line="500" w:lineRule="exact"/>
        <w:ind w:firstLine="964" w:firstLineChars="2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ascii="黑体" w:hAnsi="黑体" w:eastAsia="黑体" w:cs="方正小标宋_GBK"/>
          <w:b/>
          <w:sz w:val="48"/>
          <w:szCs w:val="48"/>
        </w:rPr>
        <w:t>部门整体支出绩效评价报告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pStyle w:val="34"/>
        <w:widowControl/>
        <w:spacing w:line="560" w:lineRule="exact"/>
        <w:ind w:left="64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>
      <w:pPr>
        <w:spacing w:line="560" w:lineRule="exact"/>
        <w:ind w:firstLine="750" w:firstLineChars="250"/>
        <w:jc w:val="left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/>
          <w:kern w:val="0"/>
          <w:sz w:val="30"/>
          <w:szCs w:val="30"/>
        </w:rPr>
        <w:t>本单位的职责：配合财政各部门建立并完善国库单一账户体系；监督单位预算指标与用款计划的执行；负责审核全区预算单位财政支付申请，办理财政国库集中支付业务。</w:t>
      </w:r>
    </w:p>
    <w:p>
      <w:pPr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  <w:highlight w:val="white"/>
        </w:rPr>
        <w:t>机构设置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white"/>
          <w:lang w:val="zh-CN"/>
        </w:rPr>
        <w:t>及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人员情况：</w:t>
      </w:r>
      <w:r>
        <w:rPr>
          <w:rFonts w:hint="eastAsia" w:cs="宋体" w:asciiTheme="minorEastAsia" w:hAnsiTheme="minorEastAsia" w:eastAsiaTheme="minorEastAsia"/>
          <w:sz w:val="30"/>
          <w:szCs w:val="30"/>
          <w:highlight w:val="white"/>
        </w:rPr>
        <w:t>独立核算单位1个，无二级机构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，本单位经区编委核定的编制人数为15人。年末实有人数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人。</w:t>
      </w:r>
    </w:p>
    <w:p>
      <w:pPr>
        <w:pStyle w:val="34"/>
        <w:widowControl/>
        <w:spacing w:line="560" w:lineRule="exact"/>
        <w:ind w:left="640" w:firstLine="0" w:firstLine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>
      <w:pPr>
        <w:pStyle w:val="34"/>
        <w:widowControl/>
        <w:spacing w:line="560" w:lineRule="exact"/>
        <w:ind w:left="640" w:firstLine="300" w:firstLineChars="100"/>
        <w:rPr>
          <w:rFonts w:cs="黑体" w:asciiTheme="minorEastAsia" w:hAnsiTheme="minorEastAsia" w:eastAsiaTheme="minorEastAsia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sz w:val="30"/>
          <w:szCs w:val="30"/>
        </w:rPr>
        <w:t>（一）基本支出情况：</w:t>
      </w:r>
    </w:p>
    <w:p>
      <w:pPr>
        <w:pStyle w:val="34"/>
        <w:widowControl/>
        <w:spacing w:line="560" w:lineRule="exact"/>
        <w:ind w:left="640" w:firstLine="300" w:firstLineChars="100"/>
        <w:rPr>
          <w:rFonts w:cs="Times New Roman" w:asciiTheme="minorEastAsia" w:hAnsiTheme="minorEastAsia" w:eastAsiaTheme="minorEastAsia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sz w:val="30"/>
          <w:szCs w:val="30"/>
        </w:rPr>
        <w:t xml:space="preserve"> 202</w:t>
      </w:r>
      <w:r>
        <w:rPr>
          <w:rFonts w:hint="eastAsia" w:cs="黑体" w:asciiTheme="minorEastAsia" w:hAnsiTheme="minorEastAsia" w:eastAsiaTheme="minorEastAsia"/>
          <w:sz w:val="30"/>
          <w:szCs w:val="30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sz w:val="30"/>
          <w:szCs w:val="30"/>
        </w:rPr>
        <w:t>年一般公共预算支出</w:t>
      </w:r>
      <w:r>
        <w:rPr>
          <w:rFonts w:hint="eastAsia" w:cs="黑体" w:asciiTheme="minorEastAsia" w:hAnsiTheme="minorEastAsia" w:eastAsiaTheme="minorEastAsia"/>
          <w:sz w:val="30"/>
          <w:szCs w:val="30"/>
          <w:lang w:val="en-US" w:eastAsia="zh-CN"/>
        </w:rPr>
        <w:t>164.39</w:t>
      </w:r>
      <w:r>
        <w:rPr>
          <w:rFonts w:hint="eastAsia" w:cs="黑体" w:asciiTheme="minorEastAsia" w:hAnsiTheme="minorEastAsia" w:eastAsiaTheme="minorEastAsia"/>
          <w:sz w:val="30"/>
          <w:szCs w:val="30"/>
        </w:rPr>
        <w:t>万元，其中按支出性质和经济分类：一般公共服务支出</w:t>
      </w:r>
      <w:r>
        <w:rPr>
          <w:rFonts w:hint="eastAsia" w:cs="黑体" w:asciiTheme="minorEastAsia" w:hAnsiTheme="minorEastAsia" w:eastAsiaTheme="minorEastAsia"/>
          <w:sz w:val="30"/>
          <w:szCs w:val="30"/>
          <w:lang w:val="en-US" w:eastAsia="zh-CN"/>
        </w:rPr>
        <w:t>137.90</w:t>
      </w:r>
      <w:r>
        <w:rPr>
          <w:rFonts w:hint="eastAsia" w:cs="黑体" w:asciiTheme="minorEastAsia" w:hAnsiTheme="minorEastAsia" w:eastAsiaTheme="minorEastAsia"/>
          <w:sz w:val="30"/>
          <w:szCs w:val="30"/>
        </w:rPr>
        <w:t>万元，社会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sz w:val="30"/>
          <w:szCs w:val="30"/>
        </w:rPr>
        <w:t>保障和就业支出</w:t>
      </w:r>
      <w:r>
        <w:rPr>
          <w:rFonts w:hint="eastAsia" w:cs="黑体" w:asciiTheme="minorEastAsia" w:hAnsiTheme="minorEastAsia" w:eastAsiaTheme="minorEastAsia"/>
          <w:sz w:val="30"/>
          <w:szCs w:val="30"/>
          <w:lang w:val="en-US" w:eastAsia="zh-CN"/>
        </w:rPr>
        <w:t>17.68</w:t>
      </w:r>
      <w:r>
        <w:rPr>
          <w:rFonts w:hint="eastAsia" w:cs="黑体" w:asciiTheme="minorEastAsia" w:hAnsiTheme="minorEastAsia" w:eastAsiaTheme="minorEastAsia"/>
          <w:sz w:val="30"/>
          <w:szCs w:val="30"/>
        </w:rPr>
        <w:t>万元，卫生健康支出</w:t>
      </w:r>
      <w:r>
        <w:rPr>
          <w:rFonts w:hint="eastAsia" w:cs="黑体" w:asciiTheme="minorEastAsia" w:hAnsiTheme="minorEastAsia" w:eastAsiaTheme="minorEastAsia"/>
          <w:sz w:val="30"/>
          <w:szCs w:val="30"/>
          <w:lang w:val="en-US" w:eastAsia="zh-CN"/>
        </w:rPr>
        <w:t>0.56</w:t>
      </w:r>
      <w:r>
        <w:rPr>
          <w:rFonts w:hint="eastAsia" w:cs="黑体" w:asciiTheme="minorEastAsia" w:hAnsiTheme="minorEastAsia" w:eastAsiaTheme="minorEastAsia"/>
          <w:sz w:val="30"/>
          <w:szCs w:val="30"/>
        </w:rPr>
        <w:t>万元，住房保障支出</w:t>
      </w:r>
      <w:r>
        <w:rPr>
          <w:rFonts w:hint="eastAsia" w:cs="黑体" w:asciiTheme="minorEastAsia" w:hAnsiTheme="minorEastAsia" w:eastAsiaTheme="minorEastAsia"/>
          <w:sz w:val="30"/>
          <w:szCs w:val="30"/>
          <w:lang w:val="en-US" w:eastAsia="zh-CN"/>
        </w:rPr>
        <w:t>8.26</w:t>
      </w:r>
      <w:r>
        <w:rPr>
          <w:rFonts w:hint="eastAsia" w:cs="黑体" w:asciiTheme="minorEastAsia" w:hAnsiTheme="minorEastAsia" w:eastAsiaTheme="minorEastAsia"/>
          <w:sz w:val="30"/>
          <w:szCs w:val="30"/>
        </w:rPr>
        <w:t>万元。</w:t>
      </w:r>
    </w:p>
    <w:p>
      <w:pPr>
        <w:pStyle w:val="34"/>
        <w:widowControl/>
        <w:spacing w:line="560" w:lineRule="exact"/>
        <w:ind w:left="640" w:firstLine="300" w:firstLineChars="100"/>
        <w:rPr>
          <w:rFonts w:cs="黑体" w:asciiTheme="minorEastAsia" w:hAnsiTheme="minorEastAsia" w:eastAsiaTheme="minorEastAsia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sz w:val="30"/>
          <w:szCs w:val="30"/>
        </w:rPr>
        <w:t>（二）项目支出情况：</w:t>
      </w:r>
    </w:p>
    <w:p>
      <w:pPr>
        <w:pStyle w:val="34"/>
        <w:widowControl/>
        <w:spacing w:line="560" w:lineRule="exact"/>
        <w:ind w:left="640" w:firstLine="600"/>
        <w:rPr>
          <w:rFonts w:cs="Times New Roman" w:asciiTheme="minorEastAsia" w:hAnsiTheme="minorEastAsia" w:eastAsiaTheme="minorEastAsia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sz w:val="30"/>
          <w:szCs w:val="30"/>
        </w:rPr>
        <w:t>本单位无项目支出。</w:t>
      </w:r>
    </w:p>
    <w:p>
      <w:pPr>
        <w:pStyle w:val="34"/>
        <w:widowControl/>
        <w:spacing w:line="560" w:lineRule="exact"/>
        <w:ind w:left="64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三、政府性基金预算支出情况：</w:t>
      </w:r>
    </w:p>
    <w:p>
      <w:pPr>
        <w:pStyle w:val="34"/>
        <w:widowControl/>
        <w:spacing w:line="560" w:lineRule="exact"/>
        <w:ind w:left="640" w:firstLine="600"/>
        <w:jc w:val="left"/>
        <w:rPr>
          <w:rFonts w:cs="Times New Roman" w:asciiTheme="minorEastAsia" w:hAnsiTheme="minorEastAsia" w:eastAsiaTheme="minorEastAsia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sz w:val="30"/>
          <w:szCs w:val="30"/>
        </w:rPr>
        <w:t>本单位无政府性基金预算支出。</w:t>
      </w:r>
    </w:p>
    <w:p>
      <w:pPr>
        <w:pStyle w:val="34"/>
        <w:widowControl/>
        <w:spacing w:line="560" w:lineRule="exact"/>
        <w:ind w:left="64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四、国有资本经营预算支出情况：</w:t>
      </w:r>
    </w:p>
    <w:p>
      <w:pPr>
        <w:pStyle w:val="34"/>
        <w:widowControl/>
        <w:spacing w:line="560" w:lineRule="exact"/>
        <w:ind w:left="640" w:firstLine="630" w:firstLineChars="0"/>
        <w:jc w:val="left"/>
        <w:rPr>
          <w:rFonts w:cs="黑体" w:asciiTheme="minorEastAsia" w:hAnsiTheme="minorEastAsia" w:eastAsiaTheme="minorEastAsia"/>
          <w:sz w:val="30"/>
          <w:szCs w:val="30"/>
        </w:rPr>
      </w:pPr>
      <w:r>
        <w:rPr>
          <w:rFonts w:hint="eastAsia" w:cs="Times New Roman" w:asciiTheme="minorEastAsia" w:hAnsiTheme="minorEastAsia" w:eastAsiaTheme="minorEastAsia"/>
          <w:sz w:val="30"/>
          <w:szCs w:val="30"/>
        </w:rPr>
        <w:t>本单位无</w:t>
      </w:r>
      <w:r>
        <w:rPr>
          <w:rFonts w:hint="eastAsia" w:cs="黑体" w:asciiTheme="minorEastAsia" w:hAnsiTheme="minorEastAsia" w:eastAsiaTheme="minorEastAsia"/>
          <w:sz w:val="30"/>
          <w:szCs w:val="30"/>
        </w:rPr>
        <w:t>国有资本经营预算支出。</w:t>
      </w:r>
    </w:p>
    <w:p>
      <w:pPr>
        <w:pStyle w:val="34"/>
        <w:widowControl/>
        <w:spacing w:line="560" w:lineRule="exact"/>
        <w:ind w:left="64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五、社会保险基金预算支出情况：</w:t>
      </w:r>
    </w:p>
    <w:p>
      <w:pPr>
        <w:pStyle w:val="34"/>
        <w:widowControl/>
        <w:spacing w:line="560" w:lineRule="exact"/>
        <w:ind w:left="640" w:firstLine="0" w:firstLineChars="0"/>
        <w:jc w:val="left"/>
        <w:rPr>
          <w:rFonts w:cs="黑体" w:asciiTheme="minorEastAsia" w:hAnsiTheme="minorEastAsia" w:eastAsiaTheme="minorEastAsia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sz w:val="30"/>
          <w:szCs w:val="30"/>
        </w:rPr>
        <w:t xml:space="preserve">     本单位无社会保险基金预算支出。</w:t>
      </w:r>
    </w:p>
    <w:p>
      <w:pPr>
        <w:pStyle w:val="34"/>
        <w:widowControl/>
        <w:spacing w:line="560" w:lineRule="exact"/>
        <w:ind w:left="64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六、部门整体支出绩效情况：</w:t>
      </w:r>
    </w:p>
    <w:p>
      <w:pPr>
        <w:spacing w:line="560" w:lineRule="exact"/>
        <w:ind w:firstLine="602" w:firstLineChars="200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（一）部门整体支出目标：</w:t>
      </w:r>
    </w:p>
    <w:p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预决算公开：按照上级的要求，我中心在赫山区门户网站进行了202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</w:rPr>
        <w:t>年预算公开。</w:t>
      </w:r>
    </w:p>
    <w:p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资产管理：我中心进一步加强资产的管理，明确具体资产管理人，严格报批、销审等手续。</w:t>
      </w:r>
    </w:p>
    <w:p>
      <w:pPr>
        <w:widowControl/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三公经费：贯彻落实上级有关精神，严格控制“三公经费”支出，取得了良好效果。</w:t>
      </w:r>
      <w:r>
        <w:rPr>
          <w:rFonts w:hint="eastAsia" w:asciiTheme="minorEastAsia" w:hAnsiTheme="minorEastAsia" w:eastAsiaTheme="minorEastAsia"/>
          <w:bCs/>
          <w:kern w:val="0"/>
          <w:sz w:val="30"/>
          <w:szCs w:val="30"/>
        </w:rPr>
        <w:t>202</w:t>
      </w:r>
      <w:r>
        <w:rPr>
          <w:rFonts w:hint="eastAsia" w:asciiTheme="minorEastAsia" w:hAnsiTheme="minorEastAsia" w:eastAsiaTheme="minorEastAsia"/>
          <w:bCs/>
          <w:kern w:val="0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Cs/>
          <w:kern w:val="0"/>
          <w:sz w:val="30"/>
          <w:szCs w:val="30"/>
        </w:rPr>
        <w:t>年“三公”经费财政拨款支出决算数为0万元，20</w:t>
      </w:r>
      <w:r>
        <w:rPr>
          <w:rFonts w:hint="eastAsia" w:asciiTheme="minorEastAsia" w:hAnsiTheme="minorEastAsia" w:eastAsiaTheme="minorEastAsia"/>
          <w:bCs/>
          <w:kern w:val="0"/>
          <w:sz w:val="30"/>
          <w:szCs w:val="30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bCs/>
          <w:kern w:val="0"/>
          <w:sz w:val="30"/>
          <w:szCs w:val="30"/>
        </w:rPr>
        <w:t>年“三公”经费支出决算数0万元，主要原因是：我单位实行了公车改革，已无公务用车支出</w:t>
      </w:r>
      <w:r>
        <w:rPr>
          <w:rFonts w:hint="eastAsia" w:asciiTheme="minorEastAsia" w:hAnsiTheme="minorEastAsia" w:eastAsiaTheme="minorEastAsia"/>
          <w:sz w:val="30"/>
          <w:szCs w:val="30"/>
        </w:rPr>
        <w:t>，并厉行中央八项规定，无公务接待费用。</w:t>
      </w:r>
    </w:p>
    <w:p>
      <w:pPr>
        <w:widowControl/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内部管理制度建设：一是按照财政部制定的《内部会计控制规范》，进一步完善本单位内部控制制度，夯实内控基础环境；二是进一步明晰职责强化制约，推进内控机制建设。</w:t>
      </w:r>
    </w:p>
    <w:p>
      <w:pPr>
        <w:widowControl/>
        <w:shd w:val="clear" w:color="auto" w:fill="FFFFFF"/>
        <w:spacing w:before="150" w:line="560" w:lineRule="exact"/>
        <w:ind w:firstLine="56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（二）绩效评价工作情况</w:t>
      </w:r>
    </w:p>
    <w:p>
      <w:pPr>
        <w:widowControl/>
        <w:shd w:val="clear" w:color="auto" w:fill="FFFFFF"/>
        <w:spacing w:before="150" w:line="560" w:lineRule="exact"/>
        <w:ind w:firstLine="560"/>
        <w:jc w:val="left"/>
        <w:rPr>
          <w:rFonts w:cs="宋体" w:asciiTheme="minorEastAsia" w:hAnsiTheme="minorEastAsia" w:eastAsiaTheme="minorEastAsia"/>
          <w:bCs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30"/>
          <w:szCs w:val="30"/>
        </w:rPr>
        <w:t>1.绩效评价目的</w:t>
      </w:r>
    </w:p>
    <w:p>
      <w:pPr>
        <w:pStyle w:val="6"/>
        <w:shd w:val="clear" w:color="auto" w:fill="FFFFFF"/>
        <w:spacing w:beforeAutospacing="0" w:afterAutospacing="0" w:line="560" w:lineRule="exact"/>
        <w:ind w:firstLine="600" w:firstLineChars="200"/>
        <w:jc w:val="both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认真执行年初部门预算和财政政策要求。我中心经费安排严格按照年初预算来执行，有效防止超预算；在资金使用上，严格遵守各项财经法规和财务管理制度规定，资金拨付有完整的审批程序和手续，支出符合部门预算批复的用途，无截留、挤占、挪用、虚列支出等情况。</w:t>
      </w:r>
    </w:p>
    <w:p>
      <w:pPr>
        <w:pStyle w:val="6"/>
        <w:shd w:val="clear" w:color="auto" w:fill="FFFFFF"/>
        <w:spacing w:beforeAutospacing="0" w:afterAutospacing="0" w:line="560" w:lineRule="exact"/>
        <w:ind w:firstLine="600" w:firstLineChars="200"/>
        <w:jc w:val="both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2.绩效评价工作过程</w:t>
      </w:r>
    </w:p>
    <w:p>
      <w:pPr>
        <w:pStyle w:val="6"/>
        <w:shd w:val="clear" w:color="auto" w:fill="FFFFFF"/>
        <w:spacing w:beforeAutospacing="0" w:afterAutospacing="0" w:line="560" w:lineRule="exact"/>
        <w:ind w:firstLine="600" w:firstLineChars="200"/>
        <w:jc w:val="both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根据绩效评价的要求，我们成立了自评工作领导小组，对照自评方案进行研究和部署，全体干部共同参与，按照自评方案的要求，对照各实施项目的内容逐条自评。在自评过程发现问题，查找原因，及时纠正偏差，为下一步工作夯实基础。</w:t>
      </w:r>
    </w:p>
    <w:p>
      <w:pPr>
        <w:pStyle w:val="6"/>
        <w:shd w:val="clear" w:color="auto" w:fill="FFFFFF"/>
        <w:spacing w:beforeAutospacing="0" w:afterAutospacing="0" w:line="560" w:lineRule="exact"/>
        <w:ind w:firstLine="602" w:firstLineChars="200"/>
        <w:jc w:val="both"/>
        <w:rPr>
          <w:rFonts w:asciiTheme="minorEastAsia" w:hAnsiTheme="minorEastAsia" w:eastAsiaTheme="minorEastAsia"/>
          <w:b/>
          <w:kern w:val="2"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kern w:val="2"/>
          <w:sz w:val="30"/>
          <w:szCs w:val="30"/>
        </w:rPr>
        <w:t>（三）主要绩效及评价结论</w:t>
      </w:r>
    </w:p>
    <w:p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一）逐步完善、规范会计集中核算和国库集中支付工作流程，严格执行先审后核再支付的工作步骤，严格执行内部操作规程，中心主任、副主任、核算会计、资金管理出纳、银行业务联络员、档案管理员专职传岗，各司其职，分工协作，责权清晰，确保了会计集中核算和国库集中支付的平稳运行。</w:t>
      </w:r>
    </w:p>
    <w:p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（二）加强银行账户管理。积极配合财政监督检查股和国库股做好财政账户第三方对账工作，加强中心与银行、单位的账务核对，按时将核对结果报送财政监督检查股，自觉接受财政内部监督。</w:t>
      </w:r>
    </w:p>
    <w:p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（三）及时办理业务工作。202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0"/>
          <w:szCs w:val="30"/>
        </w:rPr>
        <w:t>年，区国库集中支付系统办理支付业务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68329</w:t>
      </w:r>
      <w:r>
        <w:rPr>
          <w:rFonts w:hint="eastAsia" w:asciiTheme="minorEastAsia" w:hAnsiTheme="minorEastAsia" w:eastAsiaTheme="minorEastAsia"/>
          <w:sz w:val="30"/>
          <w:szCs w:val="30"/>
        </w:rPr>
        <w:t>笔、支付金额达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77.5</w:t>
      </w:r>
      <w:r>
        <w:rPr>
          <w:rFonts w:hint="eastAsia" w:asciiTheme="minorEastAsia" w:hAnsiTheme="minorEastAsia" w:eastAsiaTheme="minorEastAsia"/>
          <w:sz w:val="30"/>
          <w:szCs w:val="30"/>
        </w:rPr>
        <w:t>亿元，直接支付金额占总支付金额的99%以上，并保持资金支付零差错。</w:t>
      </w:r>
    </w:p>
    <w:p>
      <w:pPr>
        <w:pStyle w:val="34"/>
        <w:widowControl/>
        <w:spacing w:line="560" w:lineRule="exact"/>
        <w:ind w:left="640"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财政收付业务越来越多，管理风险加大。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八、下一步改进措施</w:t>
      </w:r>
    </w:p>
    <w:p>
      <w:pPr>
        <w:spacing w:line="56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（一）不断加强业务管理。目前我中心增加了工资发放、社保费用缴纳等工作，需进一步加强管理，严格控制业务差错。</w:t>
      </w:r>
    </w:p>
    <w:p>
      <w:pPr>
        <w:widowControl/>
        <w:spacing w:line="560" w:lineRule="exact"/>
        <w:ind w:firstLine="600" w:firstLineChars="2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（二）科学理财，强化财政职能作用。按照中央和省、市部署，进一步强化财政监督，积极推进财政预算、财政决算公开，不断提高财政透明度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九、其他需要说明的情况</w:t>
      </w:r>
    </w:p>
    <w:p>
      <w:pPr>
        <w:widowControl/>
        <w:spacing w:line="560" w:lineRule="exact"/>
        <w:ind w:firstLine="645"/>
        <w:jc w:val="left"/>
        <w:rPr>
          <w:rFonts w:cs="黑体" w:asciiTheme="minorEastAsia" w:hAnsiTheme="minorEastAsia" w:eastAsiaTheme="minorEastAsia"/>
          <w:sz w:val="30"/>
          <w:szCs w:val="30"/>
        </w:rPr>
      </w:pPr>
      <w:r>
        <w:rPr>
          <w:rFonts w:hint="eastAsia" w:cs="黑体" w:asciiTheme="minorEastAsia" w:hAnsiTheme="minorEastAsia" w:eastAsiaTheme="minorEastAsia"/>
          <w:sz w:val="30"/>
          <w:szCs w:val="30"/>
        </w:rPr>
        <w:t>无其他需要说明的情况。</w:t>
      </w:r>
    </w:p>
    <w:p>
      <w:pPr>
        <w:widowControl/>
        <w:spacing w:line="500" w:lineRule="exact"/>
        <w:ind w:firstLine="645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widowControl/>
        <w:spacing w:line="500" w:lineRule="exact"/>
        <w:ind w:firstLine="645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               </w:t>
      </w:r>
    </w:p>
    <w:p>
      <w:pPr>
        <w:widowControl/>
        <w:spacing w:line="500" w:lineRule="exact"/>
        <w:ind w:firstLine="645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                   益阳市赫山区国库集中支付核算中心  </w:t>
      </w:r>
    </w:p>
    <w:p>
      <w:pPr>
        <w:widowControl/>
        <w:spacing w:line="500" w:lineRule="exact"/>
        <w:ind w:firstLine="5400" w:firstLineChars="18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202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30"/>
          <w:szCs w:val="30"/>
        </w:rPr>
        <w:t>月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30"/>
          <w:szCs w:val="30"/>
        </w:rPr>
        <w:t>日</w:t>
      </w:r>
    </w:p>
    <w:p>
      <w:pPr>
        <w:widowControl/>
        <w:spacing w:line="500" w:lineRule="exact"/>
        <w:ind w:firstLine="645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NGVkOTJjNDc5YzE5OTg5ZmY3NDk3NGY1ZDNhODAifQ=="/>
  </w:docVars>
  <w:rsids>
    <w:rsidRoot w:val="00A96E4E"/>
    <w:rsid w:val="00043673"/>
    <w:rsid w:val="00043987"/>
    <w:rsid w:val="00044C5A"/>
    <w:rsid w:val="00046499"/>
    <w:rsid w:val="0004784E"/>
    <w:rsid w:val="00053547"/>
    <w:rsid w:val="00062EEC"/>
    <w:rsid w:val="0006715E"/>
    <w:rsid w:val="000700BE"/>
    <w:rsid w:val="000707EC"/>
    <w:rsid w:val="000745D4"/>
    <w:rsid w:val="00076E70"/>
    <w:rsid w:val="0008086E"/>
    <w:rsid w:val="000A30BF"/>
    <w:rsid w:val="000B2FF9"/>
    <w:rsid w:val="000C0EA0"/>
    <w:rsid w:val="000E1641"/>
    <w:rsid w:val="000E187E"/>
    <w:rsid w:val="000F1A10"/>
    <w:rsid w:val="0011361A"/>
    <w:rsid w:val="00114A8C"/>
    <w:rsid w:val="001255CE"/>
    <w:rsid w:val="00127003"/>
    <w:rsid w:val="00131A56"/>
    <w:rsid w:val="00160F3B"/>
    <w:rsid w:val="0017778D"/>
    <w:rsid w:val="00195999"/>
    <w:rsid w:val="001C0DB6"/>
    <w:rsid w:val="001C0F35"/>
    <w:rsid w:val="001F2F33"/>
    <w:rsid w:val="001F44AE"/>
    <w:rsid w:val="00205B34"/>
    <w:rsid w:val="00225BDA"/>
    <w:rsid w:val="00240824"/>
    <w:rsid w:val="00261F7B"/>
    <w:rsid w:val="00275E2C"/>
    <w:rsid w:val="002801BE"/>
    <w:rsid w:val="002A1B49"/>
    <w:rsid w:val="002A1CBA"/>
    <w:rsid w:val="002B3F1D"/>
    <w:rsid w:val="002C2D45"/>
    <w:rsid w:val="002C4771"/>
    <w:rsid w:val="002C7F30"/>
    <w:rsid w:val="002D26BD"/>
    <w:rsid w:val="002E2FC3"/>
    <w:rsid w:val="003055D2"/>
    <w:rsid w:val="0032411A"/>
    <w:rsid w:val="00360B49"/>
    <w:rsid w:val="00363CDB"/>
    <w:rsid w:val="00381196"/>
    <w:rsid w:val="003B757D"/>
    <w:rsid w:val="003D5823"/>
    <w:rsid w:val="003F5B92"/>
    <w:rsid w:val="004253D4"/>
    <w:rsid w:val="004339D2"/>
    <w:rsid w:val="004339FD"/>
    <w:rsid w:val="0044445F"/>
    <w:rsid w:val="00463F94"/>
    <w:rsid w:val="0046694E"/>
    <w:rsid w:val="00471E21"/>
    <w:rsid w:val="0047441E"/>
    <w:rsid w:val="00474423"/>
    <w:rsid w:val="004842A1"/>
    <w:rsid w:val="00495360"/>
    <w:rsid w:val="004C2EAB"/>
    <w:rsid w:val="004D76CB"/>
    <w:rsid w:val="004E4B88"/>
    <w:rsid w:val="004E67A5"/>
    <w:rsid w:val="004F08CD"/>
    <w:rsid w:val="004F0E74"/>
    <w:rsid w:val="00502CDD"/>
    <w:rsid w:val="005130D4"/>
    <w:rsid w:val="00527477"/>
    <w:rsid w:val="0053268F"/>
    <w:rsid w:val="005377A9"/>
    <w:rsid w:val="005474E5"/>
    <w:rsid w:val="00560BD3"/>
    <w:rsid w:val="005668C4"/>
    <w:rsid w:val="00570BA5"/>
    <w:rsid w:val="0057391C"/>
    <w:rsid w:val="00574727"/>
    <w:rsid w:val="0057600C"/>
    <w:rsid w:val="005C6EE6"/>
    <w:rsid w:val="005D6425"/>
    <w:rsid w:val="005E7BED"/>
    <w:rsid w:val="00603866"/>
    <w:rsid w:val="00611C0D"/>
    <w:rsid w:val="00617C94"/>
    <w:rsid w:val="006269B7"/>
    <w:rsid w:val="00652C8A"/>
    <w:rsid w:val="00653E1D"/>
    <w:rsid w:val="00656DC4"/>
    <w:rsid w:val="006576A8"/>
    <w:rsid w:val="006733AA"/>
    <w:rsid w:val="006860EE"/>
    <w:rsid w:val="00687AB1"/>
    <w:rsid w:val="00691477"/>
    <w:rsid w:val="00692C66"/>
    <w:rsid w:val="006A3FE3"/>
    <w:rsid w:val="006E452E"/>
    <w:rsid w:val="006F3651"/>
    <w:rsid w:val="0070111B"/>
    <w:rsid w:val="00703E8E"/>
    <w:rsid w:val="00725319"/>
    <w:rsid w:val="00731951"/>
    <w:rsid w:val="0075061C"/>
    <w:rsid w:val="00751067"/>
    <w:rsid w:val="00753264"/>
    <w:rsid w:val="0075363C"/>
    <w:rsid w:val="007670C8"/>
    <w:rsid w:val="0077323A"/>
    <w:rsid w:val="00773BB2"/>
    <w:rsid w:val="00786337"/>
    <w:rsid w:val="007877CC"/>
    <w:rsid w:val="00794E47"/>
    <w:rsid w:val="007A01CF"/>
    <w:rsid w:val="007A4F71"/>
    <w:rsid w:val="007C129E"/>
    <w:rsid w:val="007C772C"/>
    <w:rsid w:val="007D4D52"/>
    <w:rsid w:val="007E3DC4"/>
    <w:rsid w:val="008116C4"/>
    <w:rsid w:val="00812C26"/>
    <w:rsid w:val="008232D3"/>
    <w:rsid w:val="008630D6"/>
    <w:rsid w:val="00864FB5"/>
    <w:rsid w:val="008A23A0"/>
    <w:rsid w:val="008D28B7"/>
    <w:rsid w:val="009031A5"/>
    <w:rsid w:val="009058DE"/>
    <w:rsid w:val="00907791"/>
    <w:rsid w:val="00913917"/>
    <w:rsid w:val="0092195E"/>
    <w:rsid w:val="00923B36"/>
    <w:rsid w:val="00923DDB"/>
    <w:rsid w:val="00927ABE"/>
    <w:rsid w:val="00932468"/>
    <w:rsid w:val="00945B69"/>
    <w:rsid w:val="009773D3"/>
    <w:rsid w:val="00993293"/>
    <w:rsid w:val="009B590E"/>
    <w:rsid w:val="009C66F8"/>
    <w:rsid w:val="009E71C7"/>
    <w:rsid w:val="009F034D"/>
    <w:rsid w:val="00A06127"/>
    <w:rsid w:val="00A141C5"/>
    <w:rsid w:val="00A203CE"/>
    <w:rsid w:val="00A2354B"/>
    <w:rsid w:val="00A46C5E"/>
    <w:rsid w:val="00A53B16"/>
    <w:rsid w:val="00A6529F"/>
    <w:rsid w:val="00A75930"/>
    <w:rsid w:val="00A818D1"/>
    <w:rsid w:val="00A92BDD"/>
    <w:rsid w:val="00A96E4E"/>
    <w:rsid w:val="00A973F9"/>
    <w:rsid w:val="00AA2837"/>
    <w:rsid w:val="00AC0F3E"/>
    <w:rsid w:val="00AC1BEB"/>
    <w:rsid w:val="00AE2C45"/>
    <w:rsid w:val="00AF39AF"/>
    <w:rsid w:val="00B04618"/>
    <w:rsid w:val="00B07FBC"/>
    <w:rsid w:val="00B315F5"/>
    <w:rsid w:val="00B32278"/>
    <w:rsid w:val="00B47A0F"/>
    <w:rsid w:val="00B603E1"/>
    <w:rsid w:val="00B62EEF"/>
    <w:rsid w:val="00B6633F"/>
    <w:rsid w:val="00B66D52"/>
    <w:rsid w:val="00B7282C"/>
    <w:rsid w:val="00B74DD4"/>
    <w:rsid w:val="00B83098"/>
    <w:rsid w:val="00B927C4"/>
    <w:rsid w:val="00B92B2D"/>
    <w:rsid w:val="00BA3800"/>
    <w:rsid w:val="00BC240C"/>
    <w:rsid w:val="00BD32A3"/>
    <w:rsid w:val="00BD5B91"/>
    <w:rsid w:val="00BE2BF5"/>
    <w:rsid w:val="00BF2755"/>
    <w:rsid w:val="00BF32BF"/>
    <w:rsid w:val="00C06A90"/>
    <w:rsid w:val="00C2173E"/>
    <w:rsid w:val="00C257FC"/>
    <w:rsid w:val="00C420B8"/>
    <w:rsid w:val="00C42A75"/>
    <w:rsid w:val="00C45C4C"/>
    <w:rsid w:val="00C50901"/>
    <w:rsid w:val="00C5323B"/>
    <w:rsid w:val="00C533D0"/>
    <w:rsid w:val="00C54B1E"/>
    <w:rsid w:val="00C71A84"/>
    <w:rsid w:val="00C73AD8"/>
    <w:rsid w:val="00C86C5C"/>
    <w:rsid w:val="00CC344F"/>
    <w:rsid w:val="00CC71D0"/>
    <w:rsid w:val="00CD4EFC"/>
    <w:rsid w:val="00CD59F7"/>
    <w:rsid w:val="00CD5DCF"/>
    <w:rsid w:val="00D1370D"/>
    <w:rsid w:val="00D15C1A"/>
    <w:rsid w:val="00D33B7A"/>
    <w:rsid w:val="00D34B44"/>
    <w:rsid w:val="00D35A8F"/>
    <w:rsid w:val="00D45FEC"/>
    <w:rsid w:val="00D46ABA"/>
    <w:rsid w:val="00D62B04"/>
    <w:rsid w:val="00D700E5"/>
    <w:rsid w:val="00D77BEC"/>
    <w:rsid w:val="00D87615"/>
    <w:rsid w:val="00DA0F2B"/>
    <w:rsid w:val="00DB1BBE"/>
    <w:rsid w:val="00DC17E6"/>
    <w:rsid w:val="00DC3341"/>
    <w:rsid w:val="00DE44B6"/>
    <w:rsid w:val="00DE7156"/>
    <w:rsid w:val="00DF6034"/>
    <w:rsid w:val="00E02435"/>
    <w:rsid w:val="00E16938"/>
    <w:rsid w:val="00E36B6C"/>
    <w:rsid w:val="00E73877"/>
    <w:rsid w:val="00E73F64"/>
    <w:rsid w:val="00E94291"/>
    <w:rsid w:val="00EA3651"/>
    <w:rsid w:val="00EB0008"/>
    <w:rsid w:val="00ED2F5C"/>
    <w:rsid w:val="00ED6DD5"/>
    <w:rsid w:val="00F05BDC"/>
    <w:rsid w:val="00F219BE"/>
    <w:rsid w:val="00F243BD"/>
    <w:rsid w:val="00F3496C"/>
    <w:rsid w:val="00F4082E"/>
    <w:rsid w:val="00F87EE5"/>
    <w:rsid w:val="00F956AF"/>
    <w:rsid w:val="00FA11BF"/>
    <w:rsid w:val="00FC2CA7"/>
    <w:rsid w:val="00FE0362"/>
    <w:rsid w:val="00FF0B19"/>
    <w:rsid w:val="00FF5A97"/>
    <w:rsid w:val="0EA346CE"/>
    <w:rsid w:val="367E41D8"/>
    <w:rsid w:val="383E029A"/>
    <w:rsid w:val="48BE7881"/>
    <w:rsid w:val="53FC3099"/>
    <w:rsid w:val="57812689"/>
    <w:rsid w:val="697A6C25"/>
    <w:rsid w:val="75AD1FE0"/>
    <w:rsid w:val="75CF3C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iPriority w:val="99"/>
    <w:pPr>
      <w:ind w:left="100" w:leftChars="2500"/>
    </w:p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</w:style>
  <w:style w:type="character" w:styleId="11">
    <w:name w:val="FollowedHyperlink"/>
    <w:basedOn w:val="9"/>
    <w:uiPriority w:val="99"/>
    <w:rPr>
      <w:color w:val="800080"/>
      <w:u w:val="single"/>
    </w:rPr>
  </w:style>
  <w:style w:type="character" w:styleId="12">
    <w:name w:val="Hyperlink"/>
    <w:basedOn w:val="9"/>
    <w:uiPriority w:val="99"/>
    <w:rPr>
      <w:color w:val="0000FF"/>
      <w:u w:val="single"/>
    </w:rPr>
  </w:style>
  <w:style w:type="paragraph" w:customStyle="1" w:styleId="13">
    <w:name w:val="列出段落1"/>
    <w:basedOn w:val="1"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14">
    <w:name w:val="页脚 Char"/>
    <w:basedOn w:val="9"/>
    <w:link w:val="4"/>
    <w:locked/>
    <w:uiPriority w:val="99"/>
    <w:rPr>
      <w:kern w:val="2"/>
      <w:sz w:val="18"/>
      <w:szCs w:val="18"/>
    </w:rPr>
  </w:style>
  <w:style w:type="character" w:customStyle="1" w:styleId="15">
    <w:name w:val="页眉 Char"/>
    <w:basedOn w:val="9"/>
    <w:link w:val="5"/>
    <w:locked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3"/>
    <w:locked/>
    <w:uiPriority w:val="99"/>
    <w:rPr>
      <w:kern w:val="2"/>
      <w:sz w:val="21"/>
      <w:szCs w:val="24"/>
    </w:rPr>
  </w:style>
  <w:style w:type="paragraph" w:customStyle="1" w:styleId="17">
    <w:name w:val="xl65"/>
    <w:basedOn w:val="1"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6"/>
    <w:basedOn w:val="1"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9">
    <w:name w:val="xl67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xl68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69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xl7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3">
    <w:name w:val="xl7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4">
    <w:name w:val="xl7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25">
    <w:name w:val="xl73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74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xl75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76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77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">
    <w:name w:val="xl7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1">
    <w:name w:val="xl79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">
    <w:name w:val="xl8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xl8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列出段落2"/>
    <w:basedOn w:val="1"/>
    <w:uiPriority w:val="99"/>
    <w:pPr>
      <w:ind w:firstLine="420" w:firstLineChars="200"/>
    </w:pPr>
    <w:rPr>
      <w:rFonts w:ascii="等线" w:hAnsi="等线" w:eastAsia="等线" w:cs="等线"/>
      <w:szCs w:val="21"/>
    </w:rPr>
  </w:style>
  <w:style w:type="paragraph" w:customStyle="1" w:styleId="35">
    <w:name w:val="msonormal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6">
    <w:name w:val="fo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font6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38">
    <w:name w:val="标题 2 Char"/>
    <w:basedOn w:val="9"/>
    <w:link w:val="2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1B3BCB-A0A8-4515-BC65-395AC197D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4</Pages>
  <Words>1409</Words>
  <Characters>1459</Characters>
  <Lines>11</Lines>
  <Paragraphs>3</Paragraphs>
  <TotalTime>263</TotalTime>
  <ScaleCrop>false</ScaleCrop>
  <LinksUpToDate>false</LinksUpToDate>
  <CharactersWithSpaces>1528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2021-05-20T06:45:00Z</dcterms:created>
  <dc:creator>Administrator</dc:creator>
  <cp:lastModifiedBy>静</cp:lastModifiedBy>
  <cp:lastPrinted>2021-07-07T04:38:00Z</cp:lastPrinted>
  <dcterms:modified xsi:type="dcterms:W3CDTF">2023-06-06T03:23:03Z</dcterms:modified>
  <dc:title>益赫财办〔2013〕15号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0C2820652DD548A88371A0B47C98DE15_13</vt:lpwstr>
  </property>
</Properties>
</file>