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0"/>
        <w:jc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sz w:val="44"/>
          <w:szCs w:val="44"/>
          <w:shd w:val="clear" w:fill="FFFFFF"/>
        </w:rPr>
        <w:t>益阳市赫山区城市管理和综合执法局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 w:lineRule="atLeast"/>
        <w:ind w:left="0" w:right="0" w:firstLine="0"/>
        <w:jc w:val="center"/>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sz w:val="44"/>
          <w:szCs w:val="44"/>
          <w:shd w:val="clear" w:fill="FFFFFF"/>
        </w:rPr>
        <w:t>202</w:t>
      </w:r>
      <w:r>
        <w:rPr>
          <w:rFonts w:hint="eastAsia" w:ascii="仿宋" w:hAnsi="仿宋" w:eastAsia="仿宋" w:cs="仿宋"/>
          <w:b/>
          <w:bCs/>
          <w:i w:val="0"/>
          <w:iCs w:val="0"/>
          <w:caps w:val="0"/>
          <w:color w:val="333333"/>
          <w:spacing w:val="0"/>
          <w:sz w:val="44"/>
          <w:szCs w:val="44"/>
          <w:shd w:val="clear" w:fill="FFFFFF"/>
          <w:lang w:val="en-US" w:eastAsia="zh-CN"/>
        </w:rPr>
        <w:t>2</w:t>
      </w:r>
      <w:r>
        <w:rPr>
          <w:rFonts w:hint="eastAsia" w:ascii="仿宋" w:hAnsi="仿宋" w:eastAsia="仿宋" w:cs="仿宋"/>
          <w:b/>
          <w:bCs/>
          <w:i w:val="0"/>
          <w:iCs w:val="0"/>
          <w:caps w:val="0"/>
          <w:color w:val="333333"/>
          <w:spacing w:val="0"/>
          <w:sz w:val="44"/>
          <w:szCs w:val="44"/>
          <w:shd w:val="clear" w:fill="FFFFFF"/>
        </w:rPr>
        <w:t>年部门整体支出绩效评价报告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723"/>
        <w:jc w:val="both"/>
        <w:rPr>
          <w:rFonts w:hint="eastAsia" w:ascii="仿宋" w:hAnsi="仿宋" w:eastAsia="仿宋" w:cs="仿宋"/>
          <w:i w:val="0"/>
          <w:iCs w:val="0"/>
          <w:caps w:val="0"/>
          <w:color w:val="333333"/>
          <w:spacing w:val="0"/>
          <w:sz w:val="21"/>
          <w:szCs w:val="21"/>
        </w:rPr>
      </w:pPr>
      <w:r>
        <w:rPr>
          <w:rFonts w:hint="eastAsia" w:ascii="仿宋" w:hAnsi="仿宋" w:eastAsia="仿宋" w:cs="仿宋"/>
          <w:b w:val="0"/>
          <w:bCs w:val="0"/>
          <w:i w:val="0"/>
          <w:iCs w:val="0"/>
          <w:caps w:val="0"/>
          <w:color w:val="333333"/>
          <w:spacing w:val="0"/>
          <w:sz w:val="36"/>
          <w:szCs w:val="36"/>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0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32"/>
          <w:szCs w:val="32"/>
          <w:shd w:val="clear" w:fill="FFFFFF"/>
        </w:rPr>
        <w:t>根据《</w:t>
      </w:r>
      <w:r>
        <w:rPr>
          <w:rFonts w:hint="eastAsia" w:ascii="仿宋" w:hAnsi="仿宋" w:eastAsia="仿宋" w:cs="仿宋"/>
          <w:i w:val="0"/>
          <w:iCs w:val="0"/>
          <w:caps w:val="0"/>
          <w:color w:val="333333"/>
          <w:spacing w:val="0"/>
          <w:sz w:val="32"/>
          <w:szCs w:val="32"/>
          <w:shd w:val="clear" w:fill="FFFFFF"/>
          <w:lang w:val="en-US" w:eastAsia="zh-CN"/>
        </w:rPr>
        <w:t>中共中央 国务院关于全面实施预算绩效管理的意见</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中发</w:t>
      </w:r>
      <w:r>
        <w:rPr>
          <w:rFonts w:hint="eastAsia" w:ascii="仿宋" w:hAnsi="仿宋" w:eastAsia="仿宋" w:cs="仿宋"/>
          <w:i w:val="0"/>
          <w:iCs w:val="0"/>
          <w:caps w:val="0"/>
          <w:color w:val="333333"/>
          <w:spacing w:val="0"/>
          <w:sz w:val="32"/>
          <w:szCs w:val="32"/>
          <w:shd w:val="clear" w:fill="FFFFFF"/>
        </w:rPr>
        <w:t>〔20</w:t>
      </w:r>
      <w:r>
        <w:rPr>
          <w:rFonts w:hint="eastAsia" w:ascii="仿宋" w:hAnsi="仿宋" w:eastAsia="仿宋" w:cs="仿宋"/>
          <w:i w:val="0"/>
          <w:iCs w:val="0"/>
          <w:caps w:val="0"/>
          <w:color w:val="333333"/>
          <w:spacing w:val="0"/>
          <w:sz w:val="32"/>
          <w:szCs w:val="32"/>
          <w:shd w:val="clear" w:fill="FFFFFF"/>
          <w:lang w:val="en-US" w:eastAsia="zh-CN"/>
        </w:rPr>
        <w:t>18</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34</w:t>
      </w:r>
      <w:r>
        <w:rPr>
          <w:rFonts w:hint="eastAsia" w:ascii="仿宋" w:hAnsi="仿宋" w:eastAsia="仿宋" w:cs="仿宋"/>
          <w:i w:val="0"/>
          <w:iCs w:val="0"/>
          <w:caps w:val="0"/>
          <w:color w:val="333333"/>
          <w:spacing w:val="0"/>
          <w:sz w:val="32"/>
          <w:szCs w:val="32"/>
          <w:shd w:val="clear" w:fill="FFFFFF"/>
        </w:rPr>
        <w:t>号）</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财政部关于印发</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财政支出绩效评价</w:t>
      </w:r>
      <w:r>
        <w:rPr>
          <w:rFonts w:hint="eastAsia" w:ascii="仿宋" w:hAnsi="仿宋" w:eastAsia="仿宋" w:cs="仿宋"/>
          <w:i w:val="0"/>
          <w:iCs w:val="0"/>
          <w:caps w:val="0"/>
          <w:color w:val="333333"/>
          <w:spacing w:val="0"/>
          <w:sz w:val="32"/>
          <w:szCs w:val="32"/>
          <w:shd w:val="clear" w:fill="FFFFFF"/>
        </w:rPr>
        <w:t>管理办法〉的通知》（</w:t>
      </w:r>
      <w:r>
        <w:rPr>
          <w:rFonts w:hint="eastAsia" w:ascii="仿宋" w:hAnsi="仿宋" w:eastAsia="仿宋" w:cs="仿宋"/>
          <w:i w:val="0"/>
          <w:iCs w:val="0"/>
          <w:caps w:val="0"/>
          <w:color w:val="333333"/>
          <w:spacing w:val="0"/>
          <w:sz w:val="32"/>
          <w:szCs w:val="32"/>
          <w:shd w:val="clear" w:fill="FFFFFF"/>
          <w:lang w:val="en-US" w:eastAsia="zh-CN"/>
        </w:rPr>
        <w:t>财预</w:t>
      </w:r>
      <w:r>
        <w:rPr>
          <w:rFonts w:hint="eastAsia" w:ascii="仿宋" w:hAnsi="仿宋" w:eastAsia="仿宋" w:cs="仿宋"/>
          <w:i w:val="0"/>
          <w:iCs w:val="0"/>
          <w:caps w:val="0"/>
          <w:color w:val="333333"/>
          <w:spacing w:val="0"/>
          <w:sz w:val="32"/>
          <w:szCs w:val="32"/>
          <w:shd w:val="clear" w:fill="FFFFFF"/>
        </w:rPr>
        <w:t>〔20</w:t>
      </w:r>
      <w:r>
        <w:rPr>
          <w:rFonts w:hint="eastAsia" w:ascii="仿宋" w:hAnsi="仿宋" w:eastAsia="仿宋" w:cs="仿宋"/>
          <w:i w:val="0"/>
          <w:iCs w:val="0"/>
          <w:caps w:val="0"/>
          <w:color w:val="333333"/>
          <w:spacing w:val="0"/>
          <w:sz w:val="32"/>
          <w:szCs w:val="32"/>
          <w:shd w:val="clear" w:fill="FFFFFF"/>
          <w:lang w:val="en-US" w:eastAsia="zh-CN"/>
        </w:rPr>
        <w:t>20</w:t>
      </w:r>
      <w:r>
        <w:rPr>
          <w:rFonts w:hint="eastAsia" w:ascii="仿宋" w:hAnsi="仿宋" w:eastAsia="仿宋" w:cs="仿宋"/>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号）</w:t>
      </w:r>
      <w:r>
        <w:rPr>
          <w:rFonts w:hint="eastAsia" w:ascii="仿宋" w:hAnsi="仿宋" w:eastAsia="仿宋" w:cs="仿宋"/>
          <w:i w:val="0"/>
          <w:iCs w:val="0"/>
          <w:caps w:val="0"/>
          <w:color w:val="333333"/>
          <w:spacing w:val="0"/>
          <w:sz w:val="32"/>
          <w:szCs w:val="32"/>
          <w:shd w:val="clear" w:fill="FFFFFF"/>
          <w:lang w:val="en-US" w:eastAsia="zh-CN"/>
        </w:rPr>
        <w:t>和</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中共</w:t>
      </w:r>
      <w:r>
        <w:rPr>
          <w:rFonts w:hint="eastAsia" w:ascii="仿宋" w:hAnsi="仿宋" w:eastAsia="仿宋" w:cs="仿宋"/>
          <w:i w:val="0"/>
          <w:iCs w:val="0"/>
          <w:caps w:val="0"/>
          <w:color w:val="333333"/>
          <w:spacing w:val="0"/>
          <w:sz w:val="32"/>
          <w:szCs w:val="32"/>
          <w:shd w:val="clear" w:fill="FFFFFF"/>
        </w:rPr>
        <w:t>湖南省</w:t>
      </w:r>
      <w:r>
        <w:rPr>
          <w:rFonts w:hint="eastAsia" w:ascii="仿宋" w:hAnsi="仿宋" w:eastAsia="仿宋" w:cs="仿宋"/>
          <w:i w:val="0"/>
          <w:iCs w:val="0"/>
          <w:caps w:val="0"/>
          <w:color w:val="333333"/>
          <w:spacing w:val="0"/>
          <w:sz w:val="32"/>
          <w:szCs w:val="32"/>
          <w:shd w:val="clear" w:fill="FFFFFF"/>
          <w:lang w:val="en-US" w:eastAsia="zh-CN"/>
        </w:rPr>
        <w:t>委办公</w:t>
      </w:r>
      <w:r>
        <w:rPr>
          <w:rFonts w:hint="eastAsia" w:ascii="仿宋" w:hAnsi="仿宋" w:eastAsia="仿宋" w:cs="仿宋"/>
          <w:i w:val="0"/>
          <w:iCs w:val="0"/>
          <w:caps w:val="0"/>
          <w:color w:val="333333"/>
          <w:spacing w:val="0"/>
          <w:sz w:val="32"/>
          <w:szCs w:val="32"/>
          <w:shd w:val="clear" w:fill="FFFFFF"/>
        </w:rPr>
        <w:t>厅</w:t>
      </w:r>
      <w:r>
        <w:rPr>
          <w:rFonts w:hint="eastAsia" w:ascii="仿宋" w:hAnsi="仿宋" w:eastAsia="仿宋" w:cs="仿宋"/>
          <w:i w:val="0"/>
          <w:iCs w:val="0"/>
          <w:caps w:val="0"/>
          <w:color w:val="333333"/>
          <w:spacing w:val="0"/>
          <w:sz w:val="32"/>
          <w:szCs w:val="32"/>
          <w:shd w:val="clear" w:fill="FFFFFF"/>
          <w:lang w:val="en-US" w:eastAsia="zh-CN"/>
        </w:rPr>
        <w:t xml:space="preserve"> 湖南省人民政府办公厅关于全面实施预算绩效管理的实施意见</w:t>
      </w:r>
      <w:r>
        <w:rPr>
          <w:rFonts w:hint="eastAsia" w:ascii="仿宋" w:hAnsi="仿宋" w:eastAsia="仿宋" w:cs="仿宋"/>
          <w:i w:val="0"/>
          <w:iCs w:val="0"/>
          <w:caps w:val="0"/>
          <w:color w:val="333333"/>
          <w:spacing w:val="0"/>
          <w:sz w:val="32"/>
          <w:szCs w:val="32"/>
          <w:shd w:val="clear" w:fill="FFFFFF"/>
        </w:rPr>
        <w:t>》（湘</w:t>
      </w:r>
      <w:r>
        <w:rPr>
          <w:rFonts w:hint="eastAsia" w:ascii="仿宋" w:hAnsi="仿宋" w:eastAsia="仿宋" w:cs="仿宋"/>
          <w:i w:val="0"/>
          <w:iCs w:val="0"/>
          <w:caps w:val="0"/>
          <w:color w:val="333333"/>
          <w:spacing w:val="0"/>
          <w:sz w:val="32"/>
          <w:szCs w:val="32"/>
          <w:shd w:val="clear" w:fill="FFFFFF"/>
          <w:lang w:val="en-US" w:eastAsia="zh-CN"/>
        </w:rPr>
        <w:t>政发</w:t>
      </w:r>
      <w:r>
        <w:rPr>
          <w:rFonts w:hint="eastAsia" w:ascii="仿宋" w:hAnsi="仿宋" w:eastAsia="仿宋" w:cs="仿宋"/>
          <w:i w:val="0"/>
          <w:iCs w:val="0"/>
          <w:caps w:val="0"/>
          <w:color w:val="333333"/>
          <w:spacing w:val="0"/>
          <w:sz w:val="32"/>
          <w:szCs w:val="32"/>
          <w:shd w:val="clear" w:fill="FFFFFF"/>
        </w:rPr>
        <w:t>〔20</w:t>
      </w:r>
      <w:r>
        <w:rPr>
          <w:rFonts w:hint="eastAsia" w:ascii="仿宋" w:hAnsi="仿宋" w:eastAsia="仿宋" w:cs="仿宋"/>
          <w:i w:val="0"/>
          <w:iCs w:val="0"/>
          <w:caps w:val="0"/>
          <w:color w:val="333333"/>
          <w:spacing w:val="0"/>
          <w:sz w:val="32"/>
          <w:szCs w:val="32"/>
          <w:shd w:val="clear" w:fill="FFFFFF"/>
          <w:lang w:val="en-US" w:eastAsia="zh-CN"/>
        </w:rPr>
        <w:t>19</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10</w:t>
      </w:r>
      <w:r>
        <w:rPr>
          <w:rFonts w:hint="eastAsia" w:ascii="仿宋" w:hAnsi="仿宋" w:eastAsia="仿宋" w:cs="仿宋"/>
          <w:i w:val="0"/>
          <w:iCs w:val="0"/>
          <w:caps w:val="0"/>
          <w:color w:val="333333"/>
          <w:spacing w:val="0"/>
          <w:sz w:val="32"/>
          <w:szCs w:val="32"/>
          <w:shd w:val="clear" w:fill="FFFFFF"/>
        </w:rPr>
        <w:t>号）</w:t>
      </w:r>
      <w:r>
        <w:rPr>
          <w:rFonts w:hint="eastAsia" w:ascii="仿宋" w:hAnsi="仿宋" w:eastAsia="仿宋" w:cs="仿宋"/>
          <w:i w:val="0"/>
          <w:iCs w:val="0"/>
          <w:caps w:val="0"/>
          <w:color w:val="333333"/>
          <w:spacing w:val="0"/>
          <w:sz w:val="32"/>
          <w:szCs w:val="32"/>
          <w:shd w:val="clear" w:fill="FFFFFF"/>
          <w:lang w:val="en-US" w:eastAsia="zh-CN"/>
        </w:rPr>
        <w:t>等有关文件精神，</w:t>
      </w:r>
      <w:r>
        <w:rPr>
          <w:rFonts w:hint="eastAsia" w:ascii="仿宋" w:hAnsi="仿宋" w:eastAsia="仿宋" w:cs="仿宋"/>
          <w:i w:val="0"/>
          <w:iCs w:val="0"/>
          <w:caps w:val="0"/>
          <w:color w:val="000000"/>
          <w:spacing w:val="0"/>
          <w:sz w:val="32"/>
          <w:szCs w:val="32"/>
          <w:shd w:val="clear" w:fill="FFFFFF"/>
        </w:rPr>
        <w:t>本着对预算支出的经济性、效率性和效益性进行客观、公正的评价的原则，按照绩效评价要求，我局积极组织，对202</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rPr>
        <w:t>年度本单位整体支出进行了绩效自评，现将具体绩效评价情况报告如下：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both"/>
        <w:rPr>
          <w:rFonts w:hint="eastAsia" w:ascii="仿宋" w:hAnsi="仿宋" w:eastAsia="仿宋" w:cs="仿宋"/>
          <w:b/>
          <w:bCs/>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fill="FFFFFF"/>
        </w:rPr>
        <w:t>一、</w:t>
      </w:r>
      <w:r>
        <w:rPr>
          <w:rFonts w:hint="eastAsia" w:ascii="仿宋" w:hAnsi="仿宋" w:eastAsia="仿宋" w:cs="仿宋"/>
          <w:b/>
          <w:bCs/>
          <w:i w:val="0"/>
          <w:iCs w:val="0"/>
          <w:caps w:val="0"/>
          <w:color w:val="333333"/>
          <w:spacing w:val="0"/>
          <w:sz w:val="32"/>
          <w:szCs w:val="32"/>
          <w:shd w:val="clear" w:fill="FFFFFF"/>
          <w:lang w:val="en-US" w:eastAsia="zh-CN"/>
        </w:rPr>
        <w:t>部门、</w:t>
      </w:r>
      <w:r>
        <w:rPr>
          <w:rFonts w:hint="eastAsia" w:ascii="仿宋" w:hAnsi="仿宋" w:eastAsia="仿宋" w:cs="仿宋"/>
          <w:b/>
          <w:bCs/>
          <w:i w:val="0"/>
          <w:iCs w:val="0"/>
          <w:caps w:val="0"/>
          <w:color w:val="333333"/>
          <w:spacing w:val="0"/>
          <w:sz w:val="32"/>
          <w:szCs w:val="32"/>
          <w:shd w:val="clear" w:fill="FFFFFF"/>
        </w:rPr>
        <w:t>单位基本情况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638" w:right="0" w:firstLine="0"/>
        <w:jc w:val="both"/>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（一）机构设置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firstLine="640" w:firstLineChars="200"/>
        <w:jc w:val="both"/>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局机关内设股室</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个：</w:t>
      </w:r>
      <w:r>
        <w:rPr>
          <w:rFonts w:hint="eastAsia" w:ascii="仿宋" w:hAnsi="仿宋" w:eastAsia="仿宋" w:cs="仿宋"/>
          <w:i w:val="0"/>
          <w:iCs w:val="0"/>
          <w:caps w:val="0"/>
          <w:color w:val="333333"/>
          <w:spacing w:val="0"/>
          <w:sz w:val="32"/>
          <w:szCs w:val="32"/>
          <w:shd w:val="clear" w:fill="FFFFFF"/>
          <w:lang w:val="en-US" w:eastAsia="zh-CN"/>
        </w:rPr>
        <w:t>综合</w:t>
      </w:r>
      <w:r>
        <w:rPr>
          <w:rFonts w:hint="eastAsia" w:ascii="仿宋" w:hAnsi="仿宋" w:eastAsia="仿宋" w:cs="仿宋"/>
          <w:i w:val="0"/>
          <w:iCs w:val="0"/>
          <w:caps w:val="0"/>
          <w:color w:val="333333"/>
          <w:spacing w:val="0"/>
          <w:sz w:val="32"/>
          <w:szCs w:val="32"/>
          <w:shd w:val="clear" w:fill="FFFFFF"/>
        </w:rPr>
        <w:t>办公室、督查考核股、法制股、</w:t>
      </w:r>
      <w:r>
        <w:rPr>
          <w:rFonts w:hint="eastAsia" w:ascii="仿宋" w:hAnsi="仿宋" w:eastAsia="仿宋" w:cs="仿宋"/>
          <w:i w:val="0"/>
          <w:iCs w:val="0"/>
          <w:caps w:val="0"/>
          <w:color w:val="333333"/>
          <w:spacing w:val="0"/>
          <w:sz w:val="32"/>
          <w:szCs w:val="32"/>
          <w:shd w:val="clear" w:fill="FFFFFF"/>
          <w:lang w:val="en-US" w:eastAsia="zh-CN"/>
        </w:rPr>
        <w:t>城市管理股</w:t>
      </w:r>
      <w:r>
        <w:rPr>
          <w:rFonts w:hint="eastAsia" w:ascii="仿宋" w:hAnsi="仿宋" w:eastAsia="仿宋" w:cs="仿宋"/>
          <w:i w:val="0"/>
          <w:iCs w:val="0"/>
          <w:caps w:val="0"/>
          <w:color w:val="333333"/>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局下辖</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个大队</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规划执法大队、城区城管执法大队、应急大队、龙岭城管执法大队、渣土执法大队；1个独立核算管理中心：赫山环境卫生服务中心。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区级办公室</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个</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区城市管理委员会办公室、区查违办</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区垃圾分类办公室、区创园林城市办公室</w:t>
      </w:r>
      <w:r>
        <w:rPr>
          <w:rFonts w:hint="eastAsia" w:ascii="仿宋" w:hAnsi="仿宋" w:eastAsia="仿宋" w:cs="仿宋"/>
          <w:i w:val="0"/>
          <w:iCs w:val="0"/>
          <w:caps w:val="0"/>
          <w:color w:val="333333"/>
          <w:spacing w:val="0"/>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638" w:right="0" w:firstLine="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（二）人员编制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638" w:right="0" w:firstLine="0"/>
        <w:jc w:val="both"/>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区城管执法局现有人员</w:t>
      </w:r>
      <w:r>
        <w:rPr>
          <w:rFonts w:hint="eastAsia" w:ascii="仿宋" w:hAnsi="仿宋" w:eastAsia="仿宋" w:cs="仿宋"/>
          <w:i w:val="0"/>
          <w:iCs w:val="0"/>
          <w:caps w:val="0"/>
          <w:color w:val="333333"/>
          <w:spacing w:val="0"/>
          <w:sz w:val="32"/>
          <w:szCs w:val="32"/>
          <w:shd w:val="clear" w:fill="FFFFFF"/>
          <w:lang w:val="en-US" w:eastAsia="zh-CN"/>
        </w:rPr>
        <w:t>176</w:t>
      </w:r>
      <w:r>
        <w:rPr>
          <w:rFonts w:hint="eastAsia" w:ascii="仿宋" w:hAnsi="仿宋" w:eastAsia="仿宋" w:cs="仿宋"/>
          <w:i w:val="0"/>
          <w:iCs w:val="0"/>
          <w:caps w:val="0"/>
          <w:color w:val="333333"/>
          <w:spacing w:val="0"/>
          <w:sz w:val="32"/>
          <w:szCs w:val="32"/>
          <w:shd w:val="clear" w:fill="FFFFFF"/>
        </w:rPr>
        <w:t>人（在职在编1</w:t>
      </w:r>
      <w:r>
        <w:rPr>
          <w:rFonts w:hint="eastAsia" w:ascii="仿宋" w:hAnsi="仿宋" w:eastAsia="仿宋" w:cs="仿宋"/>
          <w:i w:val="0"/>
          <w:iCs w:val="0"/>
          <w:caps w:val="0"/>
          <w:color w:val="333333"/>
          <w:spacing w:val="0"/>
          <w:sz w:val="32"/>
          <w:szCs w:val="32"/>
          <w:shd w:val="clear" w:fill="FFFFFF"/>
          <w:lang w:val="en-US" w:eastAsia="zh-CN"/>
        </w:rPr>
        <w:t>28</w:t>
      </w:r>
      <w:r>
        <w:rPr>
          <w:rFonts w:hint="eastAsia" w:ascii="仿宋" w:hAnsi="仿宋" w:eastAsia="仿宋" w:cs="仿宋"/>
          <w:i w:val="0"/>
          <w:iCs w:val="0"/>
          <w:caps w:val="0"/>
          <w:color w:val="333333"/>
          <w:spacing w:val="0"/>
          <w:sz w:val="32"/>
          <w:szCs w:val="32"/>
          <w:shd w:val="clear" w:fill="FFFFFF"/>
        </w:rPr>
        <w:t>人、退休人员8人、协管员40人）。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638" w:right="0" w:firstLine="0"/>
        <w:jc w:val="both"/>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rPr>
        <w:t>（三）职责职能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638" w:right="0" w:firstLine="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1.贯彻执行城市管理和综合执法工作的方针政策和法律法规。深化城市管理综合行政执法体制改革，加强城市管理行政执法体系建设。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2.负责指导、协调、监督和考核全区城市管理和综合执法工作。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3.负责职责范围内市政公用设施（不含城区供水、供气）监管、城市园林绿化设施建设维护管理工作。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4.负责职责范围内门店招牌、侵占城市道路、城市公共空间等市容秩序的管理。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5.负责城市环境卫生的管理。承担城区环境卫生清扫保洁，城市环境卫生基础设施建设维护管理，生活垃圾、餐厨垃圾和建筑垃圾的处理。推进垃圾分类工作。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6.负责中心城区村（居）民违法违规建设行为的查处。负责区级规划控制区、乡镇规划控制区的查违控违拆违工作。参与联合巡查管理，参与全区查违控违拆违综合管理、监督、检查和考核工作。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7.负责全区禁限区域燃放烟花爆竹污染的监督管理和考核。负责城区焚烧垃圾、秸杆、落叶、沥青塑料等产生烟尘污染和经营性餐饮业油烟污染的监督管理；负责社会生活噪声污染、建筑施工噪声污染、建筑施工扬尘污染、渣土扬尘污染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8.负责职责范围内交通管理方面的城市公共停车场、城市道路停车泊位收费管理。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9.负责职责范围内设置在城市公园与广场的应急避难场所管理，城区路面与广场排渍排涝、城市道路与桥梁、园林绿化照明等应急保障处理。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10.负责中心城区黑臭水体整治后维护管理的业务指导、监督和考核。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11.负责职责范围内路灯的建设维护管理，以及中心城区路灯电费的管理。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12.负责职责范围内“门前三包”责任制的监督和考核工作。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13.负责区级智慧城市管理平台建设维护管理工作。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14.协助乡镇开展镇区秩序整治、空间治理、供水供气监管，负责农村生活垃圾转运。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15.负责职责范围内渣土管理。</w:t>
      </w:r>
    </w:p>
    <w:p>
      <w:pPr>
        <w:pStyle w:val="2"/>
        <w:ind w:firstLine="643" w:firstLineChars="200"/>
        <w:jc w:val="both"/>
        <w:rPr>
          <w:rFonts w:hint="eastAsia" w:ascii="仿宋" w:hAnsi="仿宋" w:eastAsia="仿宋" w:cs="仿宋"/>
          <w:b/>
          <w:bCs/>
          <w:color w:val="000000"/>
          <w:sz w:val="32"/>
          <w:szCs w:val="32"/>
          <w:shd w:val="clear" w:fill="FFFFFF"/>
          <w:lang w:val="en-US" w:eastAsia="zh-CN"/>
        </w:rPr>
      </w:pPr>
      <w:r>
        <w:rPr>
          <w:rFonts w:hint="eastAsia" w:ascii="仿宋" w:hAnsi="仿宋" w:eastAsia="仿宋" w:cs="仿宋"/>
          <w:b/>
          <w:bCs/>
          <w:color w:val="000000"/>
          <w:sz w:val="32"/>
          <w:szCs w:val="32"/>
          <w:shd w:val="clear" w:fill="FFFFFF"/>
          <w:lang w:val="en-US" w:eastAsia="zh-CN"/>
        </w:rPr>
        <w:t>二、一般公共预算支出情况</w:t>
      </w:r>
    </w:p>
    <w:p>
      <w:pPr>
        <w:pStyle w:val="2"/>
        <w:ind w:firstLine="640" w:firstLineChars="200"/>
        <w:jc w:val="both"/>
        <w:rPr>
          <w:rFonts w:hint="eastAsia" w:ascii="仿宋" w:hAnsi="仿宋" w:eastAsia="仿宋" w:cs="仿宋"/>
          <w:b w:val="0"/>
          <w:bCs w:val="0"/>
          <w:color w:val="000000"/>
          <w:sz w:val="32"/>
          <w:szCs w:val="32"/>
          <w:shd w:val="clear" w:fill="FFFFFF"/>
          <w:lang w:val="en-US" w:eastAsia="zh-CN"/>
        </w:rPr>
      </w:pPr>
      <w:r>
        <w:rPr>
          <w:rFonts w:hint="eastAsia" w:ascii="仿宋" w:hAnsi="仿宋" w:eastAsia="仿宋" w:cs="仿宋"/>
          <w:b w:val="0"/>
          <w:bCs w:val="0"/>
          <w:color w:val="000000"/>
          <w:sz w:val="32"/>
          <w:szCs w:val="32"/>
          <w:shd w:val="clear" w:fill="FFFFFF"/>
          <w:lang w:val="en-US" w:eastAsia="zh-CN"/>
        </w:rPr>
        <w:t>（一）基本支出情况</w:t>
      </w:r>
    </w:p>
    <w:p>
      <w:pPr>
        <w:rPr>
          <w:rFonts w:hint="eastAsia" w:ascii="仿宋" w:hAnsi="仿宋" w:eastAsia="仿宋" w:cs="仿宋"/>
          <w:b w:val="0"/>
          <w:bCs w:val="0"/>
          <w:color w:val="000000"/>
          <w:sz w:val="32"/>
          <w:szCs w:val="32"/>
          <w:shd w:val="clear" w:fill="FFFFFF"/>
          <w:lang w:val="en-US" w:eastAsia="zh-CN"/>
        </w:rPr>
      </w:pPr>
      <w:r>
        <w:rPr>
          <w:rFonts w:hint="eastAsia" w:ascii="仿宋" w:hAnsi="仿宋" w:eastAsia="仿宋" w:cs="仿宋"/>
          <w:b/>
          <w:bCs/>
          <w:color w:val="000000"/>
          <w:sz w:val="32"/>
          <w:szCs w:val="32"/>
          <w:shd w:val="clear" w:fill="FFFFFF"/>
          <w:lang w:val="en-US" w:eastAsia="zh-CN"/>
        </w:rPr>
        <w:t xml:space="preserve">    </w:t>
      </w:r>
      <w:r>
        <w:rPr>
          <w:rFonts w:hint="eastAsia" w:ascii="仿宋" w:hAnsi="仿宋" w:eastAsia="仿宋" w:cs="仿宋"/>
          <w:b w:val="0"/>
          <w:bCs w:val="0"/>
          <w:color w:val="000000"/>
          <w:sz w:val="32"/>
          <w:szCs w:val="32"/>
          <w:shd w:val="clear" w:fill="FFFFFF"/>
          <w:lang w:val="en-US" w:eastAsia="zh-CN"/>
        </w:rPr>
        <w:t>2022年度收入支出预算总计6022.66万元，其中财政拨款3598.53万元，非财政拨款收入支出2424.13万元。基本支出2996万元，日常公用支出602.53万元。非财政拨款支出2424.13万元。2021年</w:t>
      </w:r>
      <w:r>
        <w:rPr>
          <w:rFonts w:hint="eastAsia" w:ascii="仿宋" w:hAnsi="仿宋" w:eastAsia="仿宋" w:cs="仿宋"/>
          <w:sz w:val="32"/>
          <w:szCs w:val="32"/>
          <w:shd w:val="clear" w:fill="FFFFFF"/>
          <w:lang w:val="en-US" w:eastAsia="zh-CN"/>
        </w:rPr>
        <w:t>度收入支出预算</w:t>
      </w:r>
      <w:r>
        <w:rPr>
          <w:rFonts w:hint="eastAsia" w:ascii="仿宋" w:hAnsi="仿宋" w:eastAsia="仿宋" w:cs="仿宋"/>
          <w:sz w:val="32"/>
          <w:szCs w:val="32"/>
          <w:shd w:val="clear" w:fill="FFFFFF"/>
        </w:rPr>
        <w:t>合计</w:t>
      </w:r>
      <w:r>
        <w:rPr>
          <w:rFonts w:hint="eastAsia" w:ascii="仿宋" w:hAnsi="仿宋" w:eastAsia="仿宋" w:cs="仿宋"/>
          <w:b w:val="0"/>
          <w:bCs w:val="0"/>
          <w:color w:val="000000"/>
          <w:sz w:val="32"/>
          <w:szCs w:val="32"/>
          <w:shd w:val="clear" w:fill="FFFFFF"/>
          <w:lang w:val="en-US" w:eastAsia="zh-CN"/>
        </w:rPr>
        <w:t>8646.69</w:t>
      </w:r>
      <w:r>
        <w:rPr>
          <w:rFonts w:hint="eastAsia" w:ascii="仿宋" w:hAnsi="仿宋" w:eastAsia="仿宋" w:cs="仿宋"/>
          <w:sz w:val="32"/>
          <w:szCs w:val="32"/>
          <w:shd w:val="clear" w:fill="FFFFFF"/>
        </w:rPr>
        <w:t>万元，</w:t>
      </w:r>
      <w:r>
        <w:rPr>
          <w:rFonts w:hint="eastAsia" w:ascii="仿宋" w:hAnsi="仿宋" w:eastAsia="仿宋" w:cs="仿宋"/>
          <w:b w:val="0"/>
          <w:bCs w:val="0"/>
          <w:color w:val="000000"/>
          <w:sz w:val="32"/>
          <w:szCs w:val="32"/>
          <w:shd w:val="clear" w:fill="FFFFFF"/>
          <w:lang w:val="en-US" w:eastAsia="zh-CN"/>
        </w:rPr>
        <w:t>对比减少了2624.03万元，主要是减少了三微工程项目和</w:t>
      </w:r>
      <w:r>
        <w:rPr>
          <w:rFonts w:hint="eastAsia" w:ascii="仿宋" w:hAnsi="仿宋" w:eastAsia="仿宋" w:cs="仿宋"/>
          <w:color w:val="333333"/>
          <w:sz w:val="32"/>
          <w:szCs w:val="32"/>
          <w:shd w:val="clear" w:fill="FFFFFF"/>
        </w:rPr>
        <w:t>对其他城市基础设施配套费安排的投入</w:t>
      </w:r>
      <w:r>
        <w:rPr>
          <w:rFonts w:hint="eastAsia" w:ascii="仿宋" w:hAnsi="仿宋" w:eastAsia="仿宋" w:cs="仿宋"/>
          <w:b w:val="0"/>
          <w:bCs w:val="0"/>
          <w:color w:val="000000"/>
          <w:sz w:val="32"/>
          <w:szCs w:val="32"/>
          <w:shd w:val="clear" w:fill="FFFFFF"/>
          <w:lang w:val="en-US" w:eastAsia="zh-CN"/>
        </w:rPr>
        <w:t>。</w:t>
      </w:r>
    </w:p>
    <w:p>
      <w:pPr>
        <w:numPr>
          <w:ilvl w:val="0"/>
          <w:numId w:val="1"/>
        </w:numPr>
        <w:ind w:left="640" w:leftChars="0" w:firstLine="0" w:firstLineChars="0"/>
        <w:rPr>
          <w:rFonts w:hint="eastAsia" w:ascii="仿宋" w:hAnsi="仿宋" w:eastAsia="仿宋" w:cs="仿宋"/>
          <w:b/>
          <w:bCs/>
          <w:color w:val="333333"/>
          <w:sz w:val="32"/>
          <w:szCs w:val="32"/>
          <w:shd w:val="clear" w:fill="FFFFFF"/>
          <w:lang w:val="en-US" w:eastAsia="zh-CN"/>
        </w:rPr>
      </w:pPr>
      <w:r>
        <w:rPr>
          <w:rFonts w:hint="eastAsia" w:ascii="仿宋" w:hAnsi="仿宋" w:eastAsia="仿宋" w:cs="仿宋"/>
          <w:b/>
          <w:bCs/>
          <w:color w:val="333333"/>
          <w:sz w:val="32"/>
          <w:szCs w:val="32"/>
          <w:shd w:val="clear" w:fill="FFFFFF"/>
          <w:lang w:val="en-US" w:eastAsia="zh-CN"/>
        </w:rPr>
        <w:t>收入支出与预算对比分析。</w:t>
      </w:r>
    </w:p>
    <w:p>
      <w:pPr>
        <w:pStyle w:val="2"/>
        <w:ind w:firstLine="640" w:firstLineChars="200"/>
        <w:jc w:val="both"/>
        <w:rPr>
          <w:rFonts w:hint="eastAsia" w:ascii="仿宋" w:hAnsi="仿宋" w:eastAsia="仿宋" w:cs="仿宋"/>
          <w:color w:val="333333"/>
          <w:sz w:val="32"/>
          <w:szCs w:val="32"/>
          <w:shd w:val="clear" w:fill="FFFFFF"/>
          <w:lang w:val="en-US" w:eastAsia="zh-CN"/>
        </w:rPr>
      </w:pPr>
      <w:r>
        <w:rPr>
          <w:rFonts w:hint="eastAsia" w:ascii="仿宋" w:hAnsi="仿宋" w:eastAsia="仿宋" w:cs="仿宋"/>
          <w:sz w:val="32"/>
          <w:szCs w:val="32"/>
          <w:lang w:val="en-US" w:eastAsia="zh-CN"/>
        </w:rPr>
        <w:t>2022年度严格按照预算收入进行支出，</w:t>
      </w:r>
      <w:r>
        <w:rPr>
          <w:rFonts w:hint="eastAsia" w:ascii="仿宋" w:hAnsi="仿宋" w:eastAsia="仿宋" w:cs="仿宋"/>
          <w:b w:val="0"/>
          <w:bCs w:val="0"/>
          <w:color w:val="000000"/>
          <w:sz w:val="32"/>
          <w:szCs w:val="32"/>
          <w:shd w:val="clear" w:fill="FFFFFF"/>
          <w:lang w:val="en-US" w:eastAsia="zh-CN"/>
        </w:rPr>
        <w:t>主要是减少了三微工程项目和</w:t>
      </w:r>
      <w:r>
        <w:rPr>
          <w:rFonts w:hint="eastAsia" w:ascii="仿宋" w:hAnsi="仿宋" w:eastAsia="仿宋" w:cs="仿宋"/>
          <w:color w:val="333333"/>
          <w:sz w:val="32"/>
          <w:szCs w:val="32"/>
          <w:shd w:val="clear" w:fill="FFFFFF"/>
        </w:rPr>
        <w:t>对其他城市基础设施配套费安排的投入</w:t>
      </w:r>
      <w:r>
        <w:rPr>
          <w:rFonts w:hint="eastAsia" w:ascii="仿宋" w:hAnsi="仿宋" w:eastAsia="仿宋" w:cs="仿宋"/>
          <w:b w:val="0"/>
          <w:bCs w:val="0"/>
          <w:color w:val="000000"/>
          <w:sz w:val="32"/>
          <w:szCs w:val="32"/>
          <w:shd w:val="clear" w:fill="FFFFFF"/>
          <w:lang w:val="en-US" w:eastAsia="zh-CN"/>
        </w:rPr>
        <w:t>。</w:t>
      </w:r>
    </w:p>
    <w:p>
      <w:pPr>
        <w:numPr>
          <w:ilvl w:val="0"/>
          <w:numId w:val="1"/>
        </w:numPr>
        <w:ind w:left="640" w:leftChars="0" w:firstLine="0" w:firstLineChars="0"/>
        <w:rPr>
          <w:rFonts w:hint="eastAsia" w:ascii="仿宋" w:hAnsi="仿宋" w:eastAsia="仿宋" w:cs="仿宋"/>
          <w:b/>
          <w:bCs/>
          <w:color w:val="333333"/>
          <w:sz w:val="32"/>
          <w:szCs w:val="32"/>
          <w:shd w:val="clear" w:fill="FFFFFF"/>
          <w:lang w:val="en-US" w:eastAsia="zh-CN"/>
        </w:rPr>
      </w:pPr>
      <w:r>
        <w:rPr>
          <w:rFonts w:hint="eastAsia" w:ascii="仿宋" w:hAnsi="仿宋" w:eastAsia="仿宋" w:cs="仿宋"/>
          <w:b/>
          <w:bCs/>
          <w:color w:val="333333"/>
          <w:sz w:val="32"/>
          <w:szCs w:val="32"/>
          <w:shd w:val="clear" w:fill="FFFFFF"/>
          <w:lang w:val="en-US" w:eastAsia="zh-CN"/>
        </w:rPr>
        <w:t>收入支出结构分析。</w:t>
      </w:r>
    </w:p>
    <w:p>
      <w:pPr>
        <w:pStyle w:val="2"/>
        <w:ind w:firstLine="642"/>
        <w:rPr>
          <w:rFonts w:hint="eastAsia" w:ascii="仿宋" w:hAnsi="仿宋" w:eastAsia="仿宋" w:cs="仿宋"/>
          <w:color w:val="333333"/>
          <w:sz w:val="32"/>
          <w:szCs w:val="32"/>
          <w:shd w:val="clear" w:fill="FFFFFF"/>
          <w:lang w:eastAsia="zh-CN"/>
        </w:rPr>
      </w:pPr>
      <w:r>
        <w:rPr>
          <w:rFonts w:hint="eastAsia" w:ascii="仿宋" w:hAnsi="仿宋" w:eastAsia="仿宋" w:cs="仿宋"/>
          <w:b w:val="0"/>
          <w:bCs w:val="0"/>
          <w:color w:val="333333"/>
          <w:sz w:val="32"/>
          <w:szCs w:val="32"/>
          <w:shd w:val="clear" w:fill="FFFFFF"/>
          <w:lang w:val="en-US" w:eastAsia="zh-CN"/>
        </w:rPr>
        <w:t>2022年度收入支出结构与上年度对比情况基本支出平稳</w:t>
      </w:r>
      <w:r>
        <w:rPr>
          <w:rFonts w:hint="eastAsia" w:ascii="仿宋" w:hAnsi="仿宋" w:eastAsia="仿宋" w:cs="仿宋"/>
          <w:color w:val="333333"/>
          <w:sz w:val="32"/>
          <w:szCs w:val="32"/>
          <w:shd w:val="clear" w:fill="FFFFFF"/>
          <w:lang w:eastAsia="zh-CN"/>
        </w:rPr>
        <w:t>。</w:t>
      </w:r>
    </w:p>
    <w:p>
      <w:pPr>
        <w:numPr>
          <w:ilvl w:val="0"/>
          <w:numId w:val="1"/>
        </w:numPr>
        <w:ind w:left="640" w:leftChars="0" w:firstLine="0" w:firstLineChars="0"/>
        <w:rPr>
          <w:rFonts w:hint="eastAsia" w:ascii="仿宋" w:hAnsi="仿宋" w:eastAsia="仿宋" w:cs="仿宋"/>
          <w:b/>
          <w:bCs/>
          <w:color w:val="333333"/>
          <w:sz w:val="32"/>
          <w:szCs w:val="32"/>
          <w:shd w:val="clear" w:fill="FFFFFF"/>
          <w:lang w:val="en-US" w:eastAsia="zh-CN"/>
        </w:rPr>
      </w:pPr>
      <w:r>
        <w:rPr>
          <w:rFonts w:hint="eastAsia" w:ascii="仿宋" w:hAnsi="仿宋" w:eastAsia="仿宋" w:cs="仿宋"/>
          <w:b/>
          <w:bCs/>
          <w:color w:val="333333"/>
          <w:sz w:val="32"/>
          <w:szCs w:val="32"/>
          <w:shd w:val="clear" w:fill="FFFFFF"/>
          <w:lang w:val="en-US" w:eastAsia="zh-CN"/>
        </w:rPr>
        <w:t>支出按经济分类科目分析</w:t>
      </w:r>
    </w:p>
    <w:p>
      <w:pPr>
        <w:numPr>
          <w:ilvl w:val="0"/>
          <w:numId w:val="0"/>
        </w:numPr>
        <w:ind w:firstLine="640" w:firstLineChars="200"/>
        <w:rPr>
          <w:rFonts w:hint="eastAsia" w:ascii="仿宋" w:hAnsi="仿宋" w:eastAsia="仿宋" w:cs="仿宋"/>
          <w:lang w:val="en-US" w:eastAsia="zh-CN"/>
        </w:rPr>
      </w:pPr>
      <w:r>
        <w:rPr>
          <w:rFonts w:hint="eastAsia" w:ascii="仿宋" w:hAnsi="仿宋" w:eastAsia="仿宋" w:cs="仿宋"/>
          <w:b w:val="0"/>
          <w:bCs w:val="0"/>
          <w:color w:val="333333"/>
          <w:sz w:val="32"/>
          <w:szCs w:val="32"/>
          <w:shd w:val="clear" w:fill="FFFFFF"/>
          <w:lang w:val="en-US" w:eastAsia="zh-CN"/>
        </w:rPr>
        <w:t>（1）“三公”经费支出情况：2022年度“三公”经费支出20.32万元，2021年度“三公”经费支出20.32万元，全部为公务用车运行维护费，本着厉行节约、严控开支、降低经费的原则支出与前年度保持平衡。</w:t>
      </w:r>
    </w:p>
    <w:p>
      <w:pPr>
        <w:numPr>
          <w:ilvl w:val="0"/>
          <w:numId w:val="0"/>
        </w:numPr>
        <w:ind w:firstLine="640" w:firstLineChars="200"/>
        <w:rPr>
          <w:rFonts w:hint="eastAsia" w:ascii="仿宋" w:hAnsi="仿宋" w:eastAsia="仿宋" w:cs="仿宋"/>
          <w:b w:val="0"/>
          <w:bCs w:val="0"/>
          <w:color w:val="333333"/>
          <w:sz w:val="32"/>
          <w:szCs w:val="32"/>
          <w:shd w:val="clear" w:fill="FFFFFF"/>
          <w:lang w:val="en-US" w:eastAsia="zh-CN"/>
        </w:rPr>
      </w:pPr>
      <w:r>
        <w:rPr>
          <w:rFonts w:hint="eastAsia" w:ascii="仿宋" w:hAnsi="仿宋" w:eastAsia="仿宋" w:cs="仿宋"/>
          <w:b w:val="0"/>
          <w:bCs w:val="0"/>
          <w:color w:val="333333"/>
          <w:sz w:val="32"/>
          <w:szCs w:val="32"/>
          <w:shd w:val="clear" w:fill="FFFFFF"/>
          <w:lang w:val="en-US" w:eastAsia="zh-CN"/>
        </w:rPr>
        <w:t>（2）会议费支出情况：2022年度会议费支出0万元，2021年度会议费支出2.73万元，本着厉行节约、严控开支、降低经费的原则列行节约开支。</w:t>
      </w:r>
    </w:p>
    <w:p>
      <w:pPr>
        <w:pStyle w:val="2"/>
        <w:ind w:firstLine="640"/>
        <w:rPr>
          <w:rFonts w:hint="eastAsia" w:ascii="仿宋" w:hAnsi="仿宋" w:eastAsia="仿宋" w:cs="仿宋"/>
          <w:b w:val="0"/>
          <w:bCs w:val="0"/>
          <w:color w:val="333333"/>
          <w:sz w:val="32"/>
          <w:szCs w:val="32"/>
          <w:shd w:val="clear" w:fill="FFFFFF"/>
          <w:lang w:val="en-US" w:eastAsia="zh-CN"/>
        </w:rPr>
      </w:pPr>
      <w:r>
        <w:rPr>
          <w:rFonts w:hint="eastAsia" w:ascii="仿宋" w:hAnsi="仿宋" w:eastAsia="仿宋" w:cs="仿宋"/>
          <w:b w:val="0"/>
          <w:bCs w:val="0"/>
          <w:color w:val="333333"/>
          <w:sz w:val="32"/>
          <w:szCs w:val="32"/>
          <w:shd w:val="clear" w:fill="FFFFFF"/>
          <w:lang w:val="en-US" w:eastAsia="zh-CN"/>
        </w:rPr>
        <w:t>（3）培训费支出情况：2022年度培训费开支为42474元，2021年度培训费开支为0元，主要原因是加大了全部干职工对公需科目知识和专业技术知识的培训。</w:t>
      </w:r>
    </w:p>
    <w:p>
      <w:pPr>
        <w:numPr>
          <w:ilvl w:val="0"/>
          <w:numId w:val="1"/>
        </w:numPr>
        <w:ind w:left="640" w:leftChars="0" w:firstLine="0" w:firstLineChars="0"/>
        <w:rPr>
          <w:rFonts w:hint="eastAsia" w:ascii="仿宋" w:hAnsi="仿宋" w:eastAsia="仿宋" w:cs="仿宋"/>
          <w:b/>
          <w:bCs/>
          <w:color w:val="333333"/>
          <w:sz w:val="32"/>
          <w:szCs w:val="32"/>
          <w:shd w:val="clear" w:fill="FFFFFF"/>
          <w:lang w:val="en-US" w:eastAsia="zh-CN"/>
        </w:rPr>
      </w:pPr>
      <w:r>
        <w:rPr>
          <w:rFonts w:hint="eastAsia" w:ascii="仿宋" w:hAnsi="仿宋" w:eastAsia="仿宋" w:cs="仿宋"/>
          <w:b/>
          <w:bCs/>
          <w:color w:val="333333"/>
          <w:sz w:val="32"/>
          <w:szCs w:val="32"/>
          <w:shd w:val="clear" w:fill="FFFFFF"/>
          <w:lang w:val="en-US" w:eastAsia="zh-CN"/>
        </w:rPr>
        <w:t>财政拨款收入、支出分析。</w:t>
      </w:r>
    </w:p>
    <w:p>
      <w:pPr>
        <w:pStyle w:val="5"/>
        <w:keepNext w:val="0"/>
        <w:keepLines w:val="0"/>
        <w:widowControl/>
        <w:suppressLineNumbers w:val="0"/>
        <w:wordWrap w:val="0"/>
        <w:spacing w:before="0" w:beforeAutospacing="0" w:after="0" w:afterAutospacing="0"/>
        <w:ind w:left="0" w:right="0" w:firstLine="640"/>
        <w:jc w:val="left"/>
        <w:rPr>
          <w:rFonts w:hint="eastAsia" w:ascii="仿宋" w:hAnsi="仿宋" w:eastAsia="仿宋" w:cs="仿宋"/>
        </w:rPr>
      </w:pPr>
      <w:r>
        <w:rPr>
          <w:rFonts w:hint="eastAsia" w:ascii="仿宋" w:hAnsi="仿宋" w:eastAsia="仿宋" w:cs="仿宋"/>
          <w:b/>
          <w:bCs/>
          <w:color w:val="000000"/>
          <w:sz w:val="32"/>
          <w:szCs w:val="32"/>
          <w:shd w:val="clear" w:fill="FFFFFF"/>
          <w:lang w:val="en-US" w:eastAsia="zh-CN"/>
        </w:rPr>
        <w:t xml:space="preserve">  </w:t>
      </w:r>
      <w:r>
        <w:rPr>
          <w:rFonts w:hint="eastAsia" w:ascii="仿宋" w:hAnsi="仿宋" w:eastAsia="仿宋" w:cs="仿宋"/>
          <w:color w:val="333333"/>
          <w:sz w:val="32"/>
          <w:szCs w:val="32"/>
          <w:shd w:val="clear" w:fill="FFFFFF"/>
        </w:rPr>
        <w:t>202</w:t>
      </w:r>
      <w:r>
        <w:rPr>
          <w:rFonts w:hint="eastAsia" w:ascii="仿宋" w:hAnsi="仿宋" w:eastAsia="仿宋" w:cs="仿宋"/>
          <w:color w:val="333333"/>
          <w:sz w:val="32"/>
          <w:szCs w:val="32"/>
          <w:shd w:val="clear" w:fill="FFFFFF"/>
          <w:lang w:val="en-US" w:eastAsia="zh-CN"/>
        </w:rPr>
        <w:t>2</w:t>
      </w:r>
      <w:r>
        <w:rPr>
          <w:rFonts w:hint="eastAsia" w:ascii="仿宋" w:hAnsi="仿宋" w:eastAsia="仿宋" w:cs="仿宋"/>
          <w:color w:val="333333"/>
          <w:sz w:val="32"/>
          <w:szCs w:val="32"/>
          <w:shd w:val="clear" w:fill="FFFFFF"/>
        </w:rPr>
        <w:t>年度</w:t>
      </w:r>
      <w:r>
        <w:rPr>
          <w:rFonts w:hint="eastAsia" w:ascii="仿宋" w:hAnsi="仿宋" w:eastAsia="仿宋" w:cs="仿宋"/>
          <w:color w:val="333333"/>
          <w:sz w:val="32"/>
          <w:szCs w:val="32"/>
          <w:shd w:val="clear" w:fill="FFFFFF"/>
          <w:lang w:val="en-US" w:eastAsia="zh-CN"/>
        </w:rPr>
        <w:t>财政拨款</w:t>
      </w:r>
      <w:r>
        <w:rPr>
          <w:rFonts w:hint="eastAsia" w:ascii="仿宋" w:hAnsi="仿宋" w:eastAsia="仿宋" w:cs="仿宋"/>
          <w:color w:val="333333"/>
          <w:sz w:val="32"/>
          <w:szCs w:val="32"/>
          <w:shd w:val="clear" w:fill="FFFFFF"/>
        </w:rPr>
        <w:t>收入总计</w:t>
      </w:r>
      <w:r>
        <w:rPr>
          <w:rFonts w:hint="eastAsia" w:ascii="仿宋" w:hAnsi="仿宋" w:eastAsia="仿宋" w:cs="仿宋"/>
          <w:b w:val="0"/>
          <w:bCs w:val="0"/>
          <w:color w:val="000000"/>
          <w:sz w:val="32"/>
          <w:szCs w:val="32"/>
          <w:shd w:val="clear" w:fill="FFFFFF"/>
          <w:lang w:val="en-US" w:eastAsia="zh-CN"/>
        </w:rPr>
        <w:t>3598.53</w:t>
      </w:r>
      <w:r>
        <w:rPr>
          <w:rFonts w:hint="eastAsia" w:ascii="仿宋" w:hAnsi="仿宋" w:eastAsia="仿宋" w:cs="仿宋"/>
          <w:color w:val="333333"/>
          <w:sz w:val="32"/>
          <w:szCs w:val="32"/>
          <w:shd w:val="clear" w:fill="FFFFFF"/>
        </w:rPr>
        <w:t>万元</w:t>
      </w:r>
      <w:r>
        <w:rPr>
          <w:rFonts w:hint="eastAsia" w:ascii="仿宋" w:hAnsi="仿宋" w:eastAsia="仿宋" w:cs="仿宋"/>
          <w:b w:val="0"/>
          <w:bCs w:val="0"/>
          <w:color w:val="000000"/>
          <w:sz w:val="32"/>
          <w:szCs w:val="32"/>
          <w:shd w:val="clear" w:fill="FFFFFF"/>
          <w:lang w:val="en-US" w:eastAsia="zh-CN"/>
        </w:rPr>
        <w:t>，支出总计3598.53万元，基本支出1554.25万元，日常公用支出721.75万元，项目支出</w:t>
      </w:r>
      <w:r>
        <w:rPr>
          <w:rFonts w:hint="eastAsia" w:ascii="仿宋" w:hAnsi="仿宋" w:eastAsia="仿宋" w:cs="仿宋"/>
          <w:color w:val="000000"/>
          <w:sz w:val="32"/>
          <w:szCs w:val="32"/>
          <w:lang w:val="en-US" w:eastAsia="zh-CN"/>
        </w:rPr>
        <w:t>1322.53</w:t>
      </w:r>
      <w:r>
        <w:rPr>
          <w:rFonts w:hint="eastAsia" w:ascii="仿宋" w:hAnsi="仿宋" w:eastAsia="仿宋" w:cs="仿宋"/>
          <w:b w:val="0"/>
          <w:bCs w:val="0"/>
          <w:color w:val="000000"/>
          <w:sz w:val="32"/>
          <w:szCs w:val="32"/>
          <w:shd w:val="clear" w:fill="FFFFFF"/>
          <w:lang w:val="en-US" w:eastAsia="zh-CN"/>
        </w:rPr>
        <w:t>万元。</w:t>
      </w:r>
      <w:r>
        <w:rPr>
          <w:rFonts w:hint="eastAsia" w:ascii="仿宋" w:hAnsi="仿宋" w:eastAsia="仿宋" w:cs="仿宋"/>
          <w:sz w:val="32"/>
          <w:szCs w:val="32"/>
          <w:shd w:val="clear" w:fill="FFFFFF"/>
        </w:rPr>
        <w:t>其中:人员经费</w:t>
      </w:r>
      <w:r>
        <w:rPr>
          <w:rFonts w:hint="eastAsia" w:ascii="仿宋" w:hAnsi="仿宋" w:eastAsia="仿宋" w:cs="仿宋"/>
          <w:b w:val="0"/>
          <w:bCs w:val="0"/>
          <w:color w:val="000000"/>
          <w:sz w:val="32"/>
          <w:szCs w:val="32"/>
          <w:shd w:val="clear" w:fill="FFFFFF"/>
          <w:lang w:val="en-US" w:eastAsia="zh-CN"/>
        </w:rPr>
        <w:t>1554.25</w:t>
      </w:r>
      <w:r>
        <w:rPr>
          <w:rFonts w:hint="eastAsia" w:ascii="仿宋" w:hAnsi="仿宋" w:eastAsia="仿宋" w:cs="仿宋"/>
          <w:sz w:val="32"/>
          <w:szCs w:val="32"/>
          <w:shd w:val="clear" w:fill="FFFFFF"/>
        </w:rPr>
        <w:t>万元，</w:t>
      </w:r>
      <w:r>
        <w:rPr>
          <w:rFonts w:hint="eastAsia" w:ascii="仿宋" w:hAnsi="仿宋" w:eastAsia="仿宋" w:cs="仿宋"/>
          <w:color w:val="000000"/>
          <w:sz w:val="32"/>
          <w:szCs w:val="32"/>
          <w:shd w:val="clear" w:fill="FFFFFF"/>
        </w:rPr>
        <w:t>占</w:t>
      </w:r>
      <w:r>
        <w:rPr>
          <w:rFonts w:hint="eastAsia" w:ascii="仿宋" w:hAnsi="仿宋" w:eastAsia="仿宋" w:cs="仿宋"/>
          <w:color w:val="000000"/>
          <w:sz w:val="32"/>
          <w:szCs w:val="32"/>
          <w:shd w:val="clear" w:fill="FFFFFF"/>
          <w:lang w:val="en-US" w:eastAsia="zh-CN"/>
        </w:rPr>
        <w:t>财政拨款</w:t>
      </w:r>
      <w:r>
        <w:rPr>
          <w:rFonts w:hint="eastAsia" w:ascii="仿宋" w:hAnsi="仿宋" w:eastAsia="仿宋" w:cs="仿宋"/>
          <w:color w:val="000000"/>
          <w:sz w:val="32"/>
          <w:szCs w:val="32"/>
          <w:shd w:val="clear" w:fill="FFFFFF"/>
        </w:rPr>
        <w:t>支出的</w:t>
      </w:r>
      <w:r>
        <w:rPr>
          <w:rFonts w:hint="eastAsia" w:ascii="仿宋" w:hAnsi="仿宋" w:eastAsia="仿宋" w:cs="仿宋"/>
          <w:color w:val="000000"/>
          <w:sz w:val="32"/>
          <w:szCs w:val="32"/>
          <w:shd w:val="clear" w:fill="FFFFFF"/>
          <w:lang w:val="en-US" w:eastAsia="zh-CN"/>
        </w:rPr>
        <w:t>43.19</w:t>
      </w:r>
      <w:r>
        <w:rPr>
          <w:rFonts w:hint="eastAsia" w:ascii="仿宋" w:hAnsi="仿宋" w:eastAsia="仿宋" w:cs="仿宋"/>
          <w:color w:val="000000"/>
          <w:sz w:val="32"/>
          <w:szCs w:val="32"/>
          <w:shd w:val="clear" w:fill="FFFFFF"/>
        </w:rPr>
        <w:t>%，</w:t>
      </w:r>
      <w:r>
        <w:rPr>
          <w:rFonts w:hint="eastAsia" w:ascii="仿宋" w:hAnsi="仿宋" w:eastAsia="仿宋" w:cs="仿宋"/>
          <w:sz w:val="32"/>
          <w:szCs w:val="32"/>
          <w:shd w:val="clear" w:fill="FFFFFF"/>
        </w:rPr>
        <w:t>主要包括基本工资</w:t>
      </w:r>
      <w:r>
        <w:rPr>
          <w:rFonts w:hint="eastAsia" w:ascii="仿宋" w:hAnsi="仿宋" w:eastAsia="仿宋" w:cs="仿宋"/>
          <w:sz w:val="32"/>
          <w:szCs w:val="32"/>
          <w:shd w:val="clear" w:fill="FFFFFF"/>
          <w:lang w:val="en-US" w:eastAsia="zh-CN"/>
        </w:rPr>
        <w:t>489.35</w:t>
      </w:r>
      <w:r>
        <w:rPr>
          <w:rFonts w:hint="eastAsia" w:ascii="仿宋" w:hAnsi="仿宋" w:eastAsia="仿宋" w:cs="仿宋"/>
          <w:sz w:val="32"/>
          <w:szCs w:val="32"/>
          <w:shd w:val="clear" w:fill="FFFFFF"/>
        </w:rPr>
        <w:t>万元、津贴补贴</w:t>
      </w:r>
      <w:r>
        <w:rPr>
          <w:rFonts w:hint="eastAsia" w:ascii="仿宋" w:hAnsi="仿宋" w:eastAsia="仿宋" w:cs="仿宋"/>
          <w:sz w:val="32"/>
          <w:szCs w:val="32"/>
          <w:shd w:val="clear" w:fill="FFFFFF"/>
          <w:lang w:val="en-US" w:eastAsia="zh-CN"/>
        </w:rPr>
        <w:t>18.48</w:t>
      </w:r>
      <w:r>
        <w:rPr>
          <w:rFonts w:hint="eastAsia" w:ascii="仿宋" w:hAnsi="仿宋" w:eastAsia="仿宋" w:cs="仿宋"/>
          <w:sz w:val="32"/>
          <w:szCs w:val="32"/>
          <w:shd w:val="clear" w:fill="FFFFFF"/>
        </w:rPr>
        <w:t>万元、奖金</w:t>
      </w:r>
      <w:r>
        <w:rPr>
          <w:rFonts w:hint="eastAsia" w:ascii="仿宋" w:hAnsi="仿宋" w:eastAsia="仿宋" w:cs="仿宋"/>
          <w:sz w:val="32"/>
          <w:szCs w:val="32"/>
          <w:shd w:val="clear" w:fill="FFFFFF"/>
          <w:lang w:val="en-US" w:eastAsia="zh-CN"/>
        </w:rPr>
        <w:t>27</w:t>
      </w:r>
      <w:r>
        <w:rPr>
          <w:rFonts w:hint="eastAsia" w:ascii="仿宋" w:hAnsi="仿宋" w:eastAsia="仿宋" w:cs="仿宋"/>
          <w:sz w:val="32"/>
          <w:szCs w:val="32"/>
          <w:shd w:val="clear" w:fill="FFFFFF"/>
        </w:rPr>
        <w:t>万元、伙食补助费</w:t>
      </w:r>
      <w:r>
        <w:rPr>
          <w:rFonts w:hint="eastAsia" w:ascii="仿宋" w:hAnsi="仿宋" w:eastAsia="仿宋" w:cs="仿宋"/>
          <w:sz w:val="32"/>
          <w:szCs w:val="32"/>
          <w:shd w:val="clear" w:fill="FFFFFF"/>
          <w:lang w:val="en-US" w:eastAsia="zh-CN"/>
        </w:rPr>
        <w:t>74.74</w:t>
      </w:r>
      <w:r>
        <w:rPr>
          <w:rFonts w:hint="eastAsia" w:ascii="仿宋" w:hAnsi="仿宋" w:eastAsia="仿宋" w:cs="仿宋"/>
          <w:sz w:val="32"/>
          <w:szCs w:val="32"/>
          <w:shd w:val="clear" w:fill="FFFFFF"/>
        </w:rPr>
        <w:t>万元、绩效工资</w:t>
      </w:r>
      <w:r>
        <w:rPr>
          <w:rFonts w:hint="eastAsia" w:ascii="仿宋" w:hAnsi="仿宋" w:eastAsia="仿宋" w:cs="仿宋"/>
          <w:sz w:val="32"/>
          <w:szCs w:val="32"/>
          <w:shd w:val="clear" w:fill="FFFFFF"/>
          <w:lang w:val="en-US" w:eastAsia="zh-CN"/>
        </w:rPr>
        <w:t>314.4</w:t>
      </w:r>
      <w:r>
        <w:rPr>
          <w:rFonts w:hint="eastAsia" w:ascii="仿宋" w:hAnsi="仿宋" w:eastAsia="仿宋" w:cs="仿宋"/>
          <w:sz w:val="32"/>
          <w:szCs w:val="32"/>
          <w:shd w:val="clear" w:fill="FFFFFF"/>
        </w:rPr>
        <w:t>万元、机关事业单位基本养老保险缴费</w:t>
      </w:r>
      <w:r>
        <w:rPr>
          <w:rFonts w:hint="eastAsia" w:ascii="仿宋" w:hAnsi="仿宋" w:eastAsia="仿宋" w:cs="仿宋"/>
          <w:sz w:val="32"/>
          <w:szCs w:val="32"/>
          <w:shd w:val="clear" w:fill="FFFFFF"/>
          <w:lang w:val="en-US" w:eastAsia="zh-CN"/>
        </w:rPr>
        <w:t>176.99</w:t>
      </w:r>
      <w:r>
        <w:rPr>
          <w:rFonts w:hint="eastAsia" w:ascii="仿宋" w:hAnsi="仿宋" w:eastAsia="仿宋" w:cs="仿宋"/>
          <w:sz w:val="32"/>
          <w:szCs w:val="32"/>
          <w:shd w:val="clear" w:fill="FFFFFF"/>
        </w:rPr>
        <w:t>万元、职业年金缴费</w:t>
      </w:r>
      <w:r>
        <w:rPr>
          <w:rFonts w:hint="eastAsia" w:ascii="仿宋" w:hAnsi="仿宋" w:eastAsia="仿宋" w:cs="仿宋"/>
          <w:sz w:val="32"/>
          <w:szCs w:val="32"/>
          <w:shd w:val="clear" w:fill="FFFFFF"/>
          <w:lang w:val="en-US" w:eastAsia="zh-CN"/>
        </w:rPr>
        <w:t>52.57</w:t>
      </w:r>
      <w:r>
        <w:rPr>
          <w:rFonts w:hint="eastAsia" w:ascii="仿宋" w:hAnsi="仿宋" w:eastAsia="仿宋" w:cs="仿宋"/>
          <w:sz w:val="32"/>
          <w:szCs w:val="32"/>
          <w:shd w:val="clear" w:fill="FFFFFF"/>
        </w:rPr>
        <w:t>万元、职工基本医疗保险缴费</w:t>
      </w:r>
      <w:r>
        <w:rPr>
          <w:rFonts w:hint="eastAsia" w:ascii="仿宋" w:hAnsi="仿宋" w:eastAsia="仿宋" w:cs="仿宋"/>
          <w:sz w:val="32"/>
          <w:szCs w:val="32"/>
          <w:shd w:val="clear" w:fill="FFFFFF"/>
          <w:lang w:val="en-US" w:eastAsia="zh-CN"/>
        </w:rPr>
        <w:t>115.61</w:t>
      </w:r>
      <w:r>
        <w:rPr>
          <w:rFonts w:hint="eastAsia" w:ascii="仿宋" w:hAnsi="仿宋" w:eastAsia="仿宋" w:cs="仿宋"/>
          <w:sz w:val="32"/>
          <w:szCs w:val="32"/>
          <w:shd w:val="clear" w:fill="FFFFFF"/>
        </w:rPr>
        <w:t>万元、公务员医疗补助缴费0元（本年无发生额）、其他社会保障缴费</w:t>
      </w:r>
      <w:r>
        <w:rPr>
          <w:rFonts w:hint="eastAsia" w:ascii="仿宋" w:hAnsi="仿宋" w:eastAsia="仿宋" w:cs="仿宋"/>
          <w:sz w:val="32"/>
          <w:szCs w:val="32"/>
          <w:shd w:val="clear" w:fill="FFFFFF"/>
          <w:lang w:val="en-US" w:eastAsia="zh-CN"/>
        </w:rPr>
        <w:t>1.27</w:t>
      </w:r>
      <w:r>
        <w:rPr>
          <w:rFonts w:hint="eastAsia" w:ascii="仿宋" w:hAnsi="仿宋" w:eastAsia="仿宋" w:cs="仿宋"/>
          <w:sz w:val="32"/>
          <w:szCs w:val="32"/>
          <w:shd w:val="clear" w:fill="FFFFFF"/>
        </w:rPr>
        <w:t>万元、住房公积金</w:t>
      </w:r>
      <w:r>
        <w:rPr>
          <w:rFonts w:hint="eastAsia" w:ascii="仿宋" w:hAnsi="仿宋" w:eastAsia="仿宋" w:cs="仿宋"/>
          <w:sz w:val="32"/>
          <w:szCs w:val="32"/>
          <w:shd w:val="clear" w:fill="FFFFFF"/>
          <w:lang w:val="en-US" w:eastAsia="zh-CN"/>
        </w:rPr>
        <w:t>242.2</w:t>
      </w:r>
      <w:r>
        <w:rPr>
          <w:rFonts w:hint="eastAsia" w:ascii="仿宋" w:hAnsi="仿宋" w:eastAsia="仿宋" w:cs="仿宋"/>
          <w:sz w:val="32"/>
          <w:szCs w:val="32"/>
          <w:shd w:val="clear" w:fill="FFFFFF"/>
        </w:rPr>
        <w:t>万元、医疗费0元（本年无发生额）、其他工资福利支出</w:t>
      </w:r>
      <w:r>
        <w:rPr>
          <w:rFonts w:hint="eastAsia" w:ascii="仿宋" w:hAnsi="仿宋" w:eastAsia="仿宋" w:cs="仿宋"/>
          <w:sz w:val="32"/>
          <w:szCs w:val="32"/>
          <w:shd w:val="clear" w:fill="FFFFFF"/>
          <w:lang w:val="en-US" w:eastAsia="zh-CN"/>
        </w:rPr>
        <w:t>32.14</w:t>
      </w:r>
      <w:r>
        <w:rPr>
          <w:rFonts w:hint="eastAsia" w:ascii="仿宋" w:hAnsi="仿宋" w:eastAsia="仿宋" w:cs="仿宋"/>
          <w:sz w:val="32"/>
          <w:szCs w:val="32"/>
          <w:shd w:val="clear" w:fill="FFFFFF"/>
        </w:rPr>
        <w:t>万元、离休费0元（本年无发生额）、退休费0万元（本年无发生额）、抚恤金0元（本年无发生额）、生活补助</w:t>
      </w:r>
      <w:r>
        <w:rPr>
          <w:rFonts w:hint="eastAsia" w:ascii="仿宋" w:hAnsi="仿宋" w:eastAsia="仿宋" w:cs="仿宋"/>
          <w:sz w:val="32"/>
          <w:szCs w:val="32"/>
          <w:shd w:val="clear" w:fill="FFFFFF"/>
          <w:lang w:val="en-US" w:eastAsia="zh-CN"/>
        </w:rPr>
        <w:t>3.29</w:t>
      </w:r>
      <w:r>
        <w:rPr>
          <w:rFonts w:hint="eastAsia" w:ascii="仿宋" w:hAnsi="仿宋" w:eastAsia="仿宋" w:cs="仿宋"/>
          <w:sz w:val="32"/>
          <w:szCs w:val="32"/>
          <w:shd w:val="clear" w:fill="FFFFFF"/>
        </w:rPr>
        <w:t>万元、医疗费补助</w:t>
      </w:r>
      <w:r>
        <w:rPr>
          <w:rFonts w:hint="eastAsia" w:ascii="仿宋" w:hAnsi="仿宋" w:eastAsia="仿宋" w:cs="仿宋"/>
          <w:sz w:val="32"/>
          <w:szCs w:val="32"/>
          <w:shd w:val="clear" w:fill="FFFFFF"/>
          <w:lang w:val="en-US" w:eastAsia="zh-CN"/>
        </w:rPr>
        <w:t>0万</w:t>
      </w:r>
      <w:r>
        <w:rPr>
          <w:rFonts w:hint="eastAsia" w:ascii="仿宋" w:hAnsi="仿宋" w:eastAsia="仿宋" w:cs="仿宋"/>
          <w:sz w:val="32"/>
          <w:szCs w:val="32"/>
          <w:shd w:val="clear" w:fill="FFFFFF"/>
        </w:rPr>
        <w:t>元（本年无发生额）、奖励金</w:t>
      </w:r>
      <w:r>
        <w:rPr>
          <w:rFonts w:hint="eastAsia" w:ascii="仿宋" w:hAnsi="仿宋" w:eastAsia="仿宋" w:cs="仿宋"/>
          <w:sz w:val="32"/>
          <w:szCs w:val="32"/>
          <w:shd w:val="clear" w:fill="FFFFFF"/>
          <w:lang w:val="en-US" w:eastAsia="zh-CN"/>
        </w:rPr>
        <w:t>6.74</w:t>
      </w:r>
      <w:r>
        <w:rPr>
          <w:rFonts w:hint="eastAsia" w:ascii="仿宋" w:hAnsi="仿宋" w:eastAsia="仿宋" w:cs="仿宋"/>
          <w:sz w:val="32"/>
          <w:szCs w:val="32"/>
          <w:shd w:val="clear" w:fill="FFFFFF"/>
        </w:rPr>
        <w:t>万元、其他对个人和家庭的补助</w:t>
      </w:r>
      <w:r>
        <w:rPr>
          <w:rFonts w:hint="eastAsia" w:ascii="仿宋" w:hAnsi="仿宋" w:eastAsia="仿宋" w:cs="仿宋"/>
          <w:sz w:val="32"/>
          <w:szCs w:val="32"/>
          <w:shd w:val="clear" w:fill="FFFFFF"/>
          <w:lang w:val="en-US" w:eastAsia="zh-CN"/>
        </w:rPr>
        <w:t>0.4</w:t>
      </w:r>
      <w:r>
        <w:rPr>
          <w:rFonts w:hint="eastAsia" w:ascii="仿宋" w:hAnsi="仿宋" w:eastAsia="仿宋" w:cs="仿宋"/>
          <w:sz w:val="32"/>
          <w:szCs w:val="32"/>
          <w:shd w:val="clear" w:fill="FFFFFF"/>
        </w:rPr>
        <w:t>元；公用经费</w:t>
      </w:r>
      <w:r>
        <w:rPr>
          <w:rFonts w:hint="eastAsia" w:ascii="仿宋" w:hAnsi="仿宋" w:eastAsia="仿宋" w:cs="仿宋"/>
          <w:sz w:val="32"/>
          <w:szCs w:val="32"/>
          <w:shd w:val="clear" w:fill="FFFFFF"/>
          <w:lang w:val="en-US" w:eastAsia="zh-CN"/>
        </w:rPr>
        <w:t>721.75</w:t>
      </w:r>
      <w:r>
        <w:rPr>
          <w:rFonts w:hint="eastAsia" w:ascii="仿宋" w:hAnsi="仿宋" w:eastAsia="仿宋" w:cs="仿宋"/>
          <w:sz w:val="32"/>
          <w:szCs w:val="32"/>
          <w:shd w:val="clear" w:fill="FFFFFF"/>
        </w:rPr>
        <w:t>万元，</w:t>
      </w:r>
      <w:r>
        <w:rPr>
          <w:rFonts w:hint="eastAsia" w:ascii="仿宋" w:hAnsi="仿宋" w:eastAsia="仿宋" w:cs="仿宋"/>
          <w:color w:val="000000"/>
          <w:sz w:val="32"/>
          <w:szCs w:val="32"/>
          <w:shd w:val="clear" w:fill="FFFFFF"/>
        </w:rPr>
        <w:t>占</w:t>
      </w:r>
      <w:r>
        <w:rPr>
          <w:rFonts w:hint="eastAsia" w:ascii="仿宋" w:hAnsi="仿宋" w:eastAsia="仿宋" w:cs="仿宋"/>
          <w:color w:val="000000"/>
          <w:sz w:val="32"/>
          <w:szCs w:val="32"/>
          <w:shd w:val="clear" w:fill="FFFFFF"/>
          <w:lang w:val="en-US" w:eastAsia="zh-CN"/>
        </w:rPr>
        <w:t>财政拨款</w:t>
      </w:r>
      <w:r>
        <w:rPr>
          <w:rFonts w:hint="eastAsia" w:ascii="仿宋" w:hAnsi="仿宋" w:eastAsia="仿宋" w:cs="仿宋"/>
          <w:color w:val="000000"/>
          <w:sz w:val="32"/>
          <w:szCs w:val="32"/>
          <w:shd w:val="clear" w:fill="FFFFFF"/>
        </w:rPr>
        <w:t>支出的</w:t>
      </w:r>
      <w:r>
        <w:rPr>
          <w:rFonts w:hint="eastAsia" w:ascii="仿宋" w:hAnsi="仿宋" w:eastAsia="仿宋" w:cs="仿宋"/>
          <w:color w:val="000000"/>
          <w:sz w:val="32"/>
          <w:szCs w:val="32"/>
          <w:shd w:val="clear" w:fill="FFFFFF"/>
          <w:lang w:val="en-US" w:eastAsia="zh-CN"/>
        </w:rPr>
        <w:t>20</w:t>
      </w:r>
      <w:r>
        <w:rPr>
          <w:rFonts w:hint="eastAsia" w:ascii="仿宋" w:hAnsi="仿宋" w:eastAsia="仿宋" w:cs="仿宋"/>
          <w:color w:val="000000"/>
          <w:sz w:val="32"/>
          <w:szCs w:val="32"/>
          <w:shd w:val="clear" w:fill="FFFFFF"/>
        </w:rPr>
        <w:t>%，</w:t>
      </w:r>
      <w:r>
        <w:rPr>
          <w:rFonts w:hint="eastAsia" w:ascii="仿宋" w:hAnsi="仿宋" w:eastAsia="仿宋" w:cs="仿宋"/>
          <w:sz w:val="32"/>
          <w:szCs w:val="32"/>
          <w:shd w:val="clear" w:fill="FFFFFF"/>
        </w:rPr>
        <w:t>主要包括办公费</w:t>
      </w:r>
      <w:r>
        <w:rPr>
          <w:rFonts w:hint="eastAsia" w:ascii="仿宋" w:hAnsi="仿宋" w:eastAsia="仿宋" w:cs="仿宋"/>
          <w:sz w:val="32"/>
          <w:szCs w:val="32"/>
          <w:shd w:val="clear" w:fill="FFFFFF"/>
          <w:lang w:val="en-US" w:eastAsia="zh-CN"/>
        </w:rPr>
        <w:t>39.86</w:t>
      </w:r>
      <w:r>
        <w:rPr>
          <w:rFonts w:hint="eastAsia" w:ascii="仿宋" w:hAnsi="仿宋" w:eastAsia="仿宋" w:cs="仿宋"/>
          <w:sz w:val="32"/>
          <w:szCs w:val="32"/>
          <w:shd w:val="clear" w:fill="FFFFFF"/>
        </w:rPr>
        <w:t>万元、印刷费</w:t>
      </w:r>
      <w:r>
        <w:rPr>
          <w:rFonts w:hint="eastAsia" w:ascii="仿宋" w:hAnsi="仿宋" w:eastAsia="仿宋" w:cs="仿宋"/>
          <w:sz w:val="32"/>
          <w:szCs w:val="32"/>
          <w:shd w:val="clear" w:fill="FFFFFF"/>
          <w:lang w:val="en-US" w:eastAsia="zh-CN"/>
        </w:rPr>
        <w:t>15.27</w:t>
      </w:r>
      <w:r>
        <w:rPr>
          <w:rFonts w:hint="eastAsia" w:ascii="仿宋" w:hAnsi="仿宋" w:eastAsia="仿宋" w:cs="仿宋"/>
          <w:sz w:val="32"/>
          <w:szCs w:val="32"/>
          <w:shd w:val="clear" w:fill="FFFFFF"/>
        </w:rPr>
        <w:t>万元、咨询费</w:t>
      </w:r>
      <w:r>
        <w:rPr>
          <w:rFonts w:hint="eastAsia" w:ascii="仿宋" w:hAnsi="仿宋" w:eastAsia="仿宋" w:cs="仿宋"/>
          <w:sz w:val="32"/>
          <w:szCs w:val="32"/>
          <w:shd w:val="clear" w:fill="FFFFFF"/>
          <w:lang w:val="en-US" w:eastAsia="zh-CN"/>
        </w:rPr>
        <w:t>0</w:t>
      </w:r>
      <w:r>
        <w:rPr>
          <w:rFonts w:hint="eastAsia" w:ascii="仿宋" w:hAnsi="仿宋" w:eastAsia="仿宋" w:cs="仿宋"/>
          <w:sz w:val="32"/>
          <w:szCs w:val="32"/>
          <w:shd w:val="clear" w:fill="FFFFFF"/>
        </w:rPr>
        <w:t>万元（本年无发生额）、手续费0元（本年无发生额）、水费</w:t>
      </w:r>
      <w:r>
        <w:rPr>
          <w:rFonts w:hint="eastAsia" w:ascii="仿宋" w:hAnsi="仿宋" w:eastAsia="仿宋" w:cs="仿宋"/>
          <w:sz w:val="32"/>
          <w:szCs w:val="32"/>
          <w:shd w:val="clear" w:fill="FFFFFF"/>
          <w:lang w:val="en-US" w:eastAsia="zh-CN"/>
        </w:rPr>
        <w:t>1.18</w:t>
      </w:r>
      <w:r>
        <w:rPr>
          <w:rFonts w:hint="eastAsia" w:ascii="仿宋" w:hAnsi="仿宋" w:eastAsia="仿宋" w:cs="仿宋"/>
          <w:sz w:val="32"/>
          <w:szCs w:val="32"/>
          <w:shd w:val="clear" w:fill="FFFFFF"/>
        </w:rPr>
        <w:t>万元、电费</w:t>
      </w:r>
      <w:r>
        <w:rPr>
          <w:rFonts w:hint="eastAsia" w:ascii="仿宋" w:hAnsi="仿宋" w:eastAsia="仿宋" w:cs="仿宋"/>
          <w:sz w:val="32"/>
          <w:szCs w:val="32"/>
          <w:shd w:val="clear" w:fill="FFFFFF"/>
          <w:lang w:val="en-US" w:eastAsia="zh-CN"/>
        </w:rPr>
        <w:t>0</w:t>
      </w:r>
      <w:r>
        <w:rPr>
          <w:rFonts w:hint="eastAsia" w:ascii="仿宋" w:hAnsi="仿宋" w:eastAsia="仿宋" w:cs="仿宋"/>
          <w:sz w:val="32"/>
          <w:szCs w:val="32"/>
          <w:shd w:val="clear" w:fill="FFFFFF"/>
        </w:rPr>
        <w:t>万元</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lang w:val="en-US" w:eastAsia="zh-CN"/>
        </w:rPr>
        <w:t>电费例路灯电费项目核算）</w:t>
      </w:r>
      <w:r>
        <w:rPr>
          <w:rFonts w:hint="eastAsia" w:ascii="仿宋" w:hAnsi="仿宋" w:eastAsia="仿宋" w:cs="仿宋"/>
          <w:sz w:val="32"/>
          <w:szCs w:val="32"/>
          <w:shd w:val="clear" w:fill="FFFFFF"/>
        </w:rPr>
        <w:t>、邮电费</w:t>
      </w:r>
      <w:r>
        <w:rPr>
          <w:rFonts w:hint="eastAsia" w:ascii="仿宋" w:hAnsi="仿宋" w:eastAsia="仿宋" w:cs="仿宋"/>
          <w:sz w:val="32"/>
          <w:szCs w:val="32"/>
          <w:shd w:val="clear" w:fill="FFFFFF"/>
          <w:lang w:val="en-US" w:eastAsia="zh-CN"/>
        </w:rPr>
        <w:t>0</w:t>
      </w:r>
      <w:r>
        <w:rPr>
          <w:rFonts w:hint="eastAsia" w:ascii="仿宋" w:hAnsi="仿宋" w:eastAsia="仿宋" w:cs="仿宋"/>
          <w:sz w:val="32"/>
          <w:szCs w:val="32"/>
          <w:shd w:val="clear" w:fill="FFFFFF"/>
        </w:rPr>
        <w:t>万元（本年无发生额）、取暖费0元（本年无发生额）、物业管理费</w:t>
      </w:r>
      <w:r>
        <w:rPr>
          <w:rFonts w:hint="eastAsia" w:ascii="仿宋" w:hAnsi="仿宋" w:eastAsia="仿宋" w:cs="仿宋"/>
          <w:sz w:val="32"/>
          <w:szCs w:val="32"/>
          <w:shd w:val="clear" w:fill="FFFFFF"/>
          <w:lang w:val="en-US" w:eastAsia="zh-CN"/>
        </w:rPr>
        <w:t>0</w:t>
      </w:r>
      <w:r>
        <w:rPr>
          <w:rFonts w:hint="eastAsia" w:ascii="仿宋" w:hAnsi="仿宋" w:eastAsia="仿宋" w:cs="仿宋"/>
          <w:sz w:val="32"/>
          <w:szCs w:val="32"/>
          <w:shd w:val="clear" w:fill="FFFFFF"/>
        </w:rPr>
        <w:t>万元、差旅费</w:t>
      </w:r>
      <w:r>
        <w:rPr>
          <w:rFonts w:hint="eastAsia" w:ascii="仿宋" w:hAnsi="仿宋" w:eastAsia="仿宋" w:cs="仿宋"/>
          <w:sz w:val="32"/>
          <w:szCs w:val="32"/>
          <w:shd w:val="clear" w:fill="FFFFFF"/>
          <w:lang w:val="en-US" w:eastAsia="zh-CN"/>
        </w:rPr>
        <w:t>0.59万</w:t>
      </w:r>
      <w:r>
        <w:rPr>
          <w:rFonts w:hint="eastAsia" w:ascii="仿宋" w:hAnsi="仿宋" w:eastAsia="仿宋" w:cs="仿宋"/>
          <w:sz w:val="32"/>
          <w:szCs w:val="32"/>
          <w:shd w:val="clear" w:fill="FFFFFF"/>
        </w:rPr>
        <w:t>元、因公出国（境）费用0元（本年无发生额）、维修（护）费</w:t>
      </w:r>
      <w:r>
        <w:rPr>
          <w:rFonts w:hint="eastAsia" w:ascii="仿宋" w:hAnsi="仿宋" w:eastAsia="仿宋" w:cs="仿宋"/>
          <w:sz w:val="32"/>
          <w:szCs w:val="32"/>
          <w:shd w:val="clear" w:fill="FFFFFF"/>
          <w:lang w:val="en-US" w:eastAsia="zh-CN"/>
        </w:rPr>
        <w:t>26.13</w:t>
      </w:r>
      <w:r>
        <w:rPr>
          <w:rFonts w:hint="eastAsia" w:ascii="仿宋" w:hAnsi="仿宋" w:eastAsia="仿宋" w:cs="仿宋"/>
          <w:sz w:val="32"/>
          <w:szCs w:val="32"/>
          <w:shd w:val="clear" w:fill="FFFFFF"/>
        </w:rPr>
        <w:t>万元、租赁费</w:t>
      </w:r>
      <w:r>
        <w:rPr>
          <w:rFonts w:hint="eastAsia" w:ascii="仿宋" w:hAnsi="仿宋" w:eastAsia="仿宋" w:cs="仿宋"/>
          <w:sz w:val="32"/>
          <w:szCs w:val="32"/>
          <w:shd w:val="clear" w:fill="FFFFFF"/>
          <w:lang w:val="en-US" w:eastAsia="zh-CN"/>
        </w:rPr>
        <w:t>0</w:t>
      </w:r>
      <w:r>
        <w:rPr>
          <w:rFonts w:hint="eastAsia" w:ascii="仿宋" w:hAnsi="仿宋" w:eastAsia="仿宋" w:cs="仿宋"/>
          <w:sz w:val="32"/>
          <w:szCs w:val="32"/>
          <w:shd w:val="clear" w:fill="FFFFFF"/>
        </w:rPr>
        <w:t>万元（本年无发生额）、会议费</w:t>
      </w:r>
      <w:r>
        <w:rPr>
          <w:rFonts w:hint="eastAsia" w:ascii="仿宋" w:hAnsi="仿宋" w:eastAsia="仿宋" w:cs="仿宋"/>
          <w:sz w:val="32"/>
          <w:szCs w:val="32"/>
          <w:shd w:val="clear" w:fill="FFFFFF"/>
          <w:lang w:val="en-US" w:eastAsia="zh-CN"/>
        </w:rPr>
        <w:t>0</w:t>
      </w:r>
      <w:r>
        <w:rPr>
          <w:rFonts w:hint="eastAsia" w:ascii="仿宋" w:hAnsi="仿宋" w:eastAsia="仿宋" w:cs="仿宋"/>
          <w:sz w:val="32"/>
          <w:szCs w:val="32"/>
          <w:shd w:val="clear" w:fill="FFFFFF"/>
        </w:rPr>
        <w:t>万元（本年无发生额）、培训费</w:t>
      </w:r>
      <w:r>
        <w:rPr>
          <w:rFonts w:hint="eastAsia" w:ascii="仿宋" w:hAnsi="仿宋" w:eastAsia="仿宋" w:cs="仿宋"/>
          <w:sz w:val="32"/>
          <w:szCs w:val="32"/>
          <w:shd w:val="clear" w:fill="FFFFFF"/>
          <w:lang w:val="en-US" w:eastAsia="zh-CN"/>
        </w:rPr>
        <w:t>4.25</w:t>
      </w:r>
      <w:r>
        <w:rPr>
          <w:rFonts w:hint="eastAsia" w:ascii="仿宋" w:hAnsi="仿宋" w:eastAsia="仿宋" w:cs="仿宋"/>
          <w:sz w:val="32"/>
          <w:szCs w:val="32"/>
          <w:shd w:val="clear" w:fill="FFFFFF"/>
        </w:rPr>
        <w:t>万元、公务接待费0元（本年无发生额）、专用材料费</w:t>
      </w:r>
      <w:r>
        <w:rPr>
          <w:rFonts w:hint="eastAsia" w:ascii="仿宋" w:hAnsi="仿宋" w:eastAsia="仿宋" w:cs="仿宋"/>
          <w:sz w:val="32"/>
          <w:szCs w:val="32"/>
          <w:shd w:val="clear" w:fill="FFFFFF"/>
          <w:lang w:val="en-US" w:eastAsia="zh-CN"/>
        </w:rPr>
        <w:t>44.07</w:t>
      </w:r>
      <w:r>
        <w:rPr>
          <w:rFonts w:hint="eastAsia" w:ascii="仿宋" w:hAnsi="仿宋" w:eastAsia="仿宋" w:cs="仿宋"/>
          <w:sz w:val="32"/>
          <w:szCs w:val="32"/>
          <w:shd w:val="clear" w:fill="FFFFFF"/>
        </w:rPr>
        <w:t>万元、劳务费</w:t>
      </w:r>
      <w:r>
        <w:rPr>
          <w:rFonts w:hint="eastAsia" w:ascii="仿宋" w:hAnsi="仿宋" w:eastAsia="仿宋" w:cs="仿宋"/>
          <w:sz w:val="32"/>
          <w:szCs w:val="32"/>
          <w:shd w:val="clear" w:fill="FFFFFF"/>
          <w:lang w:val="en-US" w:eastAsia="zh-CN"/>
        </w:rPr>
        <w:t>42.86</w:t>
      </w:r>
      <w:r>
        <w:rPr>
          <w:rFonts w:hint="eastAsia" w:ascii="仿宋" w:hAnsi="仿宋" w:eastAsia="仿宋" w:cs="仿宋"/>
          <w:sz w:val="32"/>
          <w:szCs w:val="32"/>
          <w:shd w:val="clear" w:fill="FFFFFF"/>
        </w:rPr>
        <w:t>万元、委托业务费</w:t>
      </w:r>
      <w:r>
        <w:rPr>
          <w:rFonts w:hint="eastAsia" w:ascii="仿宋" w:hAnsi="仿宋" w:eastAsia="仿宋" w:cs="仿宋"/>
          <w:sz w:val="32"/>
          <w:szCs w:val="32"/>
          <w:shd w:val="clear" w:fill="FFFFFF"/>
          <w:lang w:val="en-US" w:eastAsia="zh-CN"/>
        </w:rPr>
        <w:t>229.58</w:t>
      </w:r>
      <w:r>
        <w:rPr>
          <w:rFonts w:hint="eastAsia" w:ascii="仿宋" w:hAnsi="仿宋" w:eastAsia="仿宋" w:cs="仿宋"/>
          <w:sz w:val="32"/>
          <w:szCs w:val="32"/>
          <w:shd w:val="clear" w:fill="FFFFFF"/>
        </w:rPr>
        <w:t>万元、工会经费</w:t>
      </w:r>
      <w:r>
        <w:rPr>
          <w:rFonts w:hint="eastAsia" w:ascii="仿宋" w:hAnsi="仿宋" w:eastAsia="仿宋" w:cs="仿宋"/>
          <w:sz w:val="32"/>
          <w:szCs w:val="32"/>
          <w:shd w:val="clear" w:fill="FFFFFF"/>
          <w:lang w:val="en-US" w:eastAsia="zh-CN"/>
        </w:rPr>
        <w:t>43.75</w:t>
      </w:r>
      <w:r>
        <w:rPr>
          <w:rFonts w:hint="eastAsia" w:ascii="仿宋" w:hAnsi="仿宋" w:eastAsia="仿宋" w:cs="仿宋"/>
          <w:sz w:val="32"/>
          <w:szCs w:val="32"/>
          <w:shd w:val="clear" w:fill="FFFFFF"/>
        </w:rPr>
        <w:t>万元、福利费</w:t>
      </w:r>
      <w:r>
        <w:rPr>
          <w:rFonts w:hint="eastAsia" w:ascii="仿宋" w:hAnsi="仿宋" w:eastAsia="仿宋" w:cs="仿宋"/>
          <w:sz w:val="32"/>
          <w:szCs w:val="32"/>
          <w:shd w:val="clear" w:fill="FFFFFF"/>
          <w:lang w:val="en-US" w:eastAsia="zh-CN"/>
        </w:rPr>
        <w:t>24.17</w:t>
      </w:r>
      <w:r>
        <w:rPr>
          <w:rFonts w:hint="eastAsia" w:ascii="仿宋" w:hAnsi="仿宋" w:eastAsia="仿宋" w:cs="仿宋"/>
          <w:sz w:val="32"/>
          <w:szCs w:val="32"/>
          <w:shd w:val="clear" w:fill="FFFFFF"/>
        </w:rPr>
        <w:t>万元、公务用车运行维护费</w:t>
      </w:r>
      <w:r>
        <w:rPr>
          <w:rFonts w:hint="eastAsia" w:ascii="仿宋" w:hAnsi="仿宋" w:eastAsia="仿宋" w:cs="仿宋"/>
          <w:sz w:val="32"/>
          <w:szCs w:val="32"/>
          <w:shd w:val="clear" w:fill="FFFFFF"/>
          <w:lang w:val="en-US" w:eastAsia="zh-CN"/>
        </w:rPr>
        <w:t>20.32</w:t>
      </w:r>
      <w:r>
        <w:rPr>
          <w:rFonts w:hint="eastAsia" w:ascii="仿宋" w:hAnsi="仿宋" w:eastAsia="仿宋" w:cs="仿宋"/>
          <w:sz w:val="32"/>
          <w:szCs w:val="32"/>
          <w:shd w:val="clear" w:fill="FFFFFF"/>
        </w:rPr>
        <w:t>万元、其他交通费用</w:t>
      </w:r>
      <w:r>
        <w:rPr>
          <w:rFonts w:hint="eastAsia" w:ascii="仿宋" w:hAnsi="仿宋" w:eastAsia="仿宋" w:cs="仿宋"/>
          <w:sz w:val="32"/>
          <w:szCs w:val="32"/>
          <w:shd w:val="clear" w:fill="FFFFFF"/>
          <w:lang w:val="en-US" w:eastAsia="zh-CN"/>
        </w:rPr>
        <w:t>1.03</w:t>
      </w:r>
      <w:r>
        <w:rPr>
          <w:rFonts w:hint="eastAsia" w:ascii="仿宋" w:hAnsi="仿宋" w:eastAsia="仿宋" w:cs="仿宋"/>
          <w:sz w:val="32"/>
          <w:szCs w:val="32"/>
          <w:shd w:val="clear" w:fill="FFFFFF"/>
        </w:rPr>
        <w:t>万元、税金及附加费用0元（本年无发生额）、其他商品和服务支出</w:t>
      </w:r>
      <w:r>
        <w:rPr>
          <w:rFonts w:hint="eastAsia" w:ascii="仿宋" w:hAnsi="仿宋" w:eastAsia="仿宋" w:cs="仿宋"/>
          <w:sz w:val="32"/>
          <w:szCs w:val="32"/>
          <w:shd w:val="clear" w:fill="FFFFFF"/>
          <w:lang w:val="en-US" w:eastAsia="zh-CN"/>
        </w:rPr>
        <w:t>121.99</w:t>
      </w:r>
      <w:r>
        <w:rPr>
          <w:rFonts w:hint="eastAsia" w:ascii="仿宋" w:hAnsi="仿宋" w:eastAsia="仿宋" w:cs="仿宋"/>
          <w:sz w:val="32"/>
          <w:szCs w:val="32"/>
          <w:shd w:val="clear" w:fill="FFFFFF"/>
        </w:rPr>
        <w:t>万元、办公设备购置</w:t>
      </w:r>
      <w:r>
        <w:rPr>
          <w:rFonts w:hint="eastAsia" w:ascii="仿宋" w:hAnsi="仿宋" w:eastAsia="仿宋" w:cs="仿宋"/>
          <w:sz w:val="32"/>
          <w:szCs w:val="32"/>
          <w:shd w:val="clear" w:fill="FFFFFF"/>
          <w:lang w:val="en-US" w:eastAsia="zh-CN"/>
        </w:rPr>
        <w:t>6.13</w:t>
      </w:r>
      <w:r>
        <w:rPr>
          <w:rFonts w:hint="eastAsia" w:ascii="仿宋" w:hAnsi="仿宋" w:eastAsia="仿宋" w:cs="仿宋"/>
          <w:sz w:val="32"/>
          <w:szCs w:val="32"/>
          <w:shd w:val="clear" w:fill="FFFFFF"/>
        </w:rPr>
        <w:t>万元、专用设备购置</w:t>
      </w:r>
      <w:r>
        <w:rPr>
          <w:rFonts w:hint="eastAsia" w:ascii="仿宋" w:hAnsi="仿宋" w:eastAsia="仿宋" w:cs="仿宋"/>
          <w:sz w:val="32"/>
          <w:szCs w:val="32"/>
          <w:shd w:val="clear" w:fill="FFFFFF"/>
          <w:lang w:val="en-US" w:eastAsia="zh-CN"/>
        </w:rPr>
        <w:t>99.9</w:t>
      </w:r>
      <w:r>
        <w:rPr>
          <w:rFonts w:hint="eastAsia" w:ascii="仿宋" w:hAnsi="仿宋" w:eastAsia="仿宋" w:cs="仿宋"/>
          <w:sz w:val="32"/>
          <w:szCs w:val="32"/>
          <w:shd w:val="clear" w:fill="FFFFFF"/>
        </w:rPr>
        <w:t>元、信息网络及软件购置更新0元（本年无发生额）、公务用车购置0元（本年无发生额）、其他交通工具购置0元（本年无发生额）、文物和陈列品购置0元（本年无发生额）、无形资产购置0元（本年无发生额）、其他资本性支出0元（本年无发生额）、赠与0元（本年无发生额）。</w:t>
      </w:r>
    </w:p>
    <w:p>
      <w:pPr>
        <w:numPr>
          <w:ilvl w:val="0"/>
          <w:numId w:val="1"/>
        </w:numPr>
        <w:ind w:left="640" w:leftChars="0" w:firstLine="0" w:firstLineChars="0"/>
        <w:rPr>
          <w:rFonts w:hint="eastAsia" w:ascii="仿宋" w:hAnsi="仿宋" w:eastAsia="仿宋" w:cs="仿宋"/>
          <w:b/>
          <w:bCs/>
          <w:color w:val="333333"/>
          <w:sz w:val="32"/>
          <w:szCs w:val="32"/>
          <w:shd w:val="clear" w:fill="FFFFFF"/>
          <w:lang w:val="en-US" w:eastAsia="zh-CN"/>
        </w:rPr>
      </w:pPr>
      <w:r>
        <w:rPr>
          <w:rFonts w:hint="eastAsia" w:ascii="仿宋" w:hAnsi="仿宋" w:eastAsia="仿宋" w:cs="仿宋"/>
          <w:b/>
          <w:bCs/>
          <w:color w:val="333333"/>
          <w:sz w:val="32"/>
          <w:szCs w:val="32"/>
          <w:shd w:val="clear" w:fill="FFFFFF"/>
          <w:lang w:val="en-US" w:eastAsia="zh-CN"/>
        </w:rPr>
        <w:t>非财政拨款收入、支出分析。</w:t>
      </w:r>
    </w:p>
    <w:p>
      <w:pPr>
        <w:pStyle w:val="2"/>
        <w:ind w:firstLine="640" w:firstLineChars="200"/>
        <w:rPr>
          <w:rFonts w:hint="eastAsia" w:ascii="仿宋" w:hAnsi="仿宋" w:eastAsia="仿宋" w:cs="仿宋"/>
          <w:lang w:val="en-US" w:eastAsia="zh-CN"/>
        </w:rPr>
      </w:pPr>
      <w:r>
        <w:rPr>
          <w:rFonts w:hint="eastAsia" w:ascii="仿宋" w:hAnsi="仿宋" w:eastAsia="仿宋" w:cs="仿宋"/>
          <w:color w:val="333333"/>
          <w:sz w:val="32"/>
          <w:szCs w:val="32"/>
          <w:shd w:val="clear" w:fill="FFFFFF"/>
        </w:rPr>
        <w:t>202</w:t>
      </w:r>
      <w:r>
        <w:rPr>
          <w:rFonts w:hint="eastAsia" w:ascii="仿宋" w:hAnsi="仿宋" w:eastAsia="仿宋" w:cs="仿宋"/>
          <w:color w:val="333333"/>
          <w:sz w:val="32"/>
          <w:szCs w:val="32"/>
          <w:shd w:val="clear" w:fill="FFFFFF"/>
          <w:lang w:val="en-US" w:eastAsia="zh-CN"/>
        </w:rPr>
        <w:t>2</w:t>
      </w:r>
      <w:r>
        <w:rPr>
          <w:rFonts w:hint="eastAsia" w:ascii="仿宋" w:hAnsi="仿宋" w:eastAsia="仿宋" w:cs="仿宋"/>
          <w:color w:val="333333"/>
          <w:sz w:val="32"/>
          <w:szCs w:val="32"/>
          <w:shd w:val="clear" w:fill="FFFFFF"/>
        </w:rPr>
        <w:t>年度</w:t>
      </w:r>
      <w:r>
        <w:rPr>
          <w:rFonts w:hint="eastAsia" w:ascii="仿宋" w:hAnsi="仿宋" w:eastAsia="仿宋" w:cs="仿宋"/>
          <w:color w:val="333333"/>
          <w:sz w:val="32"/>
          <w:szCs w:val="32"/>
          <w:shd w:val="clear" w:fill="FFFFFF"/>
          <w:lang w:val="en-US" w:eastAsia="zh-CN"/>
        </w:rPr>
        <w:t>非财政拨款</w:t>
      </w:r>
      <w:r>
        <w:rPr>
          <w:rFonts w:hint="eastAsia" w:ascii="仿宋" w:hAnsi="仿宋" w:eastAsia="仿宋" w:cs="仿宋"/>
          <w:color w:val="333333"/>
          <w:sz w:val="32"/>
          <w:szCs w:val="32"/>
          <w:shd w:val="clear" w:fill="FFFFFF"/>
        </w:rPr>
        <w:t>收入总计</w:t>
      </w:r>
      <w:r>
        <w:rPr>
          <w:rFonts w:hint="eastAsia" w:ascii="仿宋" w:hAnsi="仿宋" w:eastAsia="仿宋" w:cs="仿宋"/>
          <w:b w:val="0"/>
          <w:bCs w:val="0"/>
          <w:color w:val="000000"/>
          <w:sz w:val="32"/>
          <w:szCs w:val="32"/>
          <w:shd w:val="clear" w:fill="FFFFFF"/>
          <w:lang w:val="en-US" w:eastAsia="zh-CN"/>
        </w:rPr>
        <w:t>2424.13</w:t>
      </w:r>
      <w:r>
        <w:rPr>
          <w:rFonts w:hint="eastAsia" w:ascii="仿宋" w:hAnsi="仿宋" w:eastAsia="仿宋" w:cs="仿宋"/>
          <w:color w:val="333333"/>
          <w:sz w:val="32"/>
          <w:szCs w:val="32"/>
          <w:shd w:val="clear" w:fill="FFFFFF"/>
        </w:rPr>
        <w:t>万元</w:t>
      </w:r>
      <w:r>
        <w:rPr>
          <w:rFonts w:hint="eastAsia" w:ascii="仿宋" w:hAnsi="仿宋" w:eastAsia="仿宋" w:cs="仿宋"/>
          <w:b w:val="0"/>
          <w:bCs w:val="0"/>
          <w:color w:val="000000"/>
          <w:sz w:val="32"/>
          <w:szCs w:val="32"/>
          <w:shd w:val="clear" w:fill="FFFFFF"/>
          <w:lang w:val="en-US" w:eastAsia="zh-CN"/>
        </w:rPr>
        <w:t>，支出总计2424.13万元，其中项目支出2424.13万元。项目支出情况主要为</w:t>
      </w:r>
      <w:r>
        <w:rPr>
          <w:rFonts w:hint="eastAsia" w:ascii="仿宋" w:hAnsi="仿宋" w:eastAsia="仿宋" w:cs="仿宋"/>
          <w:sz w:val="32"/>
          <w:szCs w:val="32"/>
          <w:lang w:val="en-US" w:eastAsia="zh-CN"/>
        </w:rPr>
        <w:t>“三微工程”项目支出800万元，路灯电费支出924.13万元，人居环境整治800万元。</w:t>
      </w:r>
    </w:p>
    <w:p>
      <w:pPr>
        <w:pStyle w:val="2"/>
        <w:numPr>
          <w:ilvl w:val="0"/>
          <w:numId w:val="2"/>
        </w:numPr>
        <w:ind w:firstLine="643" w:firstLineChars="200"/>
        <w:rPr>
          <w:rFonts w:hint="eastAsia" w:ascii="仿宋" w:hAnsi="仿宋" w:eastAsia="仿宋" w:cs="仿宋"/>
          <w:b/>
          <w:bCs/>
          <w:color w:val="000000"/>
          <w:sz w:val="32"/>
          <w:szCs w:val="32"/>
          <w:shd w:val="clear" w:fill="FFFFFF"/>
          <w:lang w:val="en-US" w:eastAsia="zh-CN"/>
        </w:rPr>
      </w:pPr>
      <w:r>
        <w:rPr>
          <w:rFonts w:hint="eastAsia" w:ascii="仿宋" w:hAnsi="仿宋" w:eastAsia="仿宋" w:cs="仿宋"/>
          <w:b/>
          <w:bCs/>
          <w:color w:val="000000"/>
          <w:sz w:val="32"/>
          <w:szCs w:val="32"/>
          <w:shd w:val="clear" w:fill="FFFFFF"/>
          <w:lang w:val="en-US" w:eastAsia="zh-CN"/>
        </w:rPr>
        <w:t>政府性基金预算支出情况。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2022年度政府性基金预算收入602.53万元，支出602.53万元，主要是</w:t>
      </w:r>
      <w:r>
        <w:rPr>
          <w:rFonts w:hint="eastAsia" w:ascii="仿宋" w:hAnsi="仿宋" w:eastAsia="仿宋" w:cs="仿宋"/>
          <w:color w:val="333333"/>
          <w:sz w:val="32"/>
          <w:szCs w:val="32"/>
          <w:shd w:val="clear" w:fill="FFFFFF"/>
        </w:rPr>
        <w:t>对其他城市基础设施配套费安排的投入</w:t>
      </w:r>
      <w:r>
        <w:rPr>
          <w:rFonts w:hint="eastAsia" w:ascii="仿宋" w:hAnsi="仿宋" w:eastAsia="仿宋" w:cs="仿宋"/>
          <w:b w:val="0"/>
          <w:bCs w:val="0"/>
          <w:color w:val="000000"/>
          <w:sz w:val="32"/>
          <w:szCs w:val="32"/>
          <w:shd w:val="clear" w:fill="FFFFFF"/>
          <w:lang w:val="en-US" w:eastAsia="zh-CN"/>
        </w:rPr>
        <w:t>。</w:t>
      </w:r>
    </w:p>
    <w:p>
      <w:pPr>
        <w:pStyle w:val="2"/>
        <w:numPr>
          <w:ilvl w:val="0"/>
          <w:numId w:val="2"/>
        </w:numPr>
        <w:ind w:firstLine="643" w:firstLineChars="200"/>
        <w:rPr>
          <w:rFonts w:hint="eastAsia" w:ascii="仿宋" w:hAnsi="仿宋" w:eastAsia="仿宋" w:cs="仿宋"/>
          <w:b/>
          <w:bCs/>
          <w:color w:val="000000"/>
          <w:sz w:val="32"/>
          <w:szCs w:val="32"/>
          <w:shd w:val="clear" w:fill="FFFFFF"/>
          <w:lang w:val="en-US" w:eastAsia="zh-CN"/>
        </w:rPr>
      </w:pPr>
      <w:r>
        <w:rPr>
          <w:rFonts w:hint="eastAsia" w:ascii="仿宋" w:hAnsi="仿宋" w:eastAsia="仿宋" w:cs="仿宋"/>
          <w:b/>
          <w:bCs/>
          <w:color w:val="000000"/>
          <w:sz w:val="32"/>
          <w:szCs w:val="32"/>
          <w:shd w:val="clear" w:fill="FFFFFF"/>
          <w:lang w:val="en-US" w:eastAsia="zh-CN"/>
        </w:rPr>
        <w:t>国有资本经营预算支出情况。</w:t>
      </w:r>
    </w:p>
    <w:p>
      <w:pPr>
        <w:ind w:firstLine="640" w:firstLineChars="200"/>
        <w:rPr>
          <w:rFonts w:hint="eastAsia" w:ascii="仿宋" w:hAnsi="仿宋" w:eastAsia="仿宋" w:cs="仿宋"/>
          <w:lang w:val="en-US" w:eastAsia="zh-CN"/>
        </w:rPr>
      </w:pPr>
      <w:r>
        <w:rPr>
          <w:rFonts w:hint="eastAsia" w:ascii="仿宋" w:hAnsi="仿宋" w:eastAsia="仿宋" w:cs="仿宋"/>
          <w:sz w:val="32"/>
          <w:szCs w:val="32"/>
          <w:lang w:val="en-US" w:eastAsia="zh-CN"/>
        </w:rPr>
        <w:t>2022年度没有国有资本经营预算收入和支出情况。</w:t>
      </w:r>
    </w:p>
    <w:p>
      <w:pPr>
        <w:pStyle w:val="2"/>
        <w:numPr>
          <w:ilvl w:val="0"/>
          <w:numId w:val="2"/>
        </w:numPr>
        <w:ind w:firstLine="643" w:firstLineChars="200"/>
        <w:rPr>
          <w:rFonts w:hint="eastAsia" w:ascii="仿宋" w:hAnsi="仿宋" w:eastAsia="仿宋" w:cs="仿宋"/>
          <w:b/>
          <w:bCs/>
          <w:color w:val="000000"/>
          <w:sz w:val="32"/>
          <w:szCs w:val="32"/>
          <w:shd w:val="clear" w:fill="FFFFFF"/>
          <w:lang w:val="en-US" w:eastAsia="zh-CN"/>
        </w:rPr>
      </w:pPr>
      <w:r>
        <w:rPr>
          <w:rFonts w:hint="eastAsia" w:ascii="仿宋" w:hAnsi="仿宋" w:eastAsia="仿宋" w:cs="仿宋"/>
          <w:b/>
          <w:bCs/>
          <w:color w:val="000000"/>
          <w:sz w:val="32"/>
          <w:szCs w:val="32"/>
          <w:shd w:val="clear" w:fill="FFFFFF"/>
          <w:lang w:val="en-US" w:eastAsia="zh-CN"/>
        </w:rPr>
        <w:t>社会保险基金预算支出情况。</w:t>
      </w:r>
    </w:p>
    <w:p>
      <w:pPr>
        <w:pStyle w:val="2"/>
        <w:ind w:firstLine="640" w:firstLineChars="200"/>
        <w:rPr>
          <w:rFonts w:hint="eastAsia" w:ascii="仿宋" w:hAnsi="仿宋" w:eastAsia="仿宋" w:cs="仿宋"/>
          <w:lang w:val="en-US" w:eastAsia="zh-CN"/>
        </w:rPr>
      </w:pPr>
      <w:r>
        <w:rPr>
          <w:rFonts w:hint="eastAsia" w:ascii="仿宋" w:hAnsi="仿宋" w:eastAsia="仿宋" w:cs="仿宋"/>
          <w:sz w:val="32"/>
          <w:szCs w:val="32"/>
          <w:lang w:val="en-US" w:eastAsia="zh-CN"/>
        </w:rPr>
        <w:t>2022年度没有社会保险基金预算收入和支出情况。</w:t>
      </w:r>
    </w:p>
    <w:p>
      <w:pPr>
        <w:pStyle w:val="2"/>
        <w:rPr>
          <w:rFonts w:hint="eastAsia" w:ascii="仿宋" w:hAnsi="仿宋" w:eastAsia="仿宋" w:cs="仿宋"/>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六、部门整体支出绩效情况</w:t>
      </w:r>
    </w:p>
    <w:p>
      <w:pPr>
        <w:pStyle w:val="5"/>
        <w:keepNext w:val="0"/>
        <w:keepLines w:val="0"/>
        <w:widowControl/>
        <w:suppressLineNumbers w:val="0"/>
        <w:wordWrap w:val="0"/>
        <w:spacing w:before="0" w:beforeAutospacing="0" w:after="0" w:afterAutospacing="0"/>
        <w:ind w:left="630" w:right="0"/>
        <w:jc w:val="left"/>
        <w:rPr>
          <w:rFonts w:hint="eastAsia" w:ascii="仿宋" w:hAnsi="仿宋" w:eastAsia="仿宋" w:cs="仿宋"/>
          <w:sz w:val="21"/>
          <w:szCs w:val="21"/>
        </w:rPr>
      </w:pPr>
      <w:r>
        <w:rPr>
          <w:rFonts w:hint="eastAsia" w:ascii="仿宋" w:hAnsi="仿宋" w:eastAsia="仿宋" w:cs="仿宋"/>
          <w:sz w:val="32"/>
          <w:szCs w:val="32"/>
          <w:shd w:val="clear" w:fill="FFFFFF"/>
        </w:rPr>
        <w:t>（一）绩效管理工作开展情况。</w:t>
      </w:r>
    </w:p>
    <w:p>
      <w:pPr>
        <w:pStyle w:val="5"/>
        <w:keepNext w:val="0"/>
        <w:keepLines w:val="0"/>
        <w:widowControl/>
        <w:suppressLineNumbers w:val="0"/>
        <w:wordWrap w:val="0"/>
        <w:spacing w:before="0" w:beforeAutospacing="0" w:after="0" w:afterAutospacing="0"/>
        <w:ind w:left="0" w:right="0" w:firstLine="640"/>
        <w:jc w:val="left"/>
        <w:rPr>
          <w:rFonts w:hint="eastAsia" w:ascii="仿宋" w:hAnsi="仿宋" w:eastAsia="仿宋" w:cs="仿宋"/>
          <w:sz w:val="21"/>
          <w:szCs w:val="21"/>
        </w:rPr>
      </w:pPr>
      <w:r>
        <w:rPr>
          <w:rFonts w:hint="eastAsia" w:ascii="仿宋" w:hAnsi="仿宋" w:eastAsia="仿宋" w:cs="仿宋"/>
          <w:sz w:val="32"/>
          <w:szCs w:val="32"/>
          <w:shd w:val="clear" w:fill="FFFFFF"/>
        </w:rPr>
        <w:t>202</w:t>
      </w:r>
      <w:r>
        <w:rPr>
          <w:rFonts w:hint="eastAsia" w:ascii="仿宋" w:hAnsi="仿宋" w:eastAsia="仿宋" w:cs="仿宋"/>
          <w:sz w:val="32"/>
          <w:szCs w:val="32"/>
          <w:shd w:val="clear" w:fill="FFFFFF"/>
          <w:lang w:val="en-US" w:eastAsia="zh-CN"/>
        </w:rPr>
        <w:t>2</w:t>
      </w:r>
      <w:r>
        <w:rPr>
          <w:rFonts w:hint="eastAsia" w:ascii="仿宋" w:hAnsi="仿宋" w:eastAsia="仿宋" w:cs="仿宋"/>
          <w:sz w:val="32"/>
          <w:szCs w:val="32"/>
          <w:shd w:val="clear" w:fill="FFFFFF"/>
        </w:rPr>
        <w:t>年，区城管局根据年初工作计划，积极履职，强化管理，很好的完成了年度工作目标。通过加强预算收支管理，不断建立健全内部管理制度，部门整体支出管理水平得到提升。    </w:t>
      </w:r>
    </w:p>
    <w:p>
      <w:pPr>
        <w:pStyle w:val="5"/>
        <w:keepNext w:val="0"/>
        <w:keepLines w:val="0"/>
        <w:widowControl/>
        <w:suppressLineNumbers w:val="0"/>
        <w:wordWrap w:val="0"/>
        <w:spacing w:before="0" w:beforeAutospacing="0" w:after="0" w:afterAutospacing="0"/>
        <w:ind w:left="0" w:right="0" w:firstLine="640"/>
        <w:jc w:val="left"/>
        <w:rPr>
          <w:rFonts w:hint="eastAsia" w:ascii="仿宋" w:hAnsi="仿宋" w:eastAsia="仿宋" w:cs="仿宋"/>
          <w:sz w:val="21"/>
          <w:szCs w:val="21"/>
        </w:rPr>
      </w:pPr>
      <w:r>
        <w:rPr>
          <w:rFonts w:hint="eastAsia" w:ascii="仿宋" w:hAnsi="仿宋" w:eastAsia="仿宋" w:cs="仿宋"/>
          <w:sz w:val="32"/>
          <w:szCs w:val="32"/>
          <w:shd w:val="clear" w:fill="FFFFFF"/>
        </w:rPr>
        <w:t>1．预算配置控制较好。财政供养人员控制在预算编制以内；“三公”经费严格控制在预算范围内。</w:t>
      </w:r>
    </w:p>
    <w:p>
      <w:pPr>
        <w:pStyle w:val="5"/>
        <w:keepNext w:val="0"/>
        <w:keepLines w:val="0"/>
        <w:widowControl/>
        <w:suppressLineNumbers w:val="0"/>
        <w:wordWrap w:val="0"/>
        <w:spacing w:before="0" w:beforeAutospacing="0" w:after="0" w:afterAutospacing="0"/>
        <w:ind w:left="0" w:right="0" w:firstLine="640"/>
        <w:jc w:val="left"/>
        <w:rPr>
          <w:rFonts w:hint="eastAsia" w:ascii="仿宋" w:hAnsi="仿宋" w:eastAsia="仿宋" w:cs="仿宋"/>
          <w:sz w:val="21"/>
          <w:szCs w:val="21"/>
        </w:rPr>
      </w:pPr>
      <w:r>
        <w:rPr>
          <w:rFonts w:hint="eastAsia" w:ascii="仿宋" w:hAnsi="仿宋" w:eastAsia="仿宋" w:cs="仿宋"/>
          <w:sz w:val="32"/>
          <w:szCs w:val="32"/>
          <w:shd w:val="clear" w:fill="FFFFFF"/>
        </w:rPr>
        <w:t>2、预算执行比较到位。支出总额控制在预算总额以内，预算完成率达到100%。  </w:t>
      </w:r>
    </w:p>
    <w:p>
      <w:pPr>
        <w:pStyle w:val="5"/>
        <w:keepNext w:val="0"/>
        <w:keepLines w:val="0"/>
        <w:widowControl/>
        <w:suppressLineNumbers w:val="0"/>
        <w:wordWrap w:val="0"/>
        <w:spacing w:before="0" w:beforeAutospacing="0" w:after="0" w:afterAutospacing="0"/>
        <w:ind w:left="0" w:right="0" w:firstLine="640"/>
        <w:jc w:val="left"/>
        <w:rPr>
          <w:rFonts w:hint="eastAsia" w:ascii="仿宋" w:hAnsi="仿宋" w:eastAsia="仿宋" w:cs="仿宋"/>
          <w:sz w:val="21"/>
          <w:szCs w:val="21"/>
        </w:rPr>
      </w:pPr>
      <w:r>
        <w:rPr>
          <w:rFonts w:hint="eastAsia" w:ascii="仿宋" w:hAnsi="仿宋" w:eastAsia="仿宋" w:cs="仿宋"/>
          <w:sz w:val="32"/>
          <w:szCs w:val="32"/>
          <w:shd w:val="clear" w:fill="FFFFFF"/>
        </w:rPr>
        <w:t>3、管理制度健全。我们严格预算管理，坚持执行财经和财务制度，修改完善了《机关财务管理规定》、《公务接待管理规定》、《差旅费、会议费、培训费管理规定》、《公务车辆管理办法》等工作制度，进一步明确了预算资金审批手续和拨付程序、机关行政经费审批手续和报销程序，加强了财务管理，规范了收支行为，保证了财务管理工作规范有序进行。</w:t>
      </w:r>
    </w:p>
    <w:p>
      <w:pPr>
        <w:pStyle w:val="5"/>
        <w:keepNext w:val="0"/>
        <w:keepLines w:val="0"/>
        <w:widowControl/>
        <w:suppressLineNumbers w:val="0"/>
        <w:wordWrap w:val="0"/>
        <w:spacing w:before="0" w:beforeAutospacing="0" w:after="0" w:afterAutospacing="0"/>
        <w:ind w:left="0" w:right="0" w:firstLine="640"/>
        <w:jc w:val="left"/>
        <w:rPr>
          <w:rFonts w:hint="eastAsia" w:ascii="仿宋" w:hAnsi="仿宋" w:eastAsia="仿宋" w:cs="仿宋"/>
          <w:sz w:val="21"/>
          <w:szCs w:val="21"/>
        </w:rPr>
      </w:pPr>
      <w:r>
        <w:rPr>
          <w:rFonts w:hint="eastAsia" w:ascii="仿宋" w:hAnsi="仿宋" w:eastAsia="仿宋" w:cs="仿宋"/>
          <w:sz w:val="32"/>
          <w:szCs w:val="32"/>
          <w:shd w:val="clear" w:fill="FFFFFF"/>
        </w:rPr>
        <w:t>4、部门预算收支严格按年初部门预算方案执行，部门预决算、“三公”经费预决算按要求及时进行了公开。</w:t>
      </w:r>
    </w:p>
    <w:p>
      <w:pPr>
        <w:pStyle w:val="5"/>
        <w:keepNext w:val="0"/>
        <w:keepLines w:val="0"/>
        <w:widowControl/>
        <w:suppressLineNumbers w:val="0"/>
        <w:wordWrap w:val="0"/>
        <w:spacing w:before="0" w:beforeAutospacing="0" w:after="0" w:afterAutospacing="0"/>
        <w:ind w:left="0" w:right="0" w:firstLine="640"/>
        <w:jc w:val="left"/>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w:t>
      </w:r>
      <w:r>
        <w:rPr>
          <w:rFonts w:hint="eastAsia" w:ascii="仿宋" w:hAnsi="仿宋" w:eastAsia="仿宋" w:cs="仿宋"/>
          <w:sz w:val="32"/>
          <w:szCs w:val="32"/>
          <w:shd w:val="clear" w:fill="FFFFFF"/>
          <w:lang w:val="en-US" w:eastAsia="zh-CN"/>
        </w:rPr>
        <w:t>二</w:t>
      </w:r>
      <w:r>
        <w:rPr>
          <w:rFonts w:hint="eastAsia" w:ascii="仿宋" w:hAnsi="仿宋" w:eastAsia="仿宋" w:cs="仿宋"/>
          <w:sz w:val="32"/>
          <w:szCs w:val="32"/>
          <w:shd w:val="clear" w:fill="FFFFFF"/>
        </w:rPr>
        <w:t>）以部门为主体开展的重点绩效评价</w:t>
      </w:r>
      <w:r>
        <w:rPr>
          <w:rFonts w:hint="eastAsia" w:ascii="仿宋" w:hAnsi="仿宋" w:eastAsia="仿宋" w:cs="仿宋"/>
          <w:sz w:val="32"/>
          <w:szCs w:val="32"/>
          <w:shd w:val="clear" w:fill="FFFFFF"/>
          <w:lang w:val="en-US" w:eastAsia="zh-CN"/>
        </w:rPr>
        <w:t>情况</w:t>
      </w:r>
      <w:r>
        <w:rPr>
          <w:rFonts w:hint="eastAsia" w:ascii="仿宋" w:hAnsi="仿宋" w:eastAsia="仿宋" w:cs="仿宋"/>
          <w:sz w:val="32"/>
          <w:szCs w:val="32"/>
          <w:shd w:val="clear" w:fill="FFFFFF"/>
        </w:rPr>
        <w:t>。</w:t>
      </w:r>
    </w:p>
    <w:p>
      <w:pPr>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2022年，全局围绕政府工作报告任务分解，统筹推进国家文明城市创建、国家园林城市创建、国家卫生城市复审、垃圾分类、违法建治理等重点任务，积极主动履职，圆满完成各项工作，赫山城市管理再上新台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both"/>
        <w:rPr>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七</w:t>
      </w:r>
      <w:r>
        <w:rPr>
          <w:rFonts w:hint="eastAsia" w:ascii="仿宋" w:hAnsi="仿宋" w:eastAsia="仿宋" w:cs="仿宋"/>
          <w:b/>
          <w:bCs/>
          <w:i w:val="0"/>
          <w:iCs w:val="0"/>
          <w:caps w:val="0"/>
          <w:color w:val="333333"/>
          <w:spacing w:val="0"/>
          <w:sz w:val="32"/>
          <w:szCs w:val="32"/>
          <w:shd w:val="clear" w:fill="FFFFFF"/>
        </w:rPr>
        <w:t>、</w:t>
      </w:r>
      <w:r>
        <w:rPr>
          <w:rFonts w:hint="eastAsia" w:ascii="仿宋" w:hAnsi="仿宋" w:eastAsia="仿宋" w:cs="仿宋"/>
          <w:b/>
          <w:bCs/>
          <w:i w:val="0"/>
          <w:iCs w:val="0"/>
          <w:caps w:val="0"/>
          <w:color w:val="333333"/>
          <w:spacing w:val="0"/>
          <w:sz w:val="32"/>
          <w:szCs w:val="32"/>
          <w:shd w:val="clear" w:fill="FFFFFF"/>
          <w:lang w:val="en-US" w:eastAsia="zh-CN"/>
        </w:rPr>
        <w:t>存在的问题及原因分析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544"/>
        <w:jc w:val="left"/>
        <w:textAlignment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1．指标设计不尽合理，导致评价结果与实际情况不一定相符。如预算执行相关指标，预算完成率和预算控制率指标，在编制预算时，存在不可控性，部分项目支出年初部门已作预算编制，但财政未在年初预算中下达而在年中追加，造成当年预算追加过大，部分预算资金年底才下达，当年根本不能及时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544"/>
        <w:jc w:val="left"/>
        <w:textAlignment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2．在设计绩效评价体系时目标的确定与量化往往带有较强的主观性与经验主义，这需要在评价过程中不断完善。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640"/>
        <w:jc w:val="both"/>
        <w:rPr>
          <w:rFonts w:hint="default" w:ascii="仿宋" w:hAnsi="仿宋" w:eastAsia="仿宋" w:cs="仿宋"/>
          <w:b/>
          <w:bCs/>
          <w:i w:val="0"/>
          <w:iCs w:val="0"/>
          <w:caps w:val="0"/>
          <w:color w:val="333333"/>
          <w:spacing w:val="0"/>
          <w:sz w:val="21"/>
          <w:szCs w:val="21"/>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八</w:t>
      </w:r>
      <w:r>
        <w:rPr>
          <w:rFonts w:hint="eastAsia" w:ascii="仿宋" w:hAnsi="仿宋" w:eastAsia="仿宋" w:cs="仿宋"/>
          <w:b/>
          <w:bCs/>
          <w:i w:val="0"/>
          <w:iCs w:val="0"/>
          <w:caps w:val="0"/>
          <w:color w:val="333333"/>
          <w:spacing w:val="0"/>
          <w:sz w:val="32"/>
          <w:szCs w:val="32"/>
          <w:shd w:val="clear" w:fill="FFFFFF"/>
        </w:rPr>
        <w:t>、</w:t>
      </w:r>
      <w:r>
        <w:rPr>
          <w:rFonts w:hint="eastAsia" w:ascii="仿宋" w:hAnsi="仿宋" w:eastAsia="仿宋" w:cs="仿宋"/>
          <w:b/>
          <w:bCs/>
          <w:i w:val="0"/>
          <w:iCs w:val="0"/>
          <w:caps w:val="0"/>
          <w:color w:val="333333"/>
          <w:spacing w:val="0"/>
          <w:sz w:val="32"/>
          <w:szCs w:val="32"/>
          <w:shd w:val="clear" w:fill="FFFFFF"/>
          <w:lang w:val="en-US" w:eastAsia="zh-CN"/>
        </w:rPr>
        <w:t>下一步改进措施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544"/>
        <w:jc w:val="left"/>
        <w:textAlignment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1.加强预算管理，科学合理测算本单位年度收入、支出，提高预算科学性，在编制预算时结合上年决算及年度内单位可预见的工作任务据实编制，有效避免年初预算与实际执行出现大的偏差，提高预算控制水平。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544"/>
        <w:jc w:val="left"/>
        <w:textAlignment w:val="center"/>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2.强化预算执行，提高预算完成率。严格按项目和进度执行预算，合理安排资金支出，增强预算执行的规范性和严肃性；完善项目责任制，业务科室为项目实施责任单位，应加强与财务部门的沟通协调，增加项目实施力度，定期做好预算执行分析，及时了解预算执行差异，合理调整、纠正预</w:t>
      </w:r>
      <w:bookmarkStart w:id="0" w:name="_GoBack"/>
      <w:bookmarkEnd w:id="0"/>
      <w:r>
        <w:rPr>
          <w:rFonts w:hint="eastAsia" w:ascii="仿宋" w:hAnsi="仿宋" w:eastAsia="仿宋" w:cs="仿宋"/>
          <w:i w:val="0"/>
          <w:iCs w:val="0"/>
          <w:caps w:val="0"/>
          <w:color w:val="000000"/>
          <w:spacing w:val="0"/>
          <w:sz w:val="32"/>
          <w:szCs w:val="32"/>
          <w:shd w:val="clear" w:fill="FFFFFF"/>
        </w:rPr>
        <w:t>算执行偏差，加快预算的执行进度，减少存量资金，切实提高预算完成率及资金使用效益。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firstLine="2880" w:firstLineChars="900"/>
        <w:jc w:val="left"/>
        <w:textAlignment w:val="center"/>
        <w:rPr>
          <w:rFonts w:hint="eastAsia" w:ascii="仿宋" w:hAnsi="仿宋" w:eastAsia="仿宋" w:cs="仿宋"/>
          <w:i w:val="0"/>
          <w:iCs w:val="0"/>
          <w:caps w:val="0"/>
          <w:color w:val="000000"/>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firstLine="2880" w:firstLineChars="900"/>
        <w:jc w:val="left"/>
        <w:textAlignment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益阳市赫山区城市管理和综合执法局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firstLine="4800" w:firstLineChars="1500"/>
        <w:jc w:val="left"/>
        <w:textAlignment w:val="center"/>
        <w:rPr>
          <w:rFonts w:hint="eastAsia" w:ascii="仿宋" w:hAnsi="仿宋" w:eastAsia="仿宋" w:cs="仿宋"/>
          <w:i w:val="0"/>
          <w:iCs w:val="0"/>
          <w:caps w:val="0"/>
          <w:color w:val="333333"/>
          <w:spacing w:val="0"/>
          <w:sz w:val="21"/>
          <w:szCs w:val="21"/>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3</w:t>
      </w:r>
      <w:r>
        <w:rPr>
          <w:rFonts w:hint="eastAsia" w:ascii="仿宋" w:hAnsi="仿宋" w:eastAsia="仿宋" w:cs="仿宋"/>
          <w:i w:val="0"/>
          <w:iCs w:val="0"/>
          <w:caps w:val="0"/>
          <w:color w:val="000000"/>
          <w:spacing w:val="0"/>
          <w:sz w:val="32"/>
          <w:szCs w:val="32"/>
          <w:shd w:val="clear" w:fill="FFFFFF"/>
        </w:rPr>
        <w:t>年</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月</w:t>
      </w:r>
      <w:r>
        <w:rPr>
          <w:rFonts w:hint="eastAsia" w:ascii="仿宋" w:hAnsi="仿宋" w:eastAsia="仿宋" w:cs="仿宋"/>
          <w:i w:val="0"/>
          <w:iCs w:val="0"/>
          <w:caps w:val="0"/>
          <w:color w:val="000000"/>
          <w:spacing w:val="0"/>
          <w:sz w:val="32"/>
          <w:szCs w:val="32"/>
          <w:shd w:val="clear" w:fill="FFFFFF"/>
          <w:lang w:val="en-US" w:eastAsia="zh-CN"/>
        </w:rPr>
        <w:t>10</w:t>
      </w:r>
      <w:r>
        <w:rPr>
          <w:rFonts w:hint="eastAsia" w:ascii="仿宋" w:hAnsi="仿宋" w:eastAsia="仿宋" w:cs="仿宋"/>
          <w:i w:val="0"/>
          <w:iCs w:val="0"/>
          <w:caps w:val="0"/>
          <w:color w:val="000000"/>
          <w:spacing w:val="0"/>
          <w:sz w:val="32"/>
          <w:szCs w:val="32"/>
          <w:shd w:val="clear" w:fill="FFFFFF"/>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333333"/>
          <w:spacing w:val="0"/>
          <w:sz w:val="44"/>
          <w:szCs w:val="4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44"/>
          <w:szCs w:val="44"/>
          <w:shd w:val="clear" w:fill="FFFFFF"/>
        </w:rPr>
        <w:t>202</w:t>
      </w:r>
      <w:r>
        <w:rPr>
          <w:rFonts w:hint="eastAsia" w:ascii="仿宋" w:hAnsi="仿宋" w:eastAsia="仿宋" w:cs="仿宋"/>
          <w:i w:val="0"/>
          <w:iCs w:val="0"/>
          <w:caps w:val="0"/>
          <w:color w:val="333333"/>
          <w:spacing w:val="0"/>
          <w:sz w:val="44"/>
          <w:szCs w:val="44"/>
          <w:shd w:val="clear" w:fill="FFFFFF"/>
          <w:lang w:val="en-US" w:eastAsia="zh-CN"/>
        </w:rPr>
        <w:t>2</w:t>
      </w:r>
      <w:r>
        <w:rPr>
          <w:rFonts w:hint="eastAsia" w:ascii="仿宋" w:hAnsi="仿宋" w:eastAsia="仿宋" w:cs="仿宋"/>
          <w:i w:val="0"/>
          <w:iCs w:val="0"/>
          <w:caps w:val="0"/>
          <w:color w:val="333333"/>
          <w:spacing w:val="0"/>
          <w:sz w:val="44"/>
          <w:szCs w:val="44"/>
          <w:shd w:val="clear" w:fill="FFFFFF"/>
        </w:rPr>
        <w:t>年度部门整体支出绩效自评指标计分表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1"/>
          <w:szCs w:val="21"/>
          <w:shd w:val="clear" w:fill="FFFFFF"/>
        </w:rPr>
        <w:t> </w:t>
      </w:r>
    </w:p>
    <w:tbl>
      <w:tblPr>
        <w:tblStyle w:val="7"/>
        <w:tblW w:w="9495" w:type="dxa"/>
        <w:tblInd w:w="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320"/>
        <w:gridCol w:w="712"/>
        <w:gridCol w:w="873"/>
        <w:gridCol w:w="696"/>
        <w:gridCol w:w="2496"/>
        <w:gridCol w:w="33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blHeader/>
        </w:trPr>
        <w:tc>
          <w:tcPr>
            <w:tcW w:w="737" w:type="dxa"/>
            <w:tcBorders>
              <w:top w:val="single" w:color="auto" w:sz="8" w:space="0"/>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i w:val="0"/>
                <w:iCs w:val="0"/>
                <w:caps w:val="0"/>
                <w:color w:val="333333"/>
                <w:spacing w:val="0"/>
                <w:sz w:val="21"/>
                <w:szCs w:val="21"/>
                <w:lang w:eastAsia="zh-CN"/>
              </w:rPr>
            </w:pPr>
            <w:r>
              <w:rPr>
                <w:rFonts w:hint="eastAsia" w:ascii="仿宋" w:hAnsi="仿宋" w:eastAsia="仿宋" w:cs="仿宋"/>
                <w:i w:val="0"/>
                <w:iCs w:val="0"/>
                <w:caps w:val="0"/>
                <w:color w:val="333333"/>
                <w:spacing w:val="0"/>
                <w:sz w:val="21"/>
                <w:szCs w:val="21"/>
              </w:rPr>
              <w:t>一级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指标</w:t>
            </w:r>
          </w:p>
        </w:tc>
        <w:tc>
          <w:tcPr>
            <w:tcW w:w="740" w:type="dxa"/>
            <w:tcBorders>
              <w:top w:val="single" w:color="auto" w:sz="8" w:space="0"/>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二级指标</w:t>
            </w:r>
          </w:p>
        </w:tc>
        <w:tc>
          <w:tcPr>
            <w:tcW w:w="920" w:type="dxa"/>
            <w:tcBorders>
              <w:top w:val="single" w:color="auto" w:sz="8" w:space="0"/>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三级指标</w:t>
            </w:r>
          </w:p>
        </w:tc>
        <w:tc>
          <w:tcPr>
            <w:tcW w:w="740" w:type="dxa"/>
            <w:tcBorders>
              <w:top w:val="single" w:color="auto" w:sz="8" w:space="0"/>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自评分</w:t>
            </w:r>
          </w:p>
        </w:tc>
        <w:tc>
          <w:tcPr>
            <w:tcW w:w="2720" w:type="dxa"/>
            <w:tcBorders>
              <w:top w:val="single" w:color="auto" w:sz="8" w:space="0"/>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指标解释</w:t>
            </w:r>
          </w:p>
        </w:tc>
        <w:tc>
          <w:tcPr>
            <w:tcW w:w="3640" w:type="dxa"/>
            <w:tcBorders>
              <w:top w:val="single" w:color="auto" w:sz="8" w:space="0"/>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指标说明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737"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113"/>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投  入  （20分）</w:t>
            </w:r>
          </w:p>
        </w:tc>
        <w:tc>
          <w:tcPr>
            <w:tcW w:w="740"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i w:val="0"/>
                <w:iCs w:val="0"/>
                <w:caps w:val="0"/>
                <w:color w:val="333333"/>
                <w:spacing w:val="0"/>
                <w:sz w:val="21"/>
                <w:szCs w:val="21"/>
                <w:lang w:eastAsia="zh-CN"/>
              </w:rPr>
            </w:pPr>
            <w:r>
              <w:rPr>
                <w:rFonts w:hint="eastAsia" w:ascii="仿宋" w:hAnsi="仿宋" w:eastAsia="仿宋" w:cs="仿宋"/>
                <w:i w:val="0"/>
                <w:iCs w:val="0"/>
                <w:caps w:val="0"/>
                <w:color w:val="333333"/>
                <w:spacing w:val="0"/>
                <w:sz w:val="21"/>
                <w:szCs w:val="21"/>
              </w:rPr>
              <w:t>目标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设定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（5分）</w:t>
            </w: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绩效目标合理性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（2分）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2</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部门所设立的整体绩效目标依据是否充分，是否符合客观实际，用以反映和考核部门整体绩效目标与部门履职、年度工作任务的相符性情况。</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①符合国家法律法规、国民经济和社会发展总体规划计1分；②符合部门“三定”方案确定的职责计0.5分；③是否符合部门制定的中长期实施规划计0.5分。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绩效指标明确性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（3分）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3 </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部门依据整体绩效目标所设定的绩效指标是否清晰、细化、可衡量，用以反映和考核部门整体绩效目标的明细化情况。</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i w:val="0"/>
                <w:iCs w:val="0"/>
                <w:caps w:val="0"/>
                <w:color w:val="333333"/>
                <w:spacing w:val="0"/>
                <w:sz w:val="21"/>
                <w:szCs w:val="21"/>
                <w:lang w:eastAsia="zh-CN"/>
              </w:rPr>
            </w:pPr>
            <w:r>
              <w:rPr>
                <w:rFonts w:hint="eastAsia" w:ascii="仿宋" w:hAnsi="仿宋" w:eastAsia="仿宋" w:cs="仿宋"/>
                <w:i w:val="0"/>
                <w:iCs w:val="0"/>
                <w:caps w:val="0"/>
                <w:color w:val="333333"/>
                <w:spacing w:val="0"/>
                <w:sz w:val="21"/>
                <w:szCs w:val="21"/>
              </w:rPr>
              <w:t>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配置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（15分）</w:t>
            </w: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在职人员控制率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（5分）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5</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部门本年度实际在职人员数与编制数的比率，用以反映和考核部门对人员成本的控制程度。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“三公经费”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变动率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（5分）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5 </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部门本年度“三公经费”预算数与上年度“三公经费”预算数的变动比率，用以反映和考核部门对控制重点行政成本的努力程度。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重点支出安排率（5分）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5</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部门本年度预算安排的重点项目支出与部门项目总支出的比率，用以反映和考核部门对履行主要职责或完成重点任务的保障程度。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737"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113"/>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过  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113"/>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（30分）</w:t>
            </w:r>
          </w:p>
        </w:tc>
        <w:tc>
          <w:tcPr>
            <w:tcW w:w="740"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i w:val="0"/>
                <w:iCs w:val="0"/>
                <w:caps w:val="0"/>
                <w:color w:val="333333"/>
                <w:spacing w:val="0"/>
                <w:sz w:val="21"/>
                <w:szCs w:val="21"/>
                <w:lang w:eastAsia="zh-CN"/>
              </w:rPr>
            </w:pPr>
            <w:r>
              <w:rPr>
                <w:rFonts w:hint="eastAsia" w:ascii="仿宋" w:hAnsi="仿宋" w:eastAsia="仿宋" w:cs="仿宋"/>
                <w:i w:val="0"/>
                <w:iCs w:val="0"/>
                <w:caps w:val="0"/>
                <w:color w:val="333333"/>
                <w:spacing w:val="0"/>
                <w:sz w:val="21"/>
                <w:szCs w:val="21"/>
              </w:rPr>
              <w:t>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（20分）</w:t>
            </w: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预算完成率（4分）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4</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部门本年度预算完成数与预算数的比率，用以反映和考核部门预算完成程度。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预算完成率=（预算完成数/预算数）×100%。完成年初预算计4分，未完成年初预算按比例扣减，预算完成数：部门本年度实际完成的预算数。预算数：财政部门批复的本年度部门预算数。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预算调整率（2分）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2</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部门本年度预算调整数与预算数的比率，用以反映和考核部门预算的调整程度。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支付进度率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（2分）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2 </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部门实际支付进度与既定支付进度的比率，用以反映和考核部门预算执行的及时性和均衡性程度。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737"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113"/>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过 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113"/>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（30分）</w:t>
            </w:r>
          </w:p>
        </w:tc>
        <w:tc>
          <w:tcPr>
            <w:tcW w:w="740"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i w:val="0"/>
                <w:iCs w:val="0"/>
                <w:caps w:val="0"/>
                <w:color w:val="333333"/>
                <w:spacing w:val="0"/>
                <w:sz w:val="21"/>
                <w:szCs w:val="21"/>
                <w:lang w:eastAsia="zh-CN"/>
              </w:rPr>
            </w:pPr>
            <w:r>
              <w:rPr>
                <w:rFonts w:hint="eastAsia" w:ascii="仿宋" w:hAnsi="仿宋" w:eastAsia="仿宋" w:cs="仿宋"/>
                <w:i w:val="0"/>
                <w:iCs w:val="0"/>
                <w:caps w:val="0"/>
                <w:color w:val="333333"/>
                <w:spacing w:val="0"/>
                <w:sz w:val="21"/>
                <w:szCs w:val="21"/>
              </w:rPr>
              <w:t>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（20分</w:t>
            </w: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结转结余控制率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（4分）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4 </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部门本年度结转结余总额与上年结转结余总额增减比例，用以反映和考核部门对存量资金的实际控制程度。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控制率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（2分）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2 </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部门本年度实际支出的公用经费总额与预算安排的公用经费总额的比率，用以反映和考核部门对机构运转成本的实际控制程度。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公用经费控制率=（实际支出公用经费总额/预算安排公用经费总额）×100%。为100%的计2分，每超过1个百分点扣0.1分，扣完为止。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“三公经费”控制率（2分）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2</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部门本年度“三公经费”实际支出数与预算安排数的比率，用以反映和考核部门对“三公经费”的实际控制程度。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“三公经费”控制率=（“三公经费”实际支出数/“三公经费”预算安排数）×100%。为100%的计2分，每超过1个百分点扣0.5分，扣完为止。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政府采购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执行率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（4分）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4</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部门本年度实际政府采购金额与年初政府采购预算的比率，用以反映和考核部门政府采购预算执行情况。</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（5分）</w:t>
            </w: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健全性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（2分）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2 </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部门为加强预算管理、规范财务行为而制定的管理制度是否健全完整，用以反映和考核部门预算管理制度对完成主要职责或促进事业发展的保障情况。</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已制定或具有预算资金管理办法、内部财务管理制度、会计核算制度等管理制度计1分；相关管理制度合法、合规、完整计0.5分；相关管理制度得到有效执行计0.5分。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资金使用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合规性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（1分）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1 </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部门使用预算资金是否符合相关的预算财务管理制度的规定，用以反映和考核部门预算资金的规范运行情况。</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预决算信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息公开性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（1分）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1 </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部门是否按照政府信息公开有关规定公开相关预决算信息，用以反映和考核部门预决算管理的公开透明情况。</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①按规定内容公开预决算信息计0.5分；②按规定时限公开预决算信息计0.5分。预决算信息是指与部门预算、执行、决算、监督、绩效等管理相关的信息。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基础信息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完善性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（1分）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1</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部门基础信息是否完善，用以反映和考核基础信息对预算管理工作的支撑情况。</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①基础数据信息和会计信息资料真实计0.4分；②基础数据信息和会计信息资料完整计0.3分；③基础数据信息和会计信息资料准确计0.3分。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i w:val="0"/>
                <w:iCs w:val="0"/>
                <w:caps w:val="0"/>
                <w:color w:val="333333"/>
                <w:spacing w:val="0"/>
                <w:sz w:val="21"/>
                <w:szCs w:val="21"/>
                <w:lang w:eastAsia="zh-CN"/>
              </w:rPr>
            </w:pPr>
            <w:r>
              <w:rPr>
                <w:rFonts w:hint="eastAsia" w:ascii="仿宋" w:hAnsi="仿宋" w:eastAsia="仿宋" w:cs="仿宋"/>
                <w:i w:val="0"/>
                <w:iCs w:val="0"/>
                <w:caps w:val="0"/>
                <w:color w:val="333333"/>
                <w:spacing w:val="0"/>
                <w:sz w:val="21"/>
                <w:szCs w:val="21"/>
              </w:rPr>
              <w:t>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（5分）</w:t>
            </w: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管理制度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健全性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（2分）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2 </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部门为加强资产管理、规范资产管理行为而制定的管理制度是否健全完整，用以反映和考核部门资产管理制度对完成主要职责或促进社会发展的保障情况。</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①制定或具有资产管理制度计1分；②相关资金管理制度合法、合规、完整计0.5分；③相关资产管理制度得到有效执行计0.5分。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737" w:type="dxa"/>
            <w:vMerge w:val="restart"/>
            <w:tcBorders>
              <w:top w:val="nil"/>
              <w:left w:val="single" w:color="auto" w:sz="8" w:space="0"/>
              <w:bottom w:val="single" w:color="auto" w:sz="8" w:space="0"/>
              <w:right w:val="single" w:color="auto"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113"/>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过 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113"/>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（30分）</w:t>
            </w:r>
          </w:p>
        </w:tc>
        <w:tc>
          <w:tcPr>
            <w:tcW w:w="740" w:type="dxa"/>
            <w:vMerge w:val="restart"/>
            <w:tcBorders>
              <w:top w:val="nil"/>
              <w:left w:val="nil"/>
              <w:bottom w:val="single" w:color="auto" w:sz="8" w:space="0"/>
              <w:right w:val="single" w:color="auto"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i w:val="0"/>
                <w:iCs w:val="0"/>
                <w:caps w:val="0"/>
                <w:color w:val="333333"/>
                <w:spacing w:val="0"/>
                <w:sz w:val="21"/>
                <w:szCs w:val="21"/>
                <w:lang w:eastAsia="zh-CN"/>
              </w:rPr>
            </w:pPr>
            <w:r>
              <w:rPr>
                <w:rFonts w:hint="eastAsia" w:ascii="仿宋" w:hAnsi="仿宋" w:eastAsia="仿宋" w:cs="仿宋"/>
                <w:i w:val="0"/>
                <w:iCs w:val="0"/>
                <w:caps w:val="0"/>
                <w:color w:val="333333"/>
                <w:spacing w:val="0"/>
                <w:sz w:val="21"/>
                <w:szCs w:val="21"/>
              </w:rPr>
              <w:t>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（5分）</w:t>
            </w: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资产管理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安全性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（2分）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2</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部门的资产是否保存完整、使用合规、配置合理、处置规范、收入及时足额上缴，用以反映和考核部门资产安全运行情况。</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①资产保存完整计0.4分；②资产配置合理计0.4分；③资产处置规范计0.4分；④资产账务管理合规、帐实相符计0.4分；⑤资产有偿使用及处置收入及时足额上缴计0.4分。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固定资产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利用率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（1分）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4 </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部门实际在用固定资产总额与所有固定资产总额的比率，用以反映和考核部门固定资产使用效率程度。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固定资产利用率=（实际在用固定资产总额/所有固定资产总额）×100%。利用率为100%的计1分，每降1个百分点扣0.1分，扣完为止。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737"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113"/>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产  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113"/>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（30分）</w:t>
            </w:r>
          </w:p>
        </w:tc>
        <w:tc>
          <w:tcPr>
            <w:tcW w:w="740"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i w:val="0"/>
                <w:iCs w:val="0"/>
                <w:caps w:val="0"/>
                <w:color w:val="333333"/>
                <w:spacing w:val="0"/>
                <w:sz w:val="21"/>
                <w:szCs w:val="21"/>
                <w:lang w:eastAsia="zh-CN"/>
              </w:rPr>
            </w:pPr>
            <w:r>
              <w:rPr>
                <w:rFonts w:hint="eastAsia" w:ascii="仿宋" w:hAnsi="仿宋" w:eastAsia="仿宋" w:cs="仿宋"/>
                <w:i w:val="0"/>
                <w:iCs w:val="0"/>
                <w:caps w:val="0"/>
                <w:color w:val="333333"/>
                <w:spacing w:val="0"/>
                <w:sz w:val="21"/>
                <w:szCs w:val="21"/>
              </w:rPr>
              <w:t>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履行</w:t>
            </w: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实际完成率（8分）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8 </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部门履行职责而实际完成工作数与计划工作数的比率，用以反映和考核部门履职工作任务目标的实现程度。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实际完成率得分=完成市委市政府绩效考核得分或上级主管部门考核指标得分/指标分值*8分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5"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完成及时率（4分）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4 </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部门在规定时限内及时完成的实际工作数与计划工作数的比率,用以反映和考核部门履职时效目标的实现程度。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完成及时率=（及时完成实际工作数/计划工作数）×100%。1-4季度各得1分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23"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质量达标率（8分）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8 </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达到质量标准（绩效标准值）的实际工作数与计划工作数的比率,用以反映和考核部门履职质量目标的实现程度。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质量达标率=（质量达标实际工作数/计划工作数）×100%。实际得分=达标率*8分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08"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重点工作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办结率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（10分）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10 </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部门年度重点工作实际完成数与交办或下达数的比率，用以反映部门对重点工作的办理落实程度。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重点工作办结率=（重点工作实际完成数/交办或下达数）×100%。实际得分=办结率*10分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737" w:type="dxa"/>
            <w:vMerge w:val="restart"/>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113"/>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效 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13" w:right="113"/>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（20分）</w:t>
            </w:r>
          </w:p>
        </w:tc>
        <w:tc>
          <w:tcPr>
            <w:tcW w:w="740"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i w:val="0"/>
                <w:iCs w:val="0"/>
                <w:caps w:val="0"/>
                <w:color w:val="333333"/>
                <w:spacing w:val="0"/>
                <w:sz w:val="21"/>
                <w:szCs w:val="21"/>
                <w:lang w:eastAsia="zh-CN"/>
              </w:rPr>
            </w:pPr>
            <w:r>
              <w:rPr>
                <w:rFonts w:hint="eastAsia" w:ascii="仿宋" w:hAnsi="仿宋" w:eastAsia="仿宋" w:cs="仿宋"/>
                <w:i w:val="0"/>
                <w:iCs w:val="0"/>
                <w:caps w:val="0"/>
                <w:color w:val="333333"/>
                <w:spacing w:val="0"/>
                <w:sz w:val="21"/>
                <w:szCs w:val="21"/>
              </w:rPr>
              <w:t>履职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（20分）</w:t>
            </w: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经济效益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（5分）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4</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部门履行职责对经济发展所带来的直接或间接影响。</w:t>
            </w:r>
          </w:p>
        </w:tc>
        <w:tc>
          <w:tcPr>
            <w:tcW w:w="3640" w:type="dxa"/>
            <w:vMerge w:val="restart"/>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按经济效益实现程度计算得分（5分）；按社会效益实现程度计算得分（5分）；按生态效益实现程度计算得分（5分）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社会效益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（5分）</w:t>
            </w:r>
          </w:p>
        </w:tc>
        <w:tc>
          <w:tcPr>
            <w:tcW w:w="740" w:type="dxa"/>
            <w:tcBorders>
              <w:top w:val="nil"/>
              <w:left w:val="nil"/>
              <w:bottom w:val="single" w:color="auto" w:sz="8" w:space="0"/>
              <w:right w:val="single" w:color="auto"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5</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部门履行职责对社会发展所带来的直接或间接影响。</w:t>
            </w:r>
          </w:p>
        </w:tc>
        <w:tc>
          <w:tcPr>
            <w:tcW w:w="36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生态效益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（5分）</w:t>
            </w:r>
          </w:p>
        </w:tc>
        <w:tc>
          <w:tcPr>
            <w:tcW w:w="740" w:type="dxa"/>
            <w:tcBorders>
              <w:top w:val="nil"/>
              <w:left w:val="nil"/>
              <w:bottom w:val="single" w:color="auto" w:sz="8" w:space="0"/>
              <w:right w:val="single" w:color="auto" w:sz="8"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4</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部门履行职责对生态环境所带来的直接或间接影响。</w:t>
            </w:r>
          </w:p>
        </w:tc>
        <w:tc>
          <w:tcPr>
            <w:tcW w:w="36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737" w:type="dxa"/>
            <w:vMerge w:val="continue"/>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740" w:type="dxa"/>
            <w:vMerge w:val="continue"/>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rPr>
                <w:rFonts w:hint="eastAsia" w:ascii="仿宋" w:hAnsi="仿宋" w:eastAsia="仿宋" w:cs="仿宋"/>
                <w:i w:val="0"/>
                <w:iCs w:val="0"/>
                <w:caps w:val="0"/>
                <w:color w:val="333333"/>
                <w:spacing w:val="0"/>
                <w:sz w:val="24"/>
                <w:szCs w:val="24"/>
              </w:rPr>
            </w:pP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社会公众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或服务对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象满意度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（5分）</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4</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社会公众或部门的服务对象对部门履职效果的满意程度。</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按收集到的服务对象的满意率计算得分（5分）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4" w:hRule="atLeast"/>
        </w:trPr>
        <w:tc>
          <w:tcPr>
            <w:tcW w:w="737" w:type="dxa"/>
            <w:tcBorders>
              <w:top w:val="nil"/>
              <w:left w:val="single" w:color="auto" w:sz="8" w:space="0"/>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rPr>
              <w:t>合  计</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sz w:val="21"/>
                <w:szCs w:val="21"/>
              </w:rPr>
            </w:pPr>
            <w:r>
              <w:rPr>
                <w:rFonts w:hint="eastAsia" w:ascii="仿宋" w:hAnsi="仿宋" w:eastAsia="仿宋" w:cs="仿宋"/>
                <w:i w:val="0"/>
                <w:iCs w:val="0"/>
                <w:caps w:val="0"/>
                <w:color w:val="333333"/>
                <w:spacing w:val="0"/>
                <w:sz w:val="21"/>
                <w:szCs w:val="21"/>
              </w:rPr>
              <w:t> </w:t>
            </w:r>
          </w:p>
        </w:tc>
        <w:tc>
          <w:tcPr>
            <w:tcW w:w="9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w:t>
            </w:r>
          </w:p>
        </w:tc>
        <w:tc>
          <w:tcPr>
            <w:tcW w:w="7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97</w:t>
            </w:r>
          </w:p>
        </w:tc>
        <w:tc>
          <w:tcPr>
            <w:tcW w:w="272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w:t>
            </w:r>
          </w:p>
        </w:tc>
        <w:tc>
          <w:tcPr>
            <w:tcW w:w="3640" w:type="dxa"/>
            <w:tcBorders>
              <w:top w:val="nil"/>
              <w:left w:val="nil"/>
              <w:bottom w:val="single" w:color="auto" w:sz="8" w:space="0"/>
              <w:right w:val="single" w:color="auto" w:sz="8" w:space="0"/>
            </w:tcBorders>
            <w:shd w:val="clear" w:color="auto" w:fill="FFFFFF"/>
            <w:tcMar>
              <w:top w:w="10" w:type="dxa"/>
              <w:left w:w="10" w:type="dxa"/>
              <w:right w:w="1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1"/>
                <w:szCs w:val="21"/>
              </w:rPr>
              <w:t> </w:t>
            </w:r>
          </w:p>
        </w:tc>
      </w:tr>
    </w:tbl>
    <w:p>
      <w:pPr>
        <w:rPr>
          <w:rFonts w:hint="eastAsia" w:ascii="仿宋" w:hAnsi="仿宋" w:eastAsia="仿宋" w:cs="仿宋"/>
        </w:rPr>
      </w:pPr>
    </w:p>
    <w:sectPr>
      <w:pgSz w:w="11906" w:h="16838"/>
      <w:pgMar w:top="1327" w:right="1406" w:bottom="127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F82EC"/>
    <w:multiLevelType w:val="singleLevel"/>
    <w:tmpl w:val="AA7F82EC"/>
    <w:lvl w:ilvl="0" w:tentative="0">
      <w:start w:val="3"/>
      <w:numFmt w:val="chineseCounting"/>
      <w:suff w:val="nothing"/>
      <w:lvlText w:val="%1、"/>
      <w:lvlJc w:val="left"/>
      <w:rPr>
        <w:rFonts w:hint="eastAsia"/>
      </w:rPr>
    </w:lvl>
  </w:abstractNum>
  <w:abstractNum w:abstractNumId="1">
    <w:nsid w:val="DCB821B0"/>
    <w:multiLevelType w:val="singleLevel"/>
    <w:tmpl w:val="DCB821B0"/>
    <w:lvl w:ilvl="0" w:tentative="0">
      <w:start w:val="1"/>
      <w:numFmt w:val="decimal"/>
      <w:lvlText w:val="%1."/>
      <w:lvlJc w:val="left"/>
      <w:pPr>
        <w:tabs>
          <w:tab w:val="left" w:pos="312"/>
        </w:tabs>
        <w:ind w:left="64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ZTIwNjVlN2FhYTVkMjQ5OWNkMGExYTBjODI1MTQifQ=="/>
  </w:docVars>
  <w:rsids>
    <w:rsidRoot w:val="76A77967"/>
    <w:rsid w:val="041B291B"/>
    <w:rsid w:val="0D6E7157"/>
    <w:rsid w:val="10BC257C"/>
    <w:rsid w:val="12084818"/>
    <w:rsid w:val="17CB303D"/>
    <w:rsid w:val="1C852022"/>
    <w:rsid w:val="25902C01"/>
    <w:rsid w:val="2EC6057E"/>
    <w:rsid w:val="31587F2E"/>
    <w:rsid w:val="37BC1633"/>
    <w:rsid w:val="38C9516B"/>
    <w:rsid w:val="39F1305B"/>
    <w:rsid w:val="404B7E20"/>
    <w:rsid w:val="4A9B0445"/>
    <w:rsid w:val="5A2A6C76"/>
    <w:rsid w:val="5D1A0E2E"/>
    <w:rsid w:val="668B729A"/>
    <w:rsid w:val="76A346EE"/>
    <w:rsid w:val="76A77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qFormat/>
    <w:uiPriority w:val="0"/>
    <w:pPr>
      <w:ind w:firstLine="420"/>
    </w:pPr>
  </w:style>
  <w:style w:type="character" w:styleId="9">
    <w:name w:val="Strong"/>
    <w:basedOn w:val="8"/>
    <w:qFormat/>
    <w:uiPriority w:val="0"/>
    <w:rPr>
      <w:b/>
    </w:rPr>
  </w:style>
  <w:style w:type="paragraph" w:customStyle="1" w:styleId="10">
    <w:name w:val="TOC1"/>
    <w:basedOn w:val="1"/>
    <w:next w:val="1"/>
    <w:qFormat/>
    <w:uiPriority w:val="0"/>
    <w:pPr>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7160</Words>
  <Characters>7652</Characters>
  <Lines>0</Lines>
  <Paragraphs>0</Paragraphs>
  <TotalTime>31</TotalTime>
  <ScaleCrop>false</ScaleCrop>
  <LinksUpToDate>false</LinksUpToDate>
  <CharactersWithSpaces>7720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2022-04-14T08:33:00Z</dcterms:created>
  <dc:creator>刘新容</dc:creator>
  <cp:lastModifiedBy>刘新容</cp:lastModifiedBy>
  <cp:lastPrinted>2023-06-08T02:18:51Z</cp:lastPrinted>
  <dcterms:modified xsi:type="dcterms:W3CDTF">2023-06-08T02:20:28Z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D87541848E724965AAA186CDBB08C6E3_13</vt:lpwstr>
  </property>
</Properties>
</file>