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437" w:afterLines="100" w:afterAutospacing="0" w:line="500" w:lineRule="exact"/>
        <w:contextualSpacing/>
        <w:textAlignment w:val="auto"/>
        <w:rPr>
          <w:rFonts w:ascii="方正黑体_GBK" w:hAnsi="方正仿宋_GBK" w:eastAsia="方正黑体_GBK" w:cs="方正仿宋_GBK"/>
          <w:color w:val="auto"/>
          <w:sz w:val="32"/>
          <w:szCs w:val="32"/>
          <w:lang w:val="en-US" w:eastAsia="zh-CN" w:bidi="ar-SA"/>
        </w:rPr>
      </w:pPr>
      <w:r>
        <w:rPr>
          <w:rFonts w:hint="eastAsia" w:ascii="方正黑体_GBK" w:hAnsi="黑体" w:eastAsia="方正黑体_GBK" w:cs="宋体"/>
          <w:color w:val="auto"/>
          <w:sz w:val="32"/>
          <w:szCs w:val="32"/>
          <w:lang w:val="en-US" w:eastAsia="zh-CN" w:bidi="ar-SA"/>
        </w:rPr>
        <w:t>附件1</w:t>
      </w:r>
    </w:p>
    <w:p>
      <w:pPr>
        <w:keepNext w:val="0"/>
        <w:keepLines w:val="0"/>
        <w:pageBreakBefore w:val="0"/>
        <w:widowControl/>
        <w:kinsoku/>
        <w:wordWrap/>
        <w:overflowPunct/>
        <w:topLinePunct w:val="0"/>
        <w:autoSpaceDE/>
        <w:autoSpaceDN/>
        <w:bidi w:val="0"/>
        <w:adjustRightInd w:val="0"/>
        <w:snapToGrid/>
        <w:spacing w:after="0" w:line="640" w:lineRule="exact"/>
        <w:jc w:val="center"/>
        <w:textAlignment w:val="auto"/>
        <w:rPr>
          <w:rFonts w:hint="eastAsia" w:ascii="方正小标宋简体" w:hAnsi="方正小标宋简体" w:eastAsia="方正小标宋简体" w:cs="方正小标宋简体"/>
          <w:color w:val="auto"/>
          <w:kern w:val="0"/>
          <w:sz w:val="44"/>
          <w:szCs w:val="44"/>
        </w:rPr>
      </w:pPr>
      <w:bookmarkStart w:id="0" w:name="_GoBack"/>
      <w:r>
        <w:rPr>
          <w:rFonts w:hint="eastAsia" w:ascii="方正小标宋简体" w:hAnsi="方正小标宋简体" w:eastAsia="方正小标宋简体" w:cs="方正小标宋简体"/>
          <w:color w:val="auto"/>
          <w:kern w:val="0"/>
          <w:sz w:val="44"/>
          <w:szCs w:val="44"/>
        </w:rPr>
        <w:t>街道（园区）居民自建房</w:t>
      </w:r>
    </w:p>
    <w:p>
      <w:pPr>
        <w:keepNext w:val="0"/>
        <w:keepLines w:val="0"/>
        <w:pageBreakBefore w:val="0"/>
        <w:widowControl/>
        <w:kinsoku/>
        <w:wordWrap/>
        <w:overflowPunct/>
        <w:topLinePunct w:val="0"/>
        <w:autoSpaceDE/>
        <w:autoSpaceDN/>
        <w:bidi w:val="0"/>
        <w:adjustRightInd w:val="0"/>
        <w:snapToGrid/>
        <w:spacing w:after="219" w:afterLines="50" w:line="640" w:lineRule="exact"/>
        <w:jc w:val="center"/>
        <w:textAlignment w:val="auto"/>
        <w:rPr>
          <w:rFonts w:hint="eastAsia" w:ascii="方正小标宋简体" w:hAnsi="方正小标宋简体" w:eastAsia="方正小标宋简体" w:cs="方正小标宋简体"/>
          <w:color w:val="auto"/>
          <w:kern w:val="0"/>
          <w:sz w:val="44"/>
          <w:szCs w:val="44"/>
        </w:rPr>
      </w:pPr>
      <w:r>
        <w:rPr>
          <w:rFonts w:hint="eastAsia" w:ascii="方正小标宋简体" w:hAnsi="方正小标宋简体" w:eastAsia="方正小标宋简体" w:cs="方正小标宋简体"/>
          <w:color w:val="auto"/>
          <w:kern w:val="0"/>
          <w:sz w:val="44"/>
          <w:szCs w:val="44"/>
        </w:rPr>
        <w:t>消防责任清单</w:t>
      </w:r>
    </w:p>
    <w:bookmarkEnd w:id="0"/>
    <w:tbl>
      <w:tblPr>
        <w:tblStyle w:val="2"/>
        <w:tblW w:w="893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fixed"/>
        <w:tblCellMar>
          <w:top w:w="0" w:type="dxa"/>
          <w:left w:w="57" w:type="dxa"/>
          <w:bottom w:w="0" w:type="dxa"/>
          <w:right w:w="57" w:type="dxa"/>
        </w:tblCellMar>
      </w:tblPr>
      <w:tblGrid>
        <w:gridCol w:w="507"/>
        <w:gridCol w:w="5046"/>
        <w:gridCol w:w="2402"/>
        <w:gridCol w:w="9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740" w:hRule="atLeast"/>
          <w:tblHeader/>
          <w:jc w:val="center"/>
        </w:trPr>
        <w:tc>
          <w:tcPr>
            <w:tcW w:w="50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编号</w:t>
            </w:r>
          </w:p>
        </w:tc>
        <w:tc>
          <w:tcPr>
            <w:tcW w:w="5046"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责任事项</w:t>
            </w:r>
          </w:p>
        </w:tc>
        <w:tc>
          <w:tcPr>
            <w:tcW w:w="2402"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责任依据</w:t>
            </w:r>
          </w:p>
        </w:tc>
        <w:tc>
          <w:tcPr>
            <w:tcW w:w="98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黑体" w:hAnsi="黑体" w:eastAsia="黑体" w:cs="黑体"/>
                <w:b w:val="0"/>
                <w:bCs/>
                <w:color w:val="auto"/>
                <w:kern w:val="0"/>
                <w:sz w:val="21"/>
                <w:szCs w:val="21"/>
              </w:rPr>
            </w:pPr>
            <w:r>
              <w:rPr>
                <w:rFonts w:hint="eastAsia" w:ascii="黑体" w:hAnsi="黑体" w:eastAsia="黑体" w:cs="黑体"/>
                <w:b w:val="0"/>
                <w:bCs/>
                <w:color w:val="auto"/>
                <w:kern w:val="0"/>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2465" w:hRule="atLeast"/>
          <w:jc w:val="center"/>
        </w:trPr>
        <w:tc>
          <w:tcPr>
            <w:tcW w:w="50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1</w:t>
            </w:r>
          </w:p>
        </w:tc>
        <w:tc>
          <w:tcPr>
            <w:tcW w:w="504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420" w:firstLineChars="20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街道（园区）应当落实属地责任，负责本辖区内居民自建房安全监督管理工作，对居民自建房的安全进行日常监管，开展居民自建房安全管理有关法律法规和安全知识的宣传，建立健全房屋安全管理员、网格化动态管理等制度，及时制止违法建设和其他危害房屋安全的行为。</w:t>
            </w:r>
          </w:p>
        </w:tc>
        <w:tc>
          <w:tcPr>
            <w:tcW w:w="240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《湖南省居民自建房安全管理若干规定》第二条第二款</w:t>
            </w:r>
          </w:p>
        </w:tc>
        <w:tc>
          <w:tcPr>
            <w:tcW w:w="98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7" w:type="dxa"/>
            <w:bottom w:w="0" w:type="dxa"/>
            <w:right w:w="57" w:type="dxa"/>
          </w:tblCellMar>
        </w:tblPrEx>
        <w:trPr>
          <w:trHeight w:val="1376" w:hRule="atLeast"/>
          <w:jc w:val="center"/>
        </w:trPr>
        <w:tc>
          <w:tcPr>
            <w:tcW w:w="50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2</w:t>
            </w:r>
          </w:p>
        </w:tc>
        <w:tc>
          <w:tcPr>
            <w:tcW w:w="504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420" w:firstLineChars="20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街道（园区）根据县级人民政府有关主管部门的委托，实施</w:t>
            </w:r>
            <w:r>
              <w:rPr>
                <w:rFonts w:hint="eastAsia" w:ascii="宋体" w:hAnsi="宋体" w:eastAsia="宋体" w:cs="宋体"/>
                <w:color w:val="auto"/>
                <w:kern w:val="2"/>
                <w:sz w:val="21"/>
                <w:szCs w:val="21"/>
                <w:lang w:val="en-US" w:eastAsia="zh-CN"/>
              </w:rPr>
              <w:t>区</w:t>
            </w:r>
            <w:r>
              <w:rPr>
                <w:rFonts w:hint="eastAsia" w:ascii="宋体" w:hAnsi="宋体" w:eastAsia="宋体" w:cs="宋体"/>
                <w:color w:val="auto"/>
                <w:kern w:val="2"/>
                <w:sz w:val="21"/>
                <w:szCs w:val="21"/>
              </w:rPr>
              <w:t>人民政府</w:t>
            </w:r>
            <w:r>
              <w:rPr>
                <w:rFonts w:hint="eastAsia" w:ascii="宋体" w:hAnsi="宋体" w:eastAsia="宋体" w:cs="宋体"/>
                <w:color w:val="auto"/>
                <w:kern w:val="2"/>
                <w:sz w:val="21"/>
                <w:szCs w:val="21"/>
                <w:lang w:val="en-US" w:eastAsia="zh-CN"/>
              </w:rPr>
              <w:t>消防救援机构</w:t>
            </w:r>
            <w:r>
              <w:rPr>
                <w:rFonts w:hint="eastAsia" w:ascii="宋体" w:hAnsi="宋体" w:eastAsia="宋体" w:cs="宋体"/>
                <w:color w:val="auto"/>
                <w:kern w:val="2"/>
                <w:sz w:val="21"/>
                <w:szCs w:val="21"/>
              </w:rPr>
              <w:t>负责的居民自建房安全管理有关行政处罚。</w:t>
            </w:r>
          </w:p>
        </w:tc>
        <w:tc>
          <w:tcPr>
            <w:tcW w:w="240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《湖南省居民自建房安全管理若干规定》第四条第二款</w:t>
            </w:r>
          </w:p>
        </w:tc>
        <w:tc>
          <w:tcPr>
            <w:tcW w:w="98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2578" w:hRule="atLeast"/>
          <w:jc w:val="center"/>
        </w:trPr>
        <w:tc>
          <w:tcPr>
            <w:tcW w:w="50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3</w:t>
            </w:r>
          </w:p>
        </w:tc>
        <w:tc>
          <w:tcPr>
            <w:tcW w:w="504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420" w:firstLineChars="20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街道（园区）接受县级消防救援部门的指导，加强经营性居民自建房以及改变使用用途的居民自建房的消防安全管理，督促落实用火用电、消防设施器材配置保养、安全疏散、防火分隔等规定，不得占用、堵塞疏散通道和安全出口。</w:t>
            </w:r>
          </w:p>
        </w:tc>
        <w:tc>
          <w:tcPr>
            <w:tcW w:w="240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湖南省人民政府办公厅《关于&lt;湖南省居民自建房安全管理若干规定&gt;实施工作的意见》（湘政办发</w:t>
            </w:r>
            <w:r>
              <w:rPr>
                <w:rFonts w:hint="eastAsia" w:ascii="楷体_GB2312" w:hAnsi="楷体_GB2312" w:eastAsia="楷体_GB2312" w:cs="楷体_GB2312"/>
                <w:color w:val="auto"/>
                <w:kern w:val="2"/>
                <w:sz w:val="21"/>
                <w:szCs w:val="21"/>
              </w:rPr>
              <w:t>〔</w:t>
            </w:r>
            <w:r>
              <w:rPr>
                <w:rFonts w:hint="eastAsia" w:ascii="宋体" w:hAnsi="宋体" w:eastAsia="宋体" w:cs="宋体"/>
                <w:color w:val="auto"/>
                <w:kern w:val="2"/>
                <w:sz w:val="21"/>
                <w:szCs w:val="21"/>
              </w:rPr>
              <w:t>2023</w:t>
            </w:r>
            <w:r>
              <w:rPr>
                <w:rFonts w:hint="eastAsia" w:ascii="楷体_GB2312" w:hAnsi="楷体_GB2312" w:eastAsia="楷体_GB2312" w:cs="楷体_GB2312"/>
                <w:color w:val="auto"/>
                <w:kern w:val="2"/>
                <w:sz w:val="21"/>
                <w:szCs w:val="21"/>
              </w:rPr>
              <w:t>〕</w:t>
            </w:r>
            <w:r>
              <w:rPr>
                <w:rFonts w:hint="eastAsia" w:ascii="宋体" w:hAnsi="宋体" w:eastAsia="宋体" w:cs="宋体"/>
                <w:color w:val="auto"/>
                <w:kern w:val="2"/>
                <w:sz w:val="21"/>
                <w:szCs w:val="21"/>
              </w:rPr>
              <w:t>7号）第6条：加强经营性居民自建房消防安全管理</w:t>
            </w:r>
          </w:p>
        </w:tc>
        <w:tc>
          <w:tcPr>
            <w:tcW w:w="98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649" w:hRule="atLeast"/>
          <w:jc w:val="center"/>
        </w:trPr>
        <w:tc>
          <w:tcPr>
            <w:tcW w:w="50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4</w:t>
            </w:r>
          </w:p>
        </w:tc>
        <w:tc>
          <w:tcPr>
            <w:tcW w:w="504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420" w:firstLineChars="200"/>
              <w:jc w:val="both"/>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rPr>
              <w:t>各级人民政府应当组织开展经常性的消防宣传教育，提高公民的消防安全意识。</w:t>
            </w:r>
          </w:p>
          <w:p>
            <w:pPr>
              <w:keepNext w:val="0"/>
              <w:keepLines w:val="0"/>
              <w:pageBreakBefore w:val="0"/>
              <w:widowControl w:val="0"/>
              <w:kinsoku/>
              <w:wordWrap/>
              <w:overflowPunct/>
              <w:topLinePunct w:val="0"/>
              <w:autoSpaceDE/>
              <w:autoSpaceDN/>
              <w:bidi w:val="0"/>
              <w:adjustRightInd/>
              <w:snapToGrid/>
              <w:spacing w:after="0" w:line="300" w:lineRule="exact"/>
              <w:ind w:firstLine="420" w:firstLineChars="20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村民委员会、居民委员会应当协助人民政府以及公安机关、应急管理等部门，加强消防宣传教育。</w:t>
            </w:r>
          </w:p>
        </w:tc>
        <w:tc>
          <w:tcPr>
            <w:tcW w:w="240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《中华人民共和国消防法》第六条</w:t>
            </w:r>
          </w:p>
        </w:tc>
        <w:tc>
          <w:tcPr>
            <w:tcW w:w="98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1676" w:hRule="atLeast"/>
          <w:jc w:val="center"/>
        </w:trPr>
        <w:tc>
          <w:tcPr>
            <w:tcW w:w="50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5</w:t>
            </w:r>
          </w:p>
        </w:tc>
        <w:tc>
          <w:tcPr>
            <w:tcW w:w="5046"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ind w:firstLine="420" w:firstLineChars="200"/>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街道（园区）应当指导、支持和帮助村民委员会、居民委员会开展群众性的消防工作。村民委员会、居民委员会应当确定消防安全管理人，组织制定防火安全公约，进行防火安全检查。</w:t>
            </w:r>
          </w:p>
        </w:tc>
        <w:tc>
          <w:tcPr>
            <w:tcW w:w="240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《中华人民共和国消防法》第三十二条</w:t>
            </w:r>
          </w:p>
        </w:tc>
        <w:tc>
          <w:tcPr>
            <w:tcW w:w="98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57" w:type="dxa"/>
            <w:bottom w:w="0" w:type="dxa"/>
            <w:right w:w="57" w:type="dxa"/>
          </w:tblCellMar>
        </w:tblPrEx>
        <w:trPr>
          <w:trHeight w:val="6562" w:hRule="atLeast"/>
          <w:jc w:val="center"/>
        </w:trPr>
        <w:tc>
          <w:tcPr>
            <w:tcW w:w="507"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2"/>
                <w:sz w:val="21"/>
                <w:szCs w:val="21"/>
                <w:lang w:eastAsia="zh-CN"/>
              </w:rPr>
            </w:pPr>
            <w:r>
              <w:rPr>
                <w:rFonts w:hint="eastAsia" w:ascii="宋体" w:hAnsi="宋体" w:eastAsia="宋体" w:cs="宋体"/>
                <w:color w:val="auto"/>
                <w:kern w:val="2"/>
                <w:sz w:val="21"/>
                <w:szCs w:val="21"/>
                <w:lang w:val="en-US" w:eastAsia="zh-CN"/>
              </w:rPr>
              <w:t>6</w:t>
            </w:r>
          </w:p>
        </w:tc>
        <w:tc>
          <w:tcPr>
            <w:tcW w:w="5046" w:type="dxa"/>
            <w:tcBorders>
              <w:tl2br w:val="nil"/>
              <w:tr2bl w:val="nil"/>
            </w:tcBorders>
            <w:shd w:val="clear" w:color="auto" w:fill="auto"/>
            <w:vAlign w:val="center"/>
          </w:tcPr>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ind w:firstLine="420" w:firstLineChars="200"/>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街道（园区）履行下列消防工作职责：</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（一）建立消防安全组织，明确专人负责消防工作，制定消防安全制度，落实消防安全措施。</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（二）根据当地经济发展和消防工作的需要建立专职消防队、志愿消防队，承担火灾扑救、应急救援等职能，并开展消防宣传、防火巡查、隐患查改。</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（三）因地制宜落实消防安全“网格化”管理的措施和要求，加强消防宣传培训和应急疏散演练。</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（四）部署消防安全整治，组织开展消防安全检查，督促整改火灾隐患，将重大火灾隐患、区域性火灾隐患和公共消防设施缺失、损坏等情况及时报告上一级人民政府。</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　　（五）指导村（居）民委员会开展群众性的消防工作，确定消防安全管理人，制定防火安全公约，根据需要建立志愿消防队或微型消防站，开展防火安全检查、消防宣传教育和应急疏散演练，提高城乡消防安全水平。</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ind w:firstLine="429"/>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（六）组织或者协助做好火灾事故和其他灾害事故善后处理工作。</w:t>
            </w:r>
          </w:p>
          <w:p>
            <w:pPr>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00" w:lineRule="exact"/>
              <w:ind w:firstLine="429"/>
              <w:jc w:val="both"/>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（七）保障消防工作经费。</w:t>
            </w:r>
          </w:p>
        </w:tc>
        <w:tc>
          <w:tcPr>
            <w:tcW w:w="2402" w:type="dxa"/>
            <w:tcBorders>
              <w:tl2br w:val="nil"/>
              <w:tr2bl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《湖南省消防安全责任制实施办法》（湘政办发</w:t>
            </w:r>
            <w:r>
              <w:rPr>
                <w:rFonts w:hint="eastAsia" w:ascii="楷体_GB2312" w:hAnsi="楷体_GB2312" w:eastAsia="楷体_GB2312" w:cs="楷体_GB2312"/>
                <w:color w:val="auto"/>
                <w:kern w:val="2"/>
                <w:sz w:val="21"/>
                <w:szCs w:val="21"/>
              </w:rPr>
              <w:t>〔</w:t>
            </w:r>
            <w:r>
              <w:rPr>
                <w:rFonts w:hint="eastAsia" w:ascii="宋体" w:hAnsi="宋体" w:eastAsia="宋体" w:cs="宋体"/>
                <w:color w:val="auto"/>
                <w:kern w:val="2"/>
                <w:sz w:val="21"/>
                <w:szCs w:val="21"/>
              </w:rPr>
              <w:t>2018</w:t>
            </w:r>
            <w:r>
              <w:rPr>
                <w:rFonts w:hint="eastAsia" w:ascii="楷体_GB2312" w:hAnsi="楷体_GB2312" w:eastAsia="楷体_GB2312" w:cs="楷体_GB2312"/>
                <w:color w:val="auto"/>
                <w:kern w:val="2"/>
                <w:sz w:val="21"/>
                <w:szCs w:val="21"/>
              </w:rPr>
              <w:t>〕</w:t>
            </w:r>
            <w:r>
              <w:rPr>
                <w:rFonts w:hint="eastAsia" w:ascii="宋体" w:hAnsi="宋体" w:eastAsia="宋体" w:cs="宋体"/>
                <w:color w:val="auto"/>
                <w:kern w:val="2"/>
                <w:sz w:val="21"/>
                <w:szCs w:val="21"/>
              </w:rPr>
              <w:t>36号）第七条</w:t>
            </w:r>
          </w:p>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r>
              <w:rPr>
                <w:rFonts w:hint="eastAsia" w:ascii="宋体" w:hAnsi="宋体" w:eastAsia="宋体" w:cs="宋体"/>
                <w:color w:val="auto"/>
                <w:kern w:val="2"/>
                <w:sz w:val="21"/>
                <w:szCs w:val="21"/>
              </w:rPr>
              <w:t>　　</w:t>
            </w:r>
          </w:p>
          <w:p>
            <w:pPr>
              <w:keepNext w:val="0"/>
              <w:keepLines w:val="0"/>
              <w:pageBreakBefore w:val="0"/>
              <w:widowControl w:val="0"/>
              <w:kinsoku/>
              <w:wordWrap/>
              <w:overflowPunct/>
              <w:topLinePunct w:val="0"/>
              <w:autoSpaceDE/>
              <w:autoSpaceDN/>
              <w:bidi w:val="0"/>
              <w:adjustRightInd/>
              <w:snapToGrid/>
              <w:spacing w:after="0" w:line="300" w:lineRule="exact"/>
              <w:jc w:val="both"/>
              <w:textAlignment w:val="auto"/>
              <w:rPr>
                <w:rFonts w:hint="eastAsia" w:ascii="宋体" w:hAnsi="宋体" w:eastAsia="宋体" w:cs="宋体"/>
                <w:color w:val="auto"/>
                <w:kern w:val="2"/>
                <w:sz w:val="21"/>
                <w:szCs w:val="21"/>
              </w:rPr>
            </w:pPr>
          </w:p>
        </w:tc>
        <w:tc>
          <w:tcPr>
            <w:tcW w:w="983" w:type="dxa"/>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spacing w:after="0" w:line="300" w:lineRule="exact"/>
              <w:jc w:val="center"/>
              <w:textAlignment w:val="auto"/>
              <w:rPr>
                <w:rFonts w:hint="eastAsia" w:ascii="宋体" w:hAnsi="宋体" w:eastAsia="宋体" w:cs="宋体"/>
                <w:color w:val="auto"/>
                <w:kern w:val="0"/>
                <w:sz w:val="21"/>
                <w:szCs w:val="21"/>
              </w:rPr>
            </w:pPr>
          </w:p>
        </w:tc>
      </w:tr>
    </w:tbl>
    <w:p>
      <w:pPr>
        <w:widowControl w:val="0"/>
        <w:adjustRightInd/>
        <w:snapToGrid/>
        <w:spacing w:line="560" w:lineRule="exact"/>
        <w:rPr>
          <w:rFonts w:ascii="方正黑体_GBK" w:hAnsi="黑体" w:eastAsia="方正黑体_GBK"/>
          <w:color w:val="auto"/>
          <w:sz w:val="32"/>
          <w:szCs w:val="32"/>
        </w:rPr>
        <w:sectPr>
          <w:headerReference r:id="rId3" w:type="default"/>
          <w:footerReference r:id="rId5" w:type="default"/>
          <w:headerReference r:id="rId4" w:type="even"/>
          <w:footerReference r:id="rId6" w:type="even"/>
          <w:pgSz w:w="11907" w:h="16840"/>
          <w:pgMar w:top="2098" w:right="1474" w:bottom="1984" w:left="1587" w:header="851" w:footer="1417" w:gutter="0"/>
          <w:pgBorders>
            <w:top w:val="none" w:sz="0" w:space="0"/>
            <w:left w:val="none" w:sz="0" w:space="0"/>
            <w:bottom w:val="none" w:sz="0" w:space="0"/>
            <w:right w:val="none" w:sz="0" w:space="0"/>
          </w:pgBorders>
          <w:pgNumType w:fmt="numberInDash"/>
          <w:cols w:space="0" w:num="1"/>
          <w:rtlGutter w:val="0"/>
          <w:docGrid w:linePitch="435" w:charSpace="0"/>
        </w:sectPr>
      </w:pPr>
    </w:p>
    <w:p>
      <w:pPr>
        <w:tabs>
          <w:tab w:val="left" w:pos="1236"/>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965423F-61BD-42A1-8F18-A1DC47F3768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EF38E28-F6AF-4C4A-86D5-EB2B78E1C247}"/>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3000509000000000000"/>
    <w:charset w:val="86"/>
    <w:family w:val="script"/>
    <w:pitch w:val="default"/>
    <w:sig w:usb0="00000000" w:usb1="00000000" w:usb2="00000000" w:usb3="00000000" w:csb0="00040000" w:csb1="00000000"/>
    <w:embedRegular r:id="rId3" w:fontKey="{EAC65D4B-7394-4C99-B597-CA97AC78EFC5}"/>
  </w:font>
  <w:font w:name="方正仿宋_GBK">
    <w:altName w:val="微软雅黑"/>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00000001" w:usb1="080E0000" w:usb2="00000000" w:usb3="00000000" w:csb0="00040000" w:csb1="00000000"/>
    <w:embedRegular r:id="rId4" w:fontKey="{295ECB62-71AB-4FAA-897B-283E6FD0B2D7}"/>
  </w:font>
  <w:font w:name="楷体_GB2312">
    <w:panose1 w:val="02010609030101010101"/>
    <w:charset w:val="86"/>
    <w:family w:val="modern"/>
    <w:pitch w:val="default"/>
    <w:sig w:usb0="00000001" w:usb1="080E0000" w:usb2="00000000" w:usb3="00000000" w:csb0="00040000" w:csb1="00000000"/>
    <w:embedRegular r:id="rId5" w:fontKey="{151A9BF3-C045-4739-8259-A5A3DBE114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FN+4g5wEAAMcD&#10;AAAOAAAAAAAAAAEAIAAAAB4BAABkcnMvZTJvRG9jLnhtbFBLBQYAAAAABgAGAFkBAAB3BQAAAAA=&#10;">
              <v:fill on="f" focussize="0,0"/>
              <v:stroke on="f"/>
              <v:imagedata o:title=""/>
              <o:lock v:ext="edit" aspectratio="f"/>
              <v:textbox inset="0mm,0mm,0mm,0mm" style="mso-fit-shape-to-text:t;">
                <w:txbxContent>
                  <w:p>
                    <w:pPr>
                      <w:keepNext w:val="0"/>
                      <w:keepLines w:val="0"/>
                      <w:pageBreakBefore w:val="0"/>
                      <w:widowControl/>
                      <w:tabs>
                        <w:tab w:val="center" w:pos="4153"/>
                        <w:tab w:val="right" w:pos="8306"/>
                      </w:tabs>
                      <w:kinsoku/>
                      <w:wordWrap/>
                      <w:overflowPunct/>
                      <w:topLinePunct w:val="0"/>
                      <w:autoSpaceDE/>
                      <w:autoSpaceDN/>
                      <w:bidi w:val="0"/>
                      <w:adjustRightInd w:val="0"/>
                      <w:snapToGrid w:val="0"/>
                      <w:spacing w:after="0"/>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fldChar w:fldCharType="begin"/>
                    </w:r>
                    <w:r>
                      <w:rPr>
                        <w:rFonts w:hint="eastAsia" w:ascii="宋体" w:hAnsi="宋体" w:eastAsia="宋体" w:cs="宋体"/>
                        <w:sz w:val="28"/>
                        <w:szCs w:val="28"/>
                        <w:lang w:val="en-US" w:eastAsia="zh-CN" w:bidi="ar-SA"/>
                      </w:rPr>
                      <w:instrText xml:space="preserve"> PAGE  \* MERGEFORMAT </w:instrText>
                    </w:r>
                    <w:r>
                      <w:rPr>
                        <w:rFonts w:hint="eastAsia" w:ascii="宋体" w:hAnsi="宋体" w:eastAsia="宋体" w:cs="宋体"/>
                        <w:sz w:val="28"/>
                        <w:szCs w:val="28"/>
                        <w:lang w:val="en-US" w:eastAsia="zh-CN" w:bidi="ar-SA"/>
                      </w:rPr>
                      <w:fldChar w:fldCharType="separate"/>
                    </w:r>
                    <w:r>
                      <w:rPr>
                        <w:rFonts w:hint="eastAsia" w:ascii="宋体" w:hAnsi="宋体" w:eastAsia="宋体" w:cs="宋体"/>
                        <w:sz w:val="28"/>
                        <w:szCs w:val="28"/>
                        <w:lang w:val="en-US" w:eastAsia="zh-CN" w:bidi="ar-SA"/>
                      </w:rPr>
                      <w:t>- 1 -</w:t>
                    </w:r>
                    <w:r>
                      <w:rPr>
                        <w:rFonts w:hint="eastAsia" w:ascii="宋体" w:hAnsi="宋体" w:eastAsia="宋体" w:cs="宋体"/>
                        <w:sz w:val="28"/>
                        <w:szCs w:val="28"/>
                        <w:lang w:val="en-US" w:eastAsia="zh-CN" w:bidi="ar-S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adjustRightInd w:val="0"/>
      <w:snapToGrid w:val="0"/>
      <w:spacing w:after="200"/>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tabs>
                              <w:tab w:val="center" w:pos="4153"/>
                              <w:tab w:val="right" w:pos="8306"/>
                            </w:tabs>
                            <w:adjustRightInd w:val="0"/>
                            <w:snapToGrid w:val="0"/>
                            <w:spacing w:after="200"/>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w:fldChar w:fldCharType="begin"/>
                          </w:r>
                          <w:r>
                            <w:rPr>
                              <w:rFonts w:ascii="Tahoma" w:hAnsi="Tahoma" w:eastAsia="微软雅黑" w:cs="Times New Roman"/>
                              <w:sz w:val="18"/>
                              <w:szCs w:val="18"/>
                              <w:lang w:val="en-US" w:eastAsia="zh-CN" w:bidi="ar-SA"/>
                            </w:rPr>
                            <w:instrText xml:space="preserve"> PAGE  \* MERGEFORMAT </w:instrText>
                          </w:r>
                          <w:r>
                            <w:rPr>
                              <w:rFonts w:ascii="Tahoma" w:hAnsi="Tahoma" w:eastAsia="微软雅黑" w:cs="Times New Roman"/>
                              <w:sz w:val="18"/>
                              <w:szCs w:val="18"/>
                              <w:lang w:val="en-US" w:eastAsia="zh-CN" w:bidi="ar-SA"/>
                            </w:rPr>
                            <w:fldChar w:fldCharType="separate"/>
                          </w:r>
                          <w:r>
                            <w:rPr>
                              <w:rFonts w:ascii="Tahoma" w:hAnsi="Tahoma" w:eastAsia="微软雅黑" w:cs="Times New Roman"/>
                              <w:sz w:val="18"/>
                              <w:szCs w:val="18"/>
                              <w:lang w:val="en-US" w:eastAsia="zh-CN" w:bidi="ar-SA"/>
                            </w:rPr>
                            <w:t>- 2 -</w:t>
                          </w:r>
                          <w:r>
                            <w:rPr>
                              <w:rFonts w:ascii="Tahoma" w:hAnsi="Tahoma" w:eastAsia="微软雅黑" w:cs="Times New Roman"/>
                              <w:sz w:val="18"/>
                              <w:szCs w:val="18"/>
                              <w:lang w:val="en-US" w:eastAsia="zh-CN" w:bidi="ar-SA"/>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KbUckBAACZAwAADgAAAGRycy9lMm9Eb2MueG1srVPNjtMwEL6vxDtY&#10;vlNnK4G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4ptRyQEAAJkDAAAOAAAAAAAAAAEAIAAAAB4BAABkcnMvZTJvRG9j&#10;LnhtbFBLBQYAAAAABgAGAFkBAABZBQAAAAA=&#10;">
              <v:fill on="f" focussize="0,0"/>
              <v:stroke on="f"/>
              <v:imagedata o:title=""/>
              <o:lock v:ext="edit" aspectratio="f"/>
              <v:textbox inset="0mm,0mm,0mm,0mm" style="mso-fit-shape-to-text:t;">
                <w:txbxContent>
                  <w:p>
                    <w:pPr>
                      <w:tabs>
                        <w:tab w:val="center" w:pos="4153"/>
                        <w:tab w:val="right" w:pos="8306"/>
                      </w:tabs>
                      <w:adjustRightInd w:val="0"/>
                      <w:snapToGrid w:val="0"/>
                      <w:spacing w:after="200"/>
                      <w:rPr>
                        <w:rFonts w:ascii="Tahoma" w:hAnsi="Tahoma" w:eastAsia="微软雅黑" w:cs="Times New Roman"/>
                        <w:sz w:val="18"/>
                        <w:szCs w:val="18"/>
                        <w:lang w:val="en-US" w:eastAsia="zh-CN" w:bidi="ar-SA"/>
                      </w:rPr>
                    </w:pPr>
                    <w:r>
                      <w:rPr>
                        <w:rFonts w:ascii="Tahoma" w:hAnsi="Tahoma" w:eastAsia="微软雅黑" w:cs="Times New Roman"/>
                        <w:sz w:val="18"/>
                        <w:szCs w:val="18"/>
                        <w:lang w:val="en-US" w:eastAsia="zh-CN" w:bidi="ar-SA"/>
                      </w:rPr>
                      <w:fldChar w:fldCharType="begin"/>
                    </w:r>
                    <w:r>
                      <w:rPr>
                        <w:rFonts w:ascii="Tahoma" w:hAnsi="Tahoma" w:eastAsia="微软雅黑" w:cs="Times New Roman"/>
                        <w:sz w:val="18"/>
                        <w:szCs w:val="18"/>
                        <w:lang w:val="en-US" w:eastAsia="zh-CN" w:bidi="ar-SA"/>
                      </w:rPr>
                      <w:instrText xml:space="preserve"> PAGE  \* MERGEFORMAT </w:instrText>
                    </w:r>
                    <w:r>
                      <w:rPr>
                        <w:rFonts w:ascii="Tahoma" w:hAnsi="Tahoma" w:eastAsia="微软雅黑" w:cs="Times New Roman"/>
                        <w:sz w:val="18"/>
                        <w:szCs w:val="18"/>
                        <w:lang w:val="en-US" w:eastAsia="zh-CN" w:bidi="ar-SA"/>
                      </w:rPr>
                      <w:fldChar w:fldCharType="separate"/>
                    </w:r>
                    <w:r>
                      <w:rPr>
                        <w:rFonts w:ascii="Tahoma" w:hAnsi="Tahoma" w:eastAsia="微软雅黑" w:cs="Times New Roman"/>
                        <w:sz w:val="18"/>
                        <w:szCs w:val="18"/>
                        <w:lang w:val="en-US" w:eastAsia="zh-CN" w:bidi="ar-SA"/>
                      </w:rPr>
                      <w:t>- 2 -</w:t>
                    </w:r>
                    <w:r>
                      <w:rPr>
                        <w:rFonts w:ascii="Tahoma" w:hAnsi="Tahoma" w:eastAsia="微软雅黑" w:cs="Times New Roman"/>
                        <w:sz w:val="18"/>
                        <w:szCs w:val="18"/>
                        <w:lang w:val="en-US" w:eastAsia="zh-CN"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adjustRightInd w:val="0"/>
      <w:snapToGrid w:val="0"/>
      <w:spacing w:after="200"/>
      <w:jc w:val="center"/>
      <w:rPr>
        <w:rFonts w:hint="eastAsia" w:ascii="Tahoma" w:hAnsi="Tahoma" w:eastAsia="微软雅黑" w:cs="Times New Roman"/>
        <w:sz w:val="18"/>
        <w:szCs w:val="18"/>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1"/>
      </w:pBdr>
      <w:tabs>
        <w:tab w:val="center" w:pos="4153"/>
        <w:tab w:val="right" w:pos="8306"/>
      </w:tabs>
      <w:adjustRightInd w:val="0"/>
      <w:snapToGrid w:val="0"/>
      <w:spacing w:after="200"/>
      <w:jc w:val="center"/>
      <w:rPr>
        <w:rFonts w:ascii="Tahoma" w:hAnsi="Tahoma" w:eastAsia="微软雅黑" w:cs="Times New Roman"/>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BB6DD6"/>
    <w:rsid w:val="5FBB6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2023-06-29T02:39:00Z</dcterms:created>
  <dc:creator>丫丫</dc:creator>
  <cp:lastModifiedBy>丫丫</cp:lastModifiedBy>
  <dcterms:modified xsi:type="dcterms:W3CDTF">2023-06-29T02:40:32Z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DF18624993B2428EA0506171D28BC90D</vt:lpwstr>
  </property>
</Properties>
</file>