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6027" w14:textId="77777777" w:rsidR="00612AB2" w:rsidRDefault="00612AB2" w:rsidP="005A2C5D">
      <w:pPr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龙岭</w:t>
      </w:r>
      <w:r>
        <w:rPr>
          <w:rFonts w:eastAsia="方正小标宋_GBK" w:hint="eastAsia"/>
          <w:sz w:val="40"/>
          <w:szCs w:val="40"/>
        </w:rPr>
        <w:t>产业开发</w:t>
      </w:r>
      <w:r>
        <w:rPr>
          <w:rFonts w:eastAsia="方正小标宋_GBK"/>
          <w:sz w:val="40"/>
          <w:szCs w:val="40"/>
        </w:rPr>
        <w:t>区</w:t>
      </w:r>
      <w:r>
        <w:rPr>
          <w:rFonts w:eastAsia="方正小标宋_GBK"/>
          <w:sz w:val="40"/>
          <w:szCs w:val="40"/>
        </w:rPr>
        <w:t>2022</w:t>
      </w:r>
      <w:r>
        <w:rPr>
          <w:rFonts w:eastAsia="方正小标宋_GBK"/>
          <w:sz w:val="40"/>
          <w:szCs w:val="40"/>
        </w:rPr>
        <w:t>年度</w:t>
      </w:r>
    </w:p>
    <w:p w14:paraId="5A7D977A" w14:textId="77777777" w:rsidR="00612AB2" w:rsidRDefault="00612AB2" w:rsidP="005A2C5D">
      <w:pPr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项目支出绩效评价报告</w:t>
      </w:r>
    </w:p>
    <w:p w14:paraId="31E8FD2D" w14:textId="7CB61823" w:rsidR="00612AB2" w:rsidRDefault="00612AB2" w:rsidP="005A2C5D">
      <w:pPr>
        <w:pStyle w:val="a3"/>
        <w:spacing w:before="360" w:beforeAutospacing="0" w:afterAutospacing="0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根据《财政部关于印发</w:t>
      </w:r>
      <w:r>
        <w:rPr>
          <w:rFonts w:ascii="仿宋_GB2312" w:eastAsia="仿宋_GB2312" w:cs="仿宋_GB2312"/>
          <w:sz w:val="32"/>
          <w:szCs w:val="32"/>
        </w:rPr>
        <w:t>&lt;</w:t>
      </w:r>
      <w:r>
        <w:rPr>
          <w:rFonts w:ascii="仿宋_GB2312" w:eastAsia="仿宋_GB2312" w:cs="仿宋_GB2312" w:hint="eastAsia"/>
          <w:sz w:val="32"/>
          <w:szCs w:val="32"/>
        </w:rPr>
        <w:t>项目支出绩效评价管理办法</w:t>
      </w:r>
      <w:r>
        <w:rPr>
          <w:rFonts w:ascii="仿宋_GB2312" w:eastAsia="仿宋_GB2312" w:cs="仿宋_GB2312"/>
          <w:sz w:val="32"/>
          <w:szCs w:val="32"/>
        </w:rPr>
        <w:t>&gt;</w:t>
      </w:r>
      <w:r>
        <w:rPr>
          <w:rFonts w:ascii="仿宋_GB2312" w:eastAsia="仿宋_GB2312" w:cs="仿宋_GB2312" w:hint="eastAsia"/>
          <w:sz w:val="32"/>
          <w:szCs w:val="32"/>
        </w:rPr>
        <w:t>的通知》（财预〔</w:t>
      </w: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号）、《中共湖南省委办公厅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湖南省人民政府办公厅关于全面实施预算绩效管理的实施意见》（湘政发〔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号）及其他有关法律、法规和规章制度等有关文件精神</w:t>
      </w:r>
      <w:r>
        <w:rPr>
          <w:rFonts w:ascii="仿宋" w:eastAsia="仿宋" w:hAnsi="仿宋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</w:rPr>
        <w:t>强化各部门单位的预算绩效主体责任和绩效意识，提高项目资金使用效益，根据上级文件精神和要求，现将</w:t>
      </w:r>
      <w:r w:rsidR="00897DE2" w:rsidRPr="00897DE2">
        <w:rPr>
          <w:rFonts w:ascii="仿宋" w:eastAsia="仿宋" w:hAnsi="仿宋" w:hint="eastAsia"/>
          <w:color w:val="000000"/>
          <w:sz w:val="32"/>
          <w:szCs w:val="32"/>
        </w:rPr>
        <w:t>2022年城市维护资金城市污水处理补贴经费城东污水处理厂</w:t>
      </w:r>
      <w:r>
        <w:rPr>
          <w:rFonts w:ascii="仿宋" w:eastAsia="仿宋" w:hAnsi="仿宋" w:hint="eastAsia"/>
          <w:color w:val="000000"/>
          <w:sz w:val="32"/>
          <w:szCs w:val="32"/>
        </w:rPr>
        <w:t>评价报告如下：</w:t>
      </w:r>
    </w:p>
    <w:p w14:paraId="60EBE476" w14:textId="77777777" w:rsidR="00612AB2" w:rsidRPr="00612AB2" w:rsidRDefault="00612AB2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</w:pPr>
    </w:p>
    <w:p w14:paraId="32C26A6B" w14:textId="749A5CED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  <w:t>一、预算支出基本情况</w:t>
      </w:r>
    </w:p>
    <w:p w14:paraId="6779526D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（一）预算支出概况</w:t>
      </w:r>
    </w:p>
    <w:p w14:paraId="0E8F0709" w14:textId="14B41608" w:rsidR="00897DE2" w:rsidRPr="00897DE2" w:rsidRDefault="00000000" w:rsidP="00897DE2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2年</w:t>
      </w:r>
      <w:r w:rsidR="00897DE2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  <w:r w:rsidR="00897DE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</w:t>
      </w:r>
      <w:r w:rsidR="00897DE2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</w:t>
      </w:r>
      <w:r w:rsidR="00897DE2" w:rsidRPr="00897DE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2022建指0095号</w:t>
      </w:r>
      <w:r w:rsidR="00897DE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下达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我区益阳市赫山区龙岭</w:t>
      </w:r>
      <w:r w:rsidR="00897DE2" w:rsidRPr="00897DE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2022年城市维护资金城市污水处理补贴经费城东污水处理厂（城市基础设施配套费收入）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项目</w:t>
      </w:r>
      <w:r w:rsidR="00897DE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4</w:t>
      </w:r>
      <w:r w:rsidR="00897DE2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00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万元。</w:t>
      </w:r>
      <w:r w:rsidR="00897DE2" w:rsidRPr="00897DE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益阳市城东污水处理厂</w:t>
      </w:r>
      <w:r w:rsidR="00897DE2">
        <w:rPr>
          <w:rFonts w:ascii="仿宋" w:eastAsia="仿宋" w:hAnsi="仿宋" w:cs="仿宋" w:hint="eastAsia"/>
          <w:sz w:val="32"/>
          <w:szCs w:val="32"/>
        </w:rPr>
        <w:t>位于益阳市赫山区龙光桥街道宁家铺村。设计总规模：5.0×10000m</w:t>
      </w:r>
      <w:r w:rsidR="00897DE2">
        <w:rPr>
          <w:rFonts w:ascii="Calibri" w:eastAsia="仿宋" w:hAnsi="Calibri" w:cs="Calibri"/>
          <w:sz w:val="32"/>
          <w:szCs w:val="32"/>
        </w:rPr>
        <w:t>³</w:t>
      </w:r>
      <w:r w:rsidR="00897DE2">
        <w:rPr>
          <w:rFonts w:ascii="仿宋" w:eastAsia="仿宋" w:hAnsi="仿宋" w:cs="仿宋" w:hint="eastAsia"/>
          <w:sz w:val="32"/>
          <w:szCs w:val="32"/>
        </w:rPr>
        <w:t>/d，项目分两期建设。一期建设2.0×10000m</w:t>
      </w:r>
      <w:r w:rsidR="00897DE2">
        <w:rPr>
          <w:rFonts w:ascii="Calibri" w:eastAsia="仿宋" w:hAnsi="Calibri" w:cs="Calibri"/>
          <w:sz w:val="32"/>
          <w:szCs w:val="32"/>
        </w:rPr>
        <w:t>³</w:t>
      </w:r>
      <w:r w:rsidR="00897DE2">
        <w:rPr>
          <w:rFonts w:ascii="仿宋" w:eastAsia="仿宋" w:hAnsi="仿宋" w:cs="仿宋" w:hint="eastAsia"/>
          <w:sz w:val="32"/>
          <w:szCs w:val="32"/>
        </w:rPr>
        <w:t>/d，工艺采用AAO、反硝化滤池、紫外消毒，投资9000多万。二期建设规模：投资7000多万，3.0×</w:t>
      </w:r>
      <w:r w:rsidR="00897DE2">
        <w:rPr>
          <w:rFonts w:ascii="仿宋" w:eastAsia="仿宋" w:hAnsi="仿宋" w:cs="仿宋" w:hint="eastAsia"/>
          <w:sz w:val="32"/>
          <w:szCs w:val="32"/>
        </w:rPr>
        <w:lastRenderedPageBreak/>
        <w:t>10000m</w:t>
      </w:r>
      <w:r w:rsidR="00897DE2">
        <w:rPr>
          <w:rFonts w:ascii="Calibri" w:eastAsia="仿宋" w:hAnsi="Calibri" w:cs="Calibri"/>
          <w:sz w:val="32"/>
          <w:szCs w:val="32"/>
        </w:rPr>
        <w:t>³</w:t>
      </w:r>
      <w:r w:rsidR="00897DE2">
        <w:rPr>
          <w:rFonts w:ascii="仿宋" w:eastAsia="仿宋" w:hAnsi="仿宋" w:cs="仿宋" w:hint="eastAsia"/>
          <w:sz w:val="32"/>
          <w:szCs w:val="32"/>
        </w:rPr>
        <w:t>/d，工艺采用AAO、高效沉淀池、反硝化滤池、紫外消毒。</w:t>
      </w:r>
    </w:p>
    <w:p w14:paraId="26FB1C3C" w14:textId="77777777" w:rsidR="00897DE2" w:rsidRPr="00897DE2" w:rsidRDefault="00897DE2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 w:hint="eastAsia"/>
          <w:color w:val="333333"/>
          <w:sz w:val="21"/>
          <w:szCs w:val="21"/>
        </w:rPr>
      </w:pPr>
    </w:p>
    <w:p w14:paraId="177FF1AF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二）预算资金使用管理情况</w:t>
      </w:r>
    </w:p>
    <w:p w14:paraId="22677B40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eastAsia="仿宋" w:hAnsi="Times New Roman"/>
          <w:color w:val="333333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预算支出组织管理机构</w:t>
      </w:r>
    </w:p>
    <w:p w14:paraId="76F01452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益阳市益阳市赫山区龙岭南片区（新河流域）水环境综合治理工程由益阳市龙岭建设投资有限公司负责实施。</w:t>
      </w:r>
    </w:p>
    <w:p w14:paraId="73489854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eastAsia="仿宋" w:hAnsi="Times New Roman"/>
          <w:b/>
          <w:bCs/>
          <w:color w:val="333333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预算资金和项目管理制度建设</w:t>
      </w:r>
    </w:p>
    <w:p w14:paraId="431A8429" w14:textId="6E44E027" w:rsidR="001E7619" w:rsidRPr="00897DE2" w:rsidRDefault="00000000" w:rsidP="00897DE2">
      <w:pPr>
        <w:pStyle w:val="a3"/>
        <w:widowControl/>
        <w:shd w:val="clear" w:color="auto" w:fill="FFFFFF"/>
        <w:spacing w:beforeAutospacing="0" w:after="120" w:afterAutospacing="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在资金管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理上，益阳市龙岭建设投资有限公司财务部按项目资金实行区级报账制，项目资金由区财政部门统一管理，专账核算，统一管理，专款专用。在资金使用上，实行由财政、审计、监察等部门对资金的流向、使用进行定期检查。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公司以工程建设部牵头，负责统筹项目的组织实施与管理，4个相关部门及子公司配合，按照部门职责开展相关工作。</w:t>
      </w:r>
    </w:p>
    <w:p w14:paraId="6B4CF74D" w14:textId="77777777" w:rsidR="001E7619" w:rsidRDefault="00000000" w:rsidP="005A2C5D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640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项目立项、申报、评审、监督管理、验收等阶段组织实施的合规性等</w:t>
      </w:r>
    </w:p>
    <w:p w14:paraId="3676D584" w14:textId="384FE739" w:rsidR="001E7619" w:rsidRDefault="00897DE2" w:rsidP="00897DE2">
      <w:pPr>
        <w:pStyle w:val="a3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</w:t>
      </w:r>
      <w:r w:rsidRPr="00897DE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022年城市维护资金城市污水处理补贴经费城东污水处理厂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是</w:t>
      </w:r>
      <w:r w:rsidRPr="00897DE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财政部下达2022年城市管网及污水处理补助资金61.2亿元，用于支持“十四五”第二批系统化全域推进海绵城市建设示范工作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资金</w:t>
      </w:r>
      <w:r w:rsidR="00000000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。本项目资金实行专款专用，各子项目工程完成全部建设任务后</w:t>
      </w:r>
      <w:r w:rsidR="00000000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将</w:t>
      </w:r>
      <w:r w:rsidR="00000000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提出验收申请，由</w:t>
      </w:r>
      <w:r w:rsidR="00000000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我单位自验</w:t>
      </w:r>
      <w:r w:rsidR="00000000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合格后将报区发改、财政局等</w:t>
      </w:r>
      <w:r w:rsidR="00000000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进行验</w:t>
      </w:r>
      <w:r w:rsidR="00000000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收</w:t>
      </w:r>
      <w:r w:rsidR="00000000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，合格后按实施进度进行</w:t>
      </w:r>
      <w:r w:rsidR="00000000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资金申报</w:t>
      </w:r>
      <w:r w:rsidR="00000000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拨付。</w:t>
      </w:r>
    </w:p>
    <w:p w14:paraId="07E9F0AA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三）预算支出绩效目标完成程度</w:t>
      </w:r>
    </w:p>
    <w:p w14:paraId="34C256B7" w14:textId="6AA5C00E" w:rsidR="001E7619" w:rsidRDefault="00853407" w:rsidP="00853407">
      <w:pPr>
        <w:pStyle w:val="a3"/>
        <w:widowControl/>
        <w:spacing w:beforeAutospacing="0" w:afterAutospacing="0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目前项目按既定目的进度完成</w:t>
      </w:r>
      <w:r w:rsidR="00000000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建设</w:t>
      </w:r>
      <w:r w:rsidR="00000000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</w:t>
      </w:r>
    </w:p>
    <w:p w14:paraId="1E8583B9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  <w:t>二、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绩效评价工作情况</w:t>
      </w:r>
    </w:p>
    <w:p w14:paraId="031B1080" w14:textId="77777777" w:rsidR="001E7619" w:rsidRDefault="00000000" w:rsidP="005A2C5D">
      <w:pPr>
        <w:pStyle w:val="a3"/>
        <w:widowControl/>
        <w:spacing w:beforeAutospacing="0" w:afterAutospacing="0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为确保此次绩效评价工作内容完整、客观公正，我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高度重视，由分管领导牵头，协调相关单位共同完成。</w:t>
      </w:r>
    </w:p>
    <w:p w14:paraId="4054AC22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三、预算支出主要绩效及评价结论</w:t>
      </w:r>
    </w:p>
    <w:p w14:paraId="36E7F1C4" w14:textId="77777777" w:rsidR="00853407" w:rsidRDefault="00853407" w:rsidP="008534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 w:rsidRPr="0085340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用于支持系统化全域推进海绵城市建设示范工作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城东一期项目采用BOT运营模式，益阳碧水源水务有限公司为该项目投资、建设、运营主体，于2018年6月28日进入商运。</w:t>
      </w:r>
    </w:p>
    <w:p w14:paraId="7B32B721" w14:textId="77777777" w:rsidR="00853407" w:rsidRDefault="00853407" w:rsidP="008534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城东二期项目采用委托运营模式，益阳市龙岭建设投资有限公司为该项目投资、建设主体，益阳碧水源水务有限公司为运营主体，于2021年10月15日进入商运。</w:t>
      </w:r>
    </w:p>
    <w:p w14:paraId="63A85F67" w14:textId="77777777" w:rsidR="00853407" w:rsidRDefault="00853407" w:rsidP="008534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纳污范围：东临319国道和长常高速公路出入口，西临益阳火车货运站和益长城际快速干道，北抵益阳市汽车东站，南接益阳市绕城高速，辖天子坟、石头铺、帅家村、光明村等十多个社区、村（资管委），纳污面积约26平方公里。</w:t>
      </w:r>
    </w:p>
    <w:p w14:paraId="0B5C5F96" w14:textId="4D60DA58" w:rsidR="001E7619" w:rsidRPr="00853407" w:rsidRDefault="001E7619" w:rsidP="005A2C5D">
      <w:pPr>
        <w:pStyle w:val="a3"/>
        <w:widowControl/>
        <w:spacing w:beforeAutospacing="0" w:afterAutospacing="0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14:paraId="71CBAFB1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四、绩效评价指标分析</w:t>
      </w:r>
    </w:p>
    <w:p w14:paraId="2E200DF7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（一）预算支出决策情况</w:t>
      </w:r>
    </w:p>
    <w:p w14:paraId="1EC48F87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lastRenderedPageBreak/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年7月1日，湖南省发展和改革委员会《关于分解下达2022年重点流域水环境综合治理中央预算内投资计划的通知》(湘发改投资〔2022〕513号)下达我区益阳市赫山区龙岭南片区（新河流域）水环境综合治理工程项目960万元。</w:t>
      </w:r>
    </w:p>
    <w:p w14:paraId="75C2FCDD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益阳市益阳市赫山区龙岭南片区（新河流域）水环境综合治理工程项目资金主要用于垃圾清理5万吨，人工湿地1.5平方公里，生态护岸8公里，生态隔离带1平方公里，污水管网10公里，总投资8200万元。</w:t>
      </w:r>
    </w:p>
    <w:p w14:paraId="546BADC9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（二）预算执行过程情况</w:t>
      </w:r>
    </w:p>
    <w:p w14:paraId="41F6C977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在资金管理中，坚持做到中央资金专款专用，经承包人提交月进度付款申请单、监理人签证，由工程、审计等部门审核后项目法人进行进度支付，依据合同条款，目前项目未达到付款条件。</w:t>
      </w:r>
    </w:p>
    <w:p w14:paraId="339BC514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（三）预算支出产出情况</w:t>
      </w:r>
    </w:p>
    <w:p w14:paraId="6691828E" w14:textId="774A6A8F" w:rsidR="00853407" w:rsidRDefault="00853407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 w:hint="eastAsia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sz w:val="32"/>
          <w:szCs w:val="32"/>
        </w:rPr>
        <w:t>无超标运行情况</w:t>
      </w:r>
    </w:p>
    <w:p w14:paraId="4AE41E30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（四）预算支出效益情况</w:t>
      </w:r>
    </w:p>
    <w:p w14:paraId="0B158BAA" w14:textId="77777777" w:rsidR="00853407" w:rsidRDefault="00853407" w:rsidP="008534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2020年一期污水处理 7774615m</w:t>
      </w:r>
      <w:r>
        <w:rPr>
          <w:rFonts w:ascii="Calibri" w:eastAsia="仿宋" w:hAnsi="Calibri" w:cs="Calibri"/>
          <w:sz w:val="32"/>
          <w:szCs w:val="32"/>
        </w:rPr>
        <w:t>³</w:t>
      </w:r>
      <w:r>
        <w:rPr>
          <w:rFonts w:ascii="仿宋" w:eastAsia="仿宋" w:hAnsi="仿宋" w:cs="仿宋" w:hint="eastAsia"/>
          <w:sz w:val="32"/>
          <w:szCs w:val="32"/>
        </w:rPr>
        <w:t>，单价1.298元/m</w:t>
      </w:r>
      <w:r>
        <w:rPr>
          <w:rFonts w:ascii="Calibri" w:eastAsia="仿宋" w:hAnsi="Calibri" w:cs="Calibri"/>
          <w:sz w:val="32"/>
          <w:szCs w:val="32"/>
        </w:rPr>
        <w:t>³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49BBEE4" w14:textId="77777777" w:rsidR="00853407" w:rsidRDefault="00853407" w:rsidP="008534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2021年一期污水处理8058131m</w:t>
      </w:r>
      <w:r>
        <w:rPr>
          <w:rFonts w:ascii="Calibri" w:eastAsia="仿宋" w:hAnsi="Calibri" w:cs="Calibri"/>
          <w:sz w:val="32"/>
          <w:szCs w:val="32"/>
        </w:rPr>
        <w:t>³</w:t>
      </w:r>
      <w:r>
        <w:rPr>
          <w:rFonts w:ascii="仿宋" w:eastAsia="仿宋" w:hAnsi="仿宋" w:cs="仿宋" w:hint="eastAsia"/>
          <w:sz w:val="32"/>
          <w:szCs w:val="32"/>
        </w:rPr>
        <w:t>，单价1.298元/m</w:t>
      </w:r>
      <w:r>
        <w:rPr>
          <w:rFonts w:ascii="Calibri" w:eastAsia="仿宋" w:hAnsi="Calibri" w:cs="Calibri"/>
          <w:sz w:val="32"/>
          <w:szCs w:val="32"/>
        </w:rPr>
        <w:t>³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75F70B43" w14:textId="77777777" w:rsidR="00853407" w:rsidRDefault="00853407" w:rsidP="008534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2022年一期污水处理9755066m</w:t>
      </w:r>
      <w:r>
        <w:rPr>
          <w:rFonts w:ascii="Calibri" w:eastAsia="仿宋" w:hAnsi="Calibri" w:cs="Calibri"/>
          <w:sz w:val="32"/>
          <w:szCs w:val="32"/>
        </w:rPr>
        <w:t>³</w:t>
      </w:r>
      <w:r>
        <w:rPr>
          <w:rFonts w:ascii="仿宋" w:eastAsia="仿宋" w:hAnsi="仿宋" w:cs="仿宋" w:hint="eastAsia"/>
          <w:sz w:val="32"/>
          <w:szCs w:val="32"/>
        </w:rPr>
        <w:t>，调价后，单价1.656元/m</w:t>
      </w:r>
      <w:r>
        <w:rPr>
          <w:rFonts w:ascii="Calibri" w:eastAsia="仿宋" w:hAnsi="Calibri" w:cs="Calibri"/>
          <w:sz w:val="32"/>
          <w:szCs w:val="32"/>
        </w:rPr>
        <w:t>³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217812C3" w14:textId="77777777" w:rsidR="00853407" w:rsidRDefault="00853407" w:rsidP="008534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2021年二期污水处理 702000m</w:t>
      </w:r>
      <w:r>
        <w:rPr>
          <w:rFonts w:ascii="Calibri" w:eastAsia="仿宋" w:hAnsi="Calibri" w:cs="Calibri"/>
          <w:sz w:val="32"/>
          <w:szCs w:val="32"/>
        </w:rPr>
        <w:t>³</w:t>
      </w:r>
      <w:r>
        <w:rPr>
          <w:rFonts w:ascii="仿宋" w:eastAsia="仿宋" w:hAnsi="仿宋" w:cs="仿宋" w:hint="eastAsia"/>
          <w:sz w:val="32"/>
          <w:szCs w:val="32"/>
        </w:rPr>
        <w:t>，单价0.5762元/m</w:t>
      </w:r>
      <w:r>
        <w:rPr>
          <w:rFonts w:ascii="Calibri" w:eastAsia="仿宋" w:hAnsi="Calibri" w:cs="Calibri"/>
          <w:sz w:val="32"/>
          <w:szCs w:val="32"/>
        </w:rPr>
        <w:t>³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6747B6A" w14:textId="77777777" w:rsidR="00853407" w:rsidRDefault="00853407" w:rsidP="008534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2022年二期污水处理 2539982m</w:t>
      </w:r>
      <w:r>
        <w:rPr>
          <w:rFonts w:ascii="Calibri" w:eastAsia="仿宋" w:hAnsi="Calibri" w:cs="Calibri"/>
          <w:sz w:val="32"/>
          <w:szCs w:val="32"/>
        </w:rPr>
        <w:t>³</w:t>
      </w:r>
      <w:r>
        <w:rPr>
          <w:rFonts w:ascii="仿宋" w:eastAsia="仿宋" w:hAnsi="仿宋" w:cs="仿宋" w:hint="eastAsia"/>
          <w:sz w:val="32"/>
          <w:szCs w:val="32"/>
        </w:rPr>
        <w:t>，单价0.5762元/m</w:t>
      </w:r>
      <w:r>
        <w:rPr>
          <w:rFonts w:ascii="Calibri" w:eastAsia="仿宋" w:hAnsi="Calibri" w:cs="Calibri"/>
          <w:sz w:val="32"/>
          <w:szCs w:val="32"/>
        </w:rPr>
        <w:t>³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DAF4A4F" w14:textId="77777777" w:rsidR="00853407" w:rsidRDefault="00853407" w:rsidP="008534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无超标运行情况。</w:t>
      </w:r>
    </w:p>
    <w:p w14:paraId="2C66EDFB" w14:textId="7359BA4B" w:rsidR="001E7619" w:rsidRDefault="001E7619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14:paraId="03C48829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五、主要经验及做法、存在的问题及原因分析</w:t>
      </w:r>
    </w:p>
    <w:p w14:paraId="25A8356F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无</w:t>
      </w:r>
    </w:p>
    <w:p w14:paraId="4116A111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六、有关建议</w:t>
      </w:r>
    </w:p>
    <w:p w14:paraId="1C2DD66E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无</w:t>
      </w:r>
    </w:p>
    <w:p w14:paraId="2587F7DB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七、其他需要说明的问题</w:t>
      </w:r>
    </w:p>
    <w:p w14:paraId="6C3C4161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无</w:t>
      </w:r>
    </w:p>
    <w:sectPr w:rsidR="001E7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29BA" w14:textId="77777777" w:rsidR="009353A3" w:rsidRDefault="009353A3" w:rsidP="00897DE2">
      <w:r>
        <w:separator/>
      </w:r>
    </w:p>
  </w:endnote>
  <w:endnote w:type="continuationSeparator" w:id="0">
    <w:p w14:paraId="1AD01F54" w14:textId="77777777" w:rsidR="009353A3" w:rsidRDefault="009353A3" w:rsidP="0089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80CB" w14:textId="77777777" w:rsidR="009353A3" w:rsidRDefault="009353A3" w:rsidP="00897DE2">
      <w:r>
        <w:separator/>
      </w:r>
    </w:p>
  </w:footnote>
  <w:footnote w:type="continuationSeparator" w:id="0">
    <w:p w14:paraId="6C2DB1A7" w14:textId="77777777" w:rsidR="009353A3" w:rsidRDefault="009353A3" w:rsidP="0089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3BE6A"/>
    <w:multiLevelType w:val="singleLevel"/>
    <w:tmpl w:val="B9A3BE6A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8960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JkNzU0ZGU3MWQ2YzNiNDdiOTc1ZjJkYzY5NjVkMmUifQ=="/>
  </w:docVars>
  <w:rsids>
    <w:rsidRoot w:val="001E7619"/>
    <w:rsid w:val="001E7619"/>
    <w:rsid w:val="005A2C5D"/>
    <w:rsid w:val="00612AB2"/>
    <w:rsid w:val="00853407"/>
    <w:rsid w:val="00897DE2"/>
    <w:rsid w:val="009353A3"/>
    <w:rsid w:val="00AE252A"/>
    <w:rsid w:val="1F983E1F"/>
    <w:rsid w:val="7AEE10A2"/>
    <w:rsid w:val="7F6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F0B9B"/>
  <w15:docId w15:val="{EB94DF75-8CCB-4D02-8F38-09005A3F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897D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7DE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97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7D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耀海</cp:lastModifiedBy>
  <cp:revision>5</cp:revision>
  <cp:lastPrinted>2023-05-17T07:50:00Z</cp:lastPrinted>
  <dcterms:created xsi:type="dcterms:W3CDTF">2023-05-17T07:44:00Z</dcterms:created>
  <dcterms:modified xsi:type="dcterms:W3CDTF">2023-06-07T03:47:00Z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6938B2CF137D466A87D27CAD44719BCB_12</vt:lpwstr>
  </property>
</Properties>
</file>