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86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2"/>
        <w:gridCol w:w="60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2522" w:type="dxa"/>
            <w:vMerge w:val="restart"/>
            <w:noWrap w:val="0"/>
            <w:vAlign w:val="top"/>
          </w:tcPr>
          <w:tbl>
            <w:tblPr>
              <w:tblStyle w:val="14"/>
              <w:tblW w:w="252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2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8" w:hRule="atLeast"/>
              </w:trPr>
              <w:tc>
                <w:tcPr>
                  <w:tcW w:w="252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top"/>
                </w:tcPr>
                <w:p>
                  <w:r>
                    <w:rPr>
                      <w:sz w:val="20"/>
                    </w:rPr>
                    <w:drawing>
                      <wp:inline distT="0" distB="0" distL="114300" distR="114300">
                        <wp:extent cx="1320800" cy="367665"/>
                        <wp:effectExtent l="0" t="0" r="5080" b="13335"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0440" b="188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0800" cy="3676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12" w:hRule="atLeast"/>
              </w:trPr>
              <w:tc>
                <w:tcPr>
                  <w:tcW w:w="2522" w:type="dxa"/>
                  <w:vMerge w:val="continue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top"/>
                </w:tcPr>
                <w:p>
                  <w:pPr>
                    <w:rPr>
                      <w:rFonts w:eastAsia="隶书"/>
                      <w:sz w:val="22"/>
                    </w:rPr>
                  </w:pPr>
                </w:p>
              </w:tc>
            </w:tr>
          </w:tbl>
          <w:p/>
        </w:tc>
        <w:tc>
          <w:tcPr>
            <w:tcW w:w="6089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sz w:val="44"/>
                <w:szCs w:val="44"/>
              </w:rPr>
            </w:pPr>
            <w:r>
              <w:rPr>
                <w:rFonts w:hint="eastAsia" w:eastAsia="仿宋_GB2312"/>
                <w:b/>
                <w:sz w:val="28"/>
                <w:szCs w:val="44"/>
              </w:rPr>
              <w:t>湖南平和会计师事务所（普通合伙）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2522" w:type="dxa"/>
            <w:vMerge w:val="continue"/>
            <w:noWrap w:val="0"/>
            <w:vAlign w:val="center"/>
          </w:tcPr>
          <w:p/>
        </w:tc>
        <w:tc>
          <w:tcPr>
            <w:tcW w:w="6089" w:type="dxa"/>
            <w:noWrap w:val="0"/>
            <w:vAlign w:val="center"/>
          </w:tcPr>
          <w:p>
            <w:pPr>
              <w:jc w:val="center"/>
              <w:rPr>
                <w:rFonts w:eastAsia="隶书"/>
                <w:b/>
                <w:sz w:val="16"/>
              </w:rPr>
            </w:pPr>
            <w:r>
              <w:rPr>
                <w:rFonts w:ascii="微软雅黑" w:hAnsi="微软雅黑" w:eastAsia="微软雅黑" w:cs="宋体"/>
                <w:sz w:val="15"/>
              </w:rPr>
              <w:t>Hunan Pinghe Certified Public Accountants (General Partnership)</w:t>
            </w:r>
          </w:p>
        </w:tc>
      </w:tr>
    </w:tbl>
    <w:p>
      <w:pPr>
        <w:spacing w:before="312" w:beforeLines="100"/>
        <w:jc w:val="right"/>
        <w:rPr>
          <w:rFonts w:cs="宋体"/>
          <w:sz w:val="32"/>
          <w:szCs w:val="32"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-5080</wp:posOffset>
                </wp:positionV>
                <wp:extent cx="526732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7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-0.4pt;height:0pt;width:414.75pt;z-index:251659264;mso-width-relative:page;mso-height-relative:page;" filled="f" stroked="t" coordsize="21600,21600" o:allowincell="f" o:gfxdata="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Iw7CJ0wAAAAYB&#10;AAAPAAAAAAAAAAEAIAAAACIAAABkcnMvZG93bnJldi54bWxQSwECFAAUAAAACACHTuJAABYCjucB&#10;AAC4AwAADgAAAAAAAAABACAAAAAi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kern w:val="0"/>
          <w:szCs w:val="20"/>
        </w:rPr>
        <w:tab/>
      </w:r>
      <w:r>
        <w:rPr>
          <w:b/>
          <w:kern w:val="0"/>
          <w:szCs w:val="20"/>
        </w:rPr>
        <w:tab/>
      </w:r>
      <w:r>
        <w:rPr>
          <w:rFonts w:hint="eastAsia" w:cs="宋体"/>
          <w:sz w:val="28"/>
          <w:szCs w:val="32"/>
        </w:rPr>
        <w:t xml:space="preserve">    报告编号：湘平和绩评字[2022]第01</w:t>
      </w:r>
      <w:r>
        <w:rPr>
          <w:rFonts w:hint="eastAsia" w:cs="宋体"/>
          <w:sz w:val="28"/>
          <w:szCs w:val="32"/>
          <w:lang w:val="en-US" w:eastAsia="zh-CN"/>
        </w:rPr>
        <w:t>1</w:t>
      </w:r>
      <w:r>
        <w:rPr>
          <w:rFonts w:hint="eastAsia" w:cs="宋体"/>
          <w:sz w:val="28"/>
          <w:szCs w:val="32"/>
        </w:rPr>
        <w:t>号</w:t>
      </w:r>
    </w:p>
    <w:p>
      <w:pPr>
        <w:ind w:firstLine="880"/>
        <w:jc w:val="left"/>
        <w:rPr>
          <w:rFonts w:ascii="黑体" w:eastAsia="黑体" w:cs="黑体"/>
          <w:sz w:val="44"/>
          <w:szCs w:val="44"/>
        </w:rPr>
      </w:pPr>
    </w:p>
    <w:p>
      <w:pPr>
        <w:ind w:firstLine="880"/>
        <w:jc w:val="left"/>
        <w:rPr>
          <w:rFonts w:ascii="黑体" w:eastAsia="黑体" w:cs="黑体"/>
          <w:sz w:val="44"/>
          <w:szCs w:val="44"/>
        </w:rPr>
      </w:pPr>
    </w:p>
    <w:p>
      <w:pPr>
        <w:spacing w:line="560" w:lineRule="exact"/>
        <w:ind w:firstLine="176" w:firstLineChars="49"/>
        <w:jc w:val="center"/>
        <w:rPr>
          <w:rFonts w:ascii="黑体" w:hAnsi="黑体" w:eastAsia="黑体" w:cs="Times New Roman"/>
          <w:b/>
          <w:kern w:val="0"/>
          <w:sz w:val="36"/>
          <w:szCs w:val="36"/>
        </w:rPr>
      </w:pPr>
      <w:r>
        <w:rPr>
          <w:rFonts w:hint="eastAsia" w:ascii="黑体" w:hAnsi="黑体" w:eastAsia="黑体" w:cs="Times New Roman"/>
          <w:b/>
          <w:kern w:val="0"/>
          <w:sz w:val="36"/>
          <w:szCs w:val="36"/>
        </w:rPr>
        <w:t>益阳市赫山区2021年兰溪河水环境综合整治工程二期（千家洲段）项目绩效评价报告</w:t>
      </w:r>
    </w:p>
    <w:p>
      <w:pPr>
        <w:jc w:val="center"/>
        <w:rPr>
          <w:rFonts w:ascii="黑体" w:eastAsia="黑体" w:cs="黑体"/>
          <w:sz w:val="36"/>
          <w:szCs w:val="36"/>
        </w:rPr>
      </w:pPr>
      <w:bookmarkStart w:id="3" w:name="_GoBack"/>
      <w:bookmarkEnd w:id="3"/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jc w:val="center"/>
        <w:rPr>
          <w:rFonts w:ascii="黑体" w:eastAsia="黑体" w:cs="黑体"/>
          <w:sz w:val="44"/>
          <w:szCs w:val="44"/>
        </w:rPr>
      </w:pPr>
    </w:p>
    <w:p>
      <w:pPr>
        <w:spacing w:after="156" w:afterLines="50" w:line="606" w:lineRule="exact"/>
        <w:ind w:firstLine="643"/>
        <w:jc w:val="center"/>
      </w:pPr>
      <w:bookmarkStart w:id="0" w:name="_Toc406599896"/>
      <w:bookmarkStart w:id="1" w:name="_Toc407099167"/>
      <w:bookmarkStart w:id="2" w:name="_Toc407115941"/>
      <w:r>
        <w:rPr>
          <w:rFonts w:hint="eastAsia" w:ascii="宋体" w:hAnsi="宋体" w:cs="仿宋_GB2312"/>
          <w:b/>
          <w:bCs/>
          <w:sz w:val="32"/>
          <w:szCs w:val="32"/>
        </w:rPr>
        <w:t>评价单位：湖南平和会计师事务所（普通合伙）</w:t>
      </w:r>
    </w:p>
    <w:p>
      <w:pPr>
        <w:spacing w:after="156" w:afterLines="50" w:line="606" w:lineRule="exact"/>
        <w:ind w:firstLine="643"/>
        <w:jc w:val="center"/>
        <w:rPr>
          <w:rFonts w:ascii="宋体" w:hAnsi="宋体"/>
        </w:rPr>
      </w:pPr>
      <w:r>
        <w:rPr>
          <w:rFonts w:hint="eastAsia" w:ascii="宋体" w:hAnsi="宋体" w:cs="仿宋_GB2312"/>
          <w:b/>
          <w:bCs/>
          <w:sz w:val="32"/>
          <w:szCs w:val="32"/>
        </w:rPr>
        <w:t xml:space="preserve">  报告时间：202</w:t>
      </w:r>
      <w:r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仿宋_GB2312"/>
          <w:b/>
          <w:bCs/>
          <w:sz w:val="32"/>
          <w:szCs w:val="32"/>
        </w:rPr>
        <w:t>年</w:t>
      </w:r>
      <w:r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cs="仿宋_GB2312"/>
          <w:b/>
          <w:bCs/>
          <w:sz w:val="32"/>
          <w:szCs w:val="32"/>
        </w:rPr>
        <w:t>月1</w:t>
      </w:r>
      <w:r>
        <w:rPr>
          <w:rFonts w:hint="eastAsia" w:ascii="宋体" w:hAnsi="宋体" w:cs="仿宋_GB2312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cs="仿宋_GB2312"/>
          <w:b/>
          <w:bCs/>
          <w:sz w:val="32"/>
          <w:szCs w:val="32"/>
        </w:rPr>
        <w:t>日</w:t>
      </w:r>
    </w:p>
    <w:p>
      <w:pPr>
        <w:ind w:firstLine="562"/>
        <w:jc w:val="center"/>
        <w:rPr>
          <w:rStyle w:val="21"/>
          <w:rFonts w:ascii="仿宋" w:hAnsi="仿宋" w:cs="黑体"/>
        </w:rPr>
      </w:pPr>
    </w:p>
    <w:p>
      <w:pPr>
        <w:ind w:firstLine="562"/>
        <w:jc w:val="center"/>
        <w:rPr>
          <w:rStyle w:val="21"/>
          <w:rFonts w:ascii="仿宋" w:hAnsi="仿宋" w:cs="黑体"/>
        </w:rPr>
      </w:pPr>
    </w:p>
    <w:bookmarkEnd w:id="0"/>
    <w:bookmarkEnd w:id="1"/>
    <w:bookmarkEnd w:id="2"/>
    <w:p>
      <w:pPr>
        <w:spacing w:before="156" w:beforeLines="50" w:after="156" w:afterLines="50"/>
        <w:ind w:firstLine="198"/>
        <w:jc w:val="center"/>
        <w:outlineLvl w:val="0"/>
      </w:pPr>
    </w:p>
    <w:p>
      <w:pPr>
        <w:pStyle w:val="5"/>
        <w:wordWrap w:val="0"/>
        <w:snapToGrid w:val="0"/>
        <w:spacing w:line="360" w:lineRule="auto"/>
        <w:ind w:firstLine="420" w:firstLineChars="200"/>
        <w:jc w:val="right"/>
        <w:rPr>
          <w:b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caps/>
      </w:rPr>
    </w:pPr>
    <w:r>
      <w:rPr>
        <w:caps/>
      </w:rPr>
      <w:fldChar w:fldCharType="begin"/>
    </w:r>
    <w:r>
      <w:rPr>
        <w:caps/>
      </w:rPr>
      <w:instrText xml:space="preserve">PAGE   \* MERGEFORMAT</w:instrText>
    </w:r>
    <w:r>
      <w:rPr>
        <w:caps/>
      </w:rPr>
      <w:fldChar w:fldCharType="separate"/>
    </w:r>
    <w:r>
      <w:rPr>
        <w:caps/>
        <w:lang w:val="zh-CN"/>
      </w:rPr>
      <w:t>2</w:t>
    </w:r>
    <w:r>
      <w:rPr>
        <w:caps/>
      </w:rPr>
      <w:fldChar w:fldCharType="end"/>
    </w: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  <w:p>
    <w:pPr>
      <w:pStyle w:val="9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53ED"/>
    <w:rsid w:val="000228A8"/>
    <w:rsid w:val="00042629"/>
    <w:rsid w:val="00055CE0"/>
    <w:rsid w:val="000A2409"/>
    <w:rsid w:val="000A2C30"/>
    <w:rsid w:val="000C40D3"/>
    <w:rsid w:val="001038E9"/>
    <w:rsid w:val="00105CA7"/>
    <w:rsid w:val="00121540"/>
    <w:rsid w:val="00130D9E"/>
    <w:rsid w:val="00154DF3"/>
    <w:rsid w:val="00163846"/>
    <w:rsid w:val="001A5714"/>
    <w:rsid w:val="001B3822"/>
    <w:rsid w:val="001C6C16"/>
    <w:rsid w:val="0026479F"/>
    <w:rsid w:val="002D5920"/>
    <w:rsid w:val="0031620B"/>
    <w:rsid w:val="00375EF8"/>
    <w:rsid w:val="003B652C"/>
    <w:rsid w:val="003D3766"/>
    <w:rsid w:val="003F6129"/>
    <w:rsid w:val="00482A4F"/>
    <w:rsid w:val="00490C58"/>
    <w:rsid w:val="004D6D9F"/>
    <w:rsid w:val="004F780B"/>
    <w:rsid w:val="005674B2"/>
    <w:rsid w:val="005B0EC2"/>
    <w:rsid w:val="005B376F"/>
    <w:rsid w:val="005B6A82"/>
    <w:rsid w:val="005E3D72"/>
    <w:rsid w:val="005E5A28"/>
    <w:rsid w:val="006461DD"/>
    <w:rsid w:val="006510CD"/>
    <w:rsid w:val="006674F6"/>
    <w:rsid w:val="006E143E"/>
    <w:rsid w:val="007000BF"/>
    <w:rsid w:val="0072436C"/>
    <w:rsid w:val="00737CC1"/>
    <w:rsid w:val="00750D29"/>
    <w:rsid w:val="0078274A"/>
    <w:rsid w:val="007E6362"/>
    <w:rsid w:val="007F02BB"/>
    <w:rsid w:val="0080009A"/>
    <w:rsid w:val="00821D61"/>
    <w:rsid w:val="008314A4"/>
    <w:rsid w:val="0084432C"/>
    <w:rsid w:val="00863F06"/>
    <w:rsid w:val="00887553"/>
    <w:rsid w:val="00895530"/>
    <w:rsid w:val="008A137F"/>
    <w:rsid w:val="00901A92"/>
    <w:rsid w:val="00905964"/>
    <w:rsid w:val="00923291"/>
    <w:rsid w:val="00934DBB"/>
    <w:rsid w:val="00943038"/>
    <w:rsid w:val="009C7C91"/>
    <w:rsid w:val="009C7E50"/>
    <w:rsid w:val="009E019F"/>
    <w:rsid w:val="00A0332B"/>
    <w:rsid w:val="00A74853"/>
    <w:rsid w:val="00A96E4B"/>
    <w:rsid w:val="00A96EF0"/>
    <w:rsid w:val="00AC4348"/>
    <w:rsid w:val="00AD746D"/>
    <w:rsid w:val="00AD7717"/>
    <w:rsid w:val="00B2476E"/>
    <w:rsid w:val="00B306CD"/>
    <w:rsid w:val="00B32B84"/>
    <w:rsid w:val="00B400C3"/>
    <w:rsid w:val="00B55C04"/>
    <w:rsid w:val="00BC30C5"/>
    <w:rsid w:val="00BC6527"/>
    <w:rsid w:val="00BE3388"/>
    <w:rsid w:val="00C202D9"/>
    <w:rsid w:val="00C203A0"/>
    <w:rsid w:val="00C21F62"/>
    <w:rsid w:val="00C22FC2"/>
    <w:rsid w:val="00C9450B"/>
    <w:rsid w:val="00CA4B17"/>
    <w:rsid w:val="00CB1DFD"/>
    <w:rsid w:val="00CF735A"/>
    <w:rsid w:val="00D0170C"/>
    <w:rsid w:val="00D10CB3"/>
    <w:rsid w:val="00D1410E"/>
    <w:rsid w:val="00DA2555"/>
    <w:rsid w:val="00E06BC7"/>
    <w:rsid w:val="00E267B7"/>
    <w:rsid w:val="00F04476"/>
    <w:rsid w:val="00F66E89"/>
    <w:rsid w:val="00FB4DBA"/>
    <w:rsid w:val="00FD6972"/>
    <w:rsid w:val="05B77292"/>
    <w:rsid w:val="16A4154D"/>
    <w:rsid w:val="2EDB5475"/>
    <w:rsid w:val="440D5690"/>
    <w:rsid w:val="4D416D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outline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3">
    <w:name w:val="heading 2"/>
    <w:basedOn w:val="1"/>
    <w:next w:val="1"/>
    <w:link w:val="21"/>
    <w:qFormat/>
    <w:uiPriority w:val="0"/>
    <w:pPr>
      <w:keepNext/>
      <w:jc w:val="right"/>
      <w:outlineLvl w:val="1"/>
    </w:pPr>
    <w:rPr>
      <w:outline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default="1" w:styleId="15">
    <w:name w:val="Default Paragraph Font"/>
    <w:qFormat/>
    <w:uiPriority w:val="0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ind w:firstLine="420" w:firstLineChars="200"/>
    </w:pPr>
  </w:style>
  <w:style w:type="paragraph" w:styleId="5">
    <w:name w:val="Plain Text"/>
    <w:basedOn w:val="1"/>
    <w:link w:val="17"/>
    <w:qFormat/>
    <w:uiPriority w:val="0"/>
    <w:rPr>
      <w:rFonts w:ascii="宋体" w:hAnsi="Courier New" w:cs="Courier New"/>
      <w:szCs w:val="21"/>
    </w:rPr>
  </w:style>
  <w:style w:type="paragraph" w:styleId="6">
    <w:name w:val="Date"/>
    <w:basedOn w:val="1"/>
    <w:next w:val="1"/>
    <w:qFormat/>
    <w:uiPriority w:val="0"/>
    <w:rPr>
      <w:sz w:val="28"/>
      <w:szCs w:val="20"/>
    </w:rPr>
  </w:style>
  <w:style w:type="paragraph" w:styleId="7">
    <w:name w:val="Body Text Indent 2"/>
    <w:basedOn w:val="1"/>
    <w:qFormat/>
    <w:uiPriority w:val="0"/>
    <w:pPr>
      <w:spacing w:line="300" w:lineRule="auto"/>
      <w:ind w:left="359" w:leftChars="171" w:firstLine="420" w:firstLineChars="200"/>
    </w:pPr>
    <w:rPr>
      <w:rFonts w:ascii="宋体" w:hAnsi="宋体"/>
      <w:szCs w:val="21"/>
    </w:rPr>
  </w:style>
  <w:style w:type="paragraph" w:styleId="8">
    <w:name w:val="Balloon Text"/>
    <w:basedOn w:val="1"/>
    <w:link w:val="20"/>
    <w:qFormat/>
    <w:uiPriority w:val="0"/>
    <w:rPr>
      <w:sz w:val="18"/>
      <w:szCs w:val="18"/>
    </w:rPr>
  </w:style>
  <w:style w:type="paragraph" w:styleId="9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List"/>
    <w:basedOn w:val="1"/>
    <w:qFormat/>
    <w:uiPriority w:val="0"/>
    <w:pPr>
      <w:ind w:left="200" w:hanging="200" w:hangingChars="200"/>
    </w:pPr>
    <w:rPr>
      <w:szCs w:val="20"/>
    </w:rPr>
  </w:style>
  <w:style w:type="paragraph" w:styleId="12">
    <w:name w:val="Body Text Indent 3"/>
    <w:basedOn w:val="1"/>
    <w:qFormat/>
    <w:uiPriority w:val="0"/>
    <w:pPr>
      <w:tabs>
        <w:tab w:val="left" w:pos="743"/>
      </w:tabs>
      <w:spacing w:line="300" w:lineRule="auto"/>
      <w:ind w:firstLine="359" w:firstLineChars="171"/>
    </w:pPr>
    <w:rPr>
      <w:rFonts w:ascii="宋体" w:hAnsi="宋体"/>
      <w:szCs w:val="21"/>
    </w:rPr>
  </w:style>
  <w:style w:type="paragraph" w:styleId="13">
    <w:name w:val="Body Text 2"/>
    <w:basedOn w:val="1"/>
    <w:qFormat/>
    <w:uiPriority w:val="0"/>
    <w:rPr>
      <w:b/>
      <w:bCs/>
      <w:sz w:val="24"/>
    </w:rPr>
  </w:style>
  <w:style w:type="character" w:customStyle="1" w:styleId="16">
    <w:name w:val="页脚 Char"/>
    <w:link w:val="9"/>
    <w:qFormat/>
    <w:uiPriority w:val="99"/>
    <w:rPr>
      <w:kern w:val="2"/>
      <w:sz w:val="18"/>
      <w:szCs w:val="18"/>
    </w:rPr>
  </w:style>
  <w:style w:type="character" w:customStyle="1" w:styleId="17">
    <w:name w:val="纯文本 Char"/>
    <w:link w:val="5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8">
    <w:name w:val="纯文本 Char1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9">
    <w:name w:val="页脚 字符"/>
    <w:qFormat/>
    <w:uiPriority w:val="99"/>
  </w:style>
  <w:style w:type="character" w:customStyle="1" w:styleId="20">
    <w:name w:val="批注框文本 Char"/>
    <w:link w:val="8"/>
    <w:qFormat/>
    <w:uiPriority w:val="0"/>
    <w:rPr>
      <w:kern w:val="2"/>
      <w:sz w:val="18"/>
      <w:szCs w:val="18"/>
    </w:rPr>
  </w:style>
  <w:style w:type="character" w:customStyle="1" w:styleId="21">
    <w:name w:val="标题 2 Char"/>
    <w:link w:val="3"/>
    <w:qFormat/>
    <w:locked/>
    <w:uiPriority w:val="0"/>
    <w:rPr>
      <w:outline/>
      <w:kern w:val="2"/>
      <w:sz w:val="48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178</Characters>
  <Lines>1</Lines>
  <Paragraphs>1</Paragraphs>
  <TotalTime>0</TotalTime>
  <ScaleCrop>false</ScaleCrop>
  <LinksUpToDate>false</LinksUpToDate>
  <CharactersWithSpaces>208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2010-01-23T21:21:00Z</dcterms:created>
  <dc:creator>user</dc:creator>
  <cp:lastModifiedBy>HP</cp:lastModifiedBy>
  <cp:lastPrinted>2015-08-10T07:13:00Z</cp:lastPrinted>
  <dcterms:modified xsi:type="dcterms:W3CDTF">2022-12-01T09:31:03Z</dcterms:modified>
  <dc:title>发 文 登 记 表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8C7FB0F06D1A478F9F836742E56F8662</vt:lpwstr>
  </property>
</Properties>
</file>